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0" w:name="_GoBack"/>
      <w:bookmarkEnd w:id="0"/>
      <w:r>
        <w:rPr>
          <w:rFonts w:hint="eastAsia" w:ascii="方正小标宋简体" w:eastAsia="方正小标宋简体" w:cs="宋体"/>
          <w:b/>
          <w:bCs/>
          <w:color w:val="000000"/>
          <w:kern w:val="0"/>
          <w:sz w:val="44"/>
          <w:szCs w:val="44"/>
        </w:rPr>
        <w:t> 廊坊市广阳区发展改革局2017年部门预算</w:t>
      </w:r>
      <w:r>
        <w:rPr>
          <w:rFonts w:ascii="方正小标宋简体" w:eastAsia="方正小标宋简体" w:cs="宋体"/>
          <w:b/>
          <w:bCs/>
          <w:color w:val="000000"/>
          <w:kern w:val="0"/>
          <w:sz w:val="44"/>
          <w:szCs w:val="44"/>
        </w:rPr>
        <w:t>信息公开</w:t>
      </w:r>
    </w:p>
    <w:p>
      <w:pPr>
        <w:ind w:left="60"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廊坊市广阳区发展改革局</w:t>
      </w:r>
      <w:r>
        <w:rPr>
          <w:rFonts w:hint="eastAsia" w:ascii="仿宋_GB2312" w:eastAsia="仿宋_GB2312"/>
          <w:sz w:val="32"/>
          <w:szCs w:val="32"/>
        </w:rPr>
        <w:t>2017年部门预算公开如下：</w:t>
      </w:r>
    </w:p>
    <w:p>
      <w:pPr>
        <w:widowControl/>
        <w:numPr>
          <w:ilvl w:val="0"/>
          <w:numId w:val="1"/>
        </w:numPr>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 xml:space="preserve">部门职责及机构设置情况   </w:t>
      </w:r>
    </w:p>
    <w:p>
      <w:pPr>
        <w:widowControl/>
        <w:spacing w:line="360" w:lineRule="atLeast"/>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部门职责：</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拟定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二）研究分析国内外、省内外、市内外经济形势和发展情况，进行区域经济的预测、预警；研究涉及全区经济安全的重要问题，提出区域经济调节政策的建议，综合协调经济社会发展；负责日常经济运行的调节，组织解决经济运行中的有关重大问题。</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（三）负责汇总和分析财政、金融等方面的情况，研究贯彻国家财政政策、货币政策以及其它调控政策的措施，组织实施产业政策，监督检查产业政策的执行；受政府委托对相关投融资机构进行宏观指导。</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四）研究全区经济体制改革和对外开放的重大问题，组织拟定综合性经济体制改革方案，协调有关专项经济体制改革和方案；提出完善社会主义市场经济体制、以改革开放促进发展的建议，指导和推进总体经济体制改革。</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五）研究提出全社会固定资产投资总规模，编制和实施固定资产投资计划，研究提出投资和建设领域的有关方针政策，负责区（县）级管理的基本建设项目、技改项目的审批、核准、备案。申报市管以上大中型基本建设项目、技术改造项目。安排区级重点项目，争列市以上重点项目。</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六）研究提出全区利用外资和境外投资的发展战略、总量平衡和结构优化的目标和政策；负责全口径外债的总量控制、结构优化和监测工作；指导和监督国外贷款建设资金的使用，安排利用外资和境外投资重点项目。</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七）推进产业结构战略性调整和升级；提出国民经济重要产业的发展战略和规划；研究并协调农业和农村经济社会发展的有关重大问题，做好农业资源区划，衔接农村专项规划和政策；拟定以工代赈扶贫规划和计划；指导工业发展，推进工业化和信息化；拟定工业行业规划；推进高技术产业发展，实施技术进步和产业现代化的宏观指导。</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（八）研究分析区域经济和城镇化发展情况，搞好资源开发，生产力布局和生态环境建设规划；提出区域经济协调发展的政策建议，推进城镇化建设。</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九）研究分析国内外、省内外、市内外市场状况，负责区内重要商品总量平衡和宏观调控；编制重要农产品、工业品和原材料进出口总量计划，监督计划执行情况，并根据经济运行情况对进出口总量计划进行调整；管理粮食、棉花、食糖、石油和药品等重要物资和商品的市区储备；研究提出现代物流业发展规划，协调流通体制改革的重大问题；规划和指导全区服务业的建设和发展。</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（十）做好人口和计划生育、科学技术、教育、文化、卫生等社会事业以及国防建设与国民经济发展的衔接平衡；提出经济与社会协调发展、相互促进的政策，协调社会事业发展的重大问题。</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（十一）推进可持续发展战略，研究拟定资源节约综合利用规划，编制生态建设规划，提出资源节约综合利用的政策建议；组织协调环保产业工作。</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（十二）研究多种所有制经济的状况，提出优化所有制结构和企业组织结构的建议，促进各种所有制企业公平竞争和共同发展；宏观指导和协调促进中小企业、非国有经济发展的重大问题。</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（十三）研究提出促进就业、调整收入分配、完善社会保障与经济协调发展的政策，协调就业、收入分配和社会保障的重大问题。</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（十四）参与国民经济和社会发展以及经济体制改革、对外开放有关地方性法规、规章的组织实施工作。</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（十五）组织、指导全区经济、技术交流与合作。</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（十六）承办区政府交办的其他事项。</w:t>
      </w:r>
    </w:p>
    <w:p>
      <w:pPr>
        <w:widowControl/>
        <w:spacing w:line="360" w:lineRule="atLeast"/>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机构设置：</w:t>
      </w:r>
    </w:p>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954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30"/>
        <w:gridCol w:w="1125"/>
        <w:gridCol w:w="1257"/>
        <w:gridCol w:w="28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jc w:val="center"/>
        </w:trPr>
        <w:tc>
          <w:tcPr>
            <w:tcW w:w="436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13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2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85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6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廊坊市广阳区发展改革局</w:t>
            </w:r>
          </w:p>
        </w:tc>
        <w:tc>
          <w:tcPr>
            <w:tcW w:w="113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26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5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二、部门预算安排的总体情况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spacing w:line="360" w:lineRule="atLeast"/>
        <w:jc w:val="left"/>
        <w:rPr>
          <w:rFonts w:ascii="楷体_GB2312" w:eastAsia="楷体_GB2312" w:cs="宋体"/>
          <w:b/>
          <w:bCs/>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2017年预算收入432.59万元，其中：一般公共预算收入432.59万元，政府性基金收入0万元。</w:t>
      </w:r>
    </w:p>
    <w:p>
      <w:pPr>
        <w:widowControl/>
        <w:spacing w:line="360" w:lineRule="atLeast"/>
        <w:jc w:val="left"/>
        <w:rPr>
          <w:rFonts w:ascii="楷体_GB2312" w:eastAsia="楷体_GB2312" w:cs="宋体"/>
          <w:b/>
          <w:bCs/>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2017年支出预算432.59万元，其中基本支出432.59万元，包括人员经费和日常公用经费，项目支出0万元。</w:t>
      </w:r>
    </w:p>
    <w:p>
      <w:pPr>
        <w:widowControl/>
        <w:spacing w:line="360" w:lineRule="atLeast"/>
        <w:jc w:val="left"/>
        <w:rPr>
          <w:rFonts w:ascii="楷体_GB2312" w:eastAsia="楷体_GB2312" w:cs="宋体"/>
          <w:b/>
          <w:bCs/>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2017年预算收支安排432.59万元，较2016年预算增加69.64万元，其中：基本支出增加84.64万元，主要为增加人员经费支出；项目支出减少15万元，主要为财力紧张，预算未安排。</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三、机关运行经费安排情况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2017年预算安排我部门机关运行经费1.32万元，其中办公经费1.32万元。</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拟定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二）研究分析国内外、省内外、市内外经济形势和发展情况，进行区域经济的预测、预警；研究涉及全区经济安全的重要问题，提出区域经济调节政策的建议，综合协调经济社会发展；负责日常经济运行的调节，组织解决经济运行中的有关重大问题。</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（三）负责汇总和分析财政、金融等方面的情况，研究贯彻国家财政政策、货币政策以及其它调控政策的措施，组织实施产业政策，监督检查产业政策的执行；受政府委托对相关投融资机构进行宏观指导。</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四）研究全区经济体制改革和对外开放的重大问题，组织拟定综合性经济体制改革方案，协调有关专项经济体制改革和方案；提出完善社会主义市场经济体制、以改革开放促进发展的建议，指导和推进总体经济体制改革。</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五）研究提出全社会固定资产投资总规模，编制和实施固定资产投资计划，研究提出投资和建设领域的有关方针政策，负责区（县）级管理的基本建设项目、技改项目的审批、核准、备案。申报市管以上大中型基本建设项目、技术改造项目。安排区级重点项目，争列市以上重点项目。</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六）研究提出全区利用外资和境外投资的发展战略、总量平衡和结构优化的目标和政策；负责全口径外债的总量控制、结构优化和监测工作；指导和监督国外贷款建设资金的使用，安排利用外资和境外投资重点项目。</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七）推进产业结构战略性调整和升级；提出国民经济重要产业的发展战略和规划；研究并协调农业和农村经济社会发展的有关重大问题，做好农业资源区划，衔接农村专项规划和政策；拟定以工代赈扶贫规划和计划；指导工业发展，推进工业化和信息化；拟定工业行业规划；推进高技术产业发展，实施技术进步和产业现代化的宏观指导。</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（八）研究分析区域经济和城镇化发展情况，搞好资源开发，生产力布局和生态环境建设规划；提出区域经济协调发展的政策建议，推进城镇化建设。</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九）研究分析国内外、省内外、市内外市场状况，负责区内重要商品总量平衡和宏观调控；编制重要农产品、工业品和原材料进出口总量计划，监督计划执行情况，并根据经济运行情况对进出口总量计划进行调整；管理粮食、棉花、食糖、石油和药品等重要物资和商品的市区储备；研究提出现代物流业发展规划，协调流通体制改革的重大问题；规划和指导全区服务业的建设和发展。</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（十）做好人口和计划生育、科学技术、教育、文化、卫生等社会事业以及国防建设与国民经济发展的衔接平衡；提出经济与社会协调发展、相互促进的政策，协调社会事业发展的重大问题。</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（十一）推进可持续发展战略，研究拟定资源节约综合利用规划，编制生态建设规划，提出资源节约综合利用的政策建议；组织协调环保产业工作。</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十二）研究多种所有制经济的状况，提出优化所有制结构和企业组织结构的建议，促进各种所有制企业公平竞争和共同发展；宏观指导和协调促进中小企业、非国有经济发展的重大问题。（十三）研究提出促进就业、调整收入分配、完善社会保障与经济协调发展的政策，协调就业、收入分配和社会保障的重大问题。</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（十四）参与国民经济和社会发展以及经济体制改革、对外开放有关地方性法规、规章的组织实施工作。</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（十五）组织、指导全区经济、技术交流与合作。</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（十六）承办区政府交办的其他事项。</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 编制《关于廊坊市广阳区2016年国民经济和社会发展计划执行情况及2017年计划（草案）的报告》并提交区“两会”，待两会审议通过后分解下达到各乡镇、街办处和区直有关部门。</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 继续开展全面经济运行分析，准确把握经济运行脉搏，及时发现影响全区发展的问题，提出有针对性的对策措施，为领导决策提供参考和思路。加强调查研究，选准、选好课题，拿出高质量的调研材料，促进科学决策，为各级领导提供更好的服务。</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(三)组织好广阳区2017年“5.18”经洽会和“9.26”农交会上会签约项目和招商项目发布工作</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(四)汇同区直相关部门，协调省、市发改委，加大跑办力度，积极争列国债资金项目和中央、省预算内资金项目，努力为我区申请国债资金和中央、省预算内资金支持。</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(五) 协调省市发改委和重点办，指导乡镇、街道办事处和项目单位，积极申报省市重点项目和省重点产业支撑项目。</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(六) 依托项目服务中心，全力抓好项目服务。通过加强服务人员业务培训、改善服务中心硬件条件等措施不断提高服务质量，营造良好的项目服务氛围，为建设项目提供全方位、优质、快速、便捷的服务，实现由管理型政府向服务型政府的转变</w:t>
      </w:r>
      <w:r>
        <w:rPr>
          <w:rFonts w:ascii="仿宋_GB2312" w:eastAsia="仿宋_GB2312" w:cs="宋体"/>
          <w:color w:val="000000"/>
          <w:kern w:val="0"/>
          <w:sz w:val="32"/>
          <w:szCs w:val="32"/>
        </w:rPr>
        <w:t>。</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(七)按照省市统一要求，贯彻落实</w:t>
      </w:r>
      <w:r>
        <w:rPr>
          <w:rFonts w:hint="eastAsia" w:ascii="仿宋_GB2312" w:eastAsia="仿宋_GB2312" w:cs="宋体"/>
          <w:color w:val="000000"/>
          <w:kern w:val="0"/>
          <w:sz w:val="32"/>
          <w:szCs w:val="32"/>
          <w:lang w:eastAsia="zh-CN"/>
        </w:rPr>
        <w:t>《中华人民共和国节约能源法》</w:t>
      </w:r>
      <w:r>
        <w:rPr>
          <w:rFonts w:hint="eastAsia" w:ascii="仿宋_GB2312" w:eastAsia="仿宋_GB2312" w:cs="宋体"/>
          <w:color w:val="000000"/>
          <w:kern w:val="0"/>
          <w:sz w:val="32"/>
          <w:szCs w:val="32"/>
        </w:rPr>
        <w:t>，加强节能监察与监测，全面做好节能工作</w:t>
      </w:r>
      <w:r>
        <w:rPr>
          <w:rFonts w:ascii="仿宋_GB2312" w:eastAsia="仿宋_GB2312" w:cs="宋体"/>
          <w:color w:val="000000"/>
          <w:kern w:val="0"/>
          <w:sz w:val="32"/>
          <w:szCs w:val="32"/>
        </w:rPr>
        <w:t>。</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(八) 严格按照“深入调研、结合实际、规划先行”的工作原则，全力做好农业资源区划工作，完成省、市区划办部署的农业资源区划专项调研任务。</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(九) 协助区政府做好经济体制改革工作，组织实施全区产业结构调整工，宏观指导和协调促进区属企业的改制工作。</w:t>
      </w:r>
    </w:p>
    <w:p>
      <w:pPr>
        <w:widowControl/>
        <w:spacing w:line="360" w:lineRule="atLeast"/>
        <w:jc w:val="left"/>
        <w:rPr>
          <w:rFonts w:ascii="仿宋_GB2312" w:eastAsia="仿宋_GB2312" w:cs="宋体"/>
          <w:b/>
          <w:bCs/>
          <w:color w:val="000000"/>
          <w:kern w:val="0"/>
          <w:sz w:val="32"/>
          <w:szCs w:val="32"/>
        </w:rPr>
      </w:pP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598"/>
        <w:gridCol w:w="864"/>
        <w:gridCol w:w="1933"/>
        <w:gridCol w:w="1933"/>
        <w:gridCol w:w="1109"/>
        <w:gridCol w:w="578"/>
        <w:gridCol w:w="578"/>
        <w:gridCol w:w="578"/>
        <w:gridCol w:w="5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221廊坊市广阳区发展改革局</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重点建设项目建设的监督和管理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组织谋划、实施事关全区经济和社会发展全局的重大项目；申列省、市重点项目；协调、调度、督导重点项目建设前期工作；统计上报全区项目建设情况。</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提升公共设施水平，提高公共服务能力，促进经济和社会发展。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组织实施重点建设项目监督管理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筛选和实施重点建设项目，协调建设要素及推进中的重大问题；组织开展重点建设项目稽察；组织开展对工作活动范围内的项目单位在前期手续、投资计划和资金下达、建设实施、建设管理、进度控制、竣工验收等方面实施情况的监督检查。</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加强重点项目谋划、协调、督导，推动重点项目顺利实施。加强项目监管；努力申报省市重点项目。</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项目开工率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申报省市重点项目成功率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组织编制经济社会发展规划和计划</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组织拟订广阳区经济社会发展规划。</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增强规划和计划的前瞻性、科学性、可操作性；规划目标全面、先进、可行；组织落实措施得力，调度有序。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经济社会发展中长期规划编制</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组织拟定我区经济社会发展中长期规划统筹协调县级专项规划和区域规划。</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规划和计划前瞻性、科学性、可操作性较强；规划目标全面、先进、可行。</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各类经济社会发展中长期规划编制完成率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年度经济社会发展计划编制</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根据我区经济社会发展战略规划，拟定我区年度经济社会发展计划</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经济社会发展计划切实体现区委、区政府决策目标和部署。</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区人大代表表决通过率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经济和社会运行监测、调节与协调</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负责区内重要物资和商品总量平衡和调控。</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做好经济运行监测分析，协调经济社会运行平稳有序和健康发展，提升全区经济、装备动员能力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经济社会发展形势监测分析、运行调节和政策建议</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负责县级经济社会发展运行调节、监测。</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推进经济社会健康协调发展，提升全区经济、装备动员能力。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调研次数、政策性文件、形势分析或调研报告数量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年度经济、装备动员年度计划完成率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促进区域经济发展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研究提出区域经济协调发展、加快城镇化发展的政策建议；负责区域经济合作统筹协调。</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促进我区区域经济发展京津冀协同发展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组织推进农业资源区划</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建立农业资源监测制度；负责农业资源可持续发展和高效利用实验示范工作。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掌握我县农业资源现状及动态变化。</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专题研究报告数量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推动京津冀协同发展</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配合国家首都经济圈发展规划，做好与国家规划的有效衔接；组织争取国家政策、资金等支持。</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与北京、天津开展战略合作，推动合作协议的落实，深化拓展合作领域，实质性推动一批重大合作事项进展。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发展规划出台情况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与津冀对接活动的组织及项目组织、督导、调研情况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推进产业结构调整</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协调第一、二、三产业发展，推进经济结构战略性调整。</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有效引导行业健康发展，提升我区产业和行业竞争力。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促进节能降耗、资源综合利用</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推进可持续发展战略，组织发展循环经济、全社会资源节约和综合利用；开展节能监察、监测，加强节能宣传培训</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电能使用效率不断提高；积极助推节能减排和大气污染防治；确保实现年度单位GDP能耗下降率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单位GDP能耗下降率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组织全区改革开放和经济技术合作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研究全区经济体制改革，组织指导和综合协调推进经济体制改革。</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研究经济体制改革的重大问题，组织拟订综合性经济体制改革方案，协调有关专项改革方案。</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推进全区经济体制改革工作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研究分析产业发展的情况，组织实施国家产业政策，监督产业政策落实情况；组织实施全区产业结构调整工作；宏观指导和协调促进中小企业、非国有经济发展的重大问题；提出产业发展方向及优化产业结构等有关政策建议；提出全区支持和鼓励发展的重点产业、企业、产品名单。</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推进经济体制改革，完善社会主义市场经济体制。</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体制改革落实情况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固定资产投资调控与管理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提出全区固定资产投资总规模；编制和实施固定资产投资计划；负责区级管理的基本建设项目、技改项目的审批、核准、备案；组织开展重点建设项目稽察监管工作。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提升公共设施水平，提高公共服务能力，促进经济和社会发展。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组织实施重点项目管理和稽察</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筛选和实施重点建设项目，协调建设要素及推进中的重大问题；按规定权限审批、核准、审核重大建设项目；组织开展重点建设项目稽察；组织开展对工作活动范围内的项目单位在前期手续、投资计划和资金下达、建设实施、建设管理、进度控制、资金和财务管理、竣工验收等方面实施情况的监督检查。</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按时编制并提交年度预算内基建项目安排建议；落实与中央、省投资项目配套；及时下达预算内基建项目投资计划，提高政务设施服务保障能力。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项目开工率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监督稽察覆盖率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突破概算投资的项目个数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资金细化程度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建设项目手续完备率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bl>
    <w:p>
      <w:pPr>
        <w:widowControl/>
        <w:spacing w:line="360" w:lineRule="atLeast"/>
        <w:jc w:val="left"/>
        <w:rPr>
          <w:rFonts w:ascii="宋体" w:hAnsi="宋体" w:eastAsia="黑体" w:cs="宋体"/>
          <w:color w:val="000000"/>
          <w:kern w:val="0"/>
          <w:sz w:val="32"/>
          <w:szCs w:val="32"/>
        </w:rPr>
      </w:pPr>
      <w:r>
        <w:rPr>
          <w:rFonts w:hint="eastAsia" w:ascii="宋体" w:hAnsi="宋体" w:eastAsia="黑体" w:cs="宋体"/>
          <w:color w:val="000000"/>
          <w:kern w:val="0"/>
          <w:sz w:val="32"/>
          <w:szCs w:val="32"/>
        </w:rPr>
        <w:t> </w:t>
      </w: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六、政府采购预算情况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b/>
                <w:bCs/>
                <w:color w:val="000000"/>
                <w:kern w:val="0"/>
                <w:sz w:val="28"/>
                <w:szCs w:val="28"/>
              </w:rPr>
              <w:t>廊坊市广阳区发展改革局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bl>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我部门（含所属单位）上年末固定资产金额为61.62万元，我部门本年度无拟购置固定资产，详见下表。</w:t>
      </w:r>
    </w:p>
    <w:tbl>
      <w:tblPr>
        <w:tblStyle w:val="4"/>
        <w:tblW w:w="1017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035"/>
        <w:gridCol w:w="2595"/>
        <w:gridCol w:w="3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10205" w:type="dxa"/>
            <w:gridSpan w:val="3"/>
            <w:tcBorders>
              <w:top w:val="nil"/>
              <w:left w:val="nil"/>
              <w:bottom w:val="nil"/>
              <w:right w:val="nil"/>
              <w:tl2br w:val="nil"/>
              <w:tr2bl w:val="nil"/>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555" w:type="dxa"/>
            <w:gridSpan w:val="2"/>
            <w:tcBorders>
              <w:top w:val="nil"/>
              <w:left w:val="nil"/>
              <w:bottom w:val="nil"/>
              <w:right w:val="nil"/>
              <w:tl2br w:val="nil"/>
              <w:tr2bl w:val="nil"/>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廊坊市广阳区发展改革局</w:t>
            </w:r>
          </w:p>
        </w:tc>
        <w:tc>
          <w:tcPr>
            <w:tcW w:w="3665" w:type="dxa"/>
            <w:tcBorders>
              <w:top w:val="nil"/>
              <w:left w:val="nil"/>
              <w:bottom w:val="nil"/>
              <w:right w:val="nil"/>
              <w:tl2br w:val="nil"/>
              <w:tr2bl w:val="nil"/>
            </w:tcBorders>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66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66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61.62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6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66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66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6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366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45.70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outset" w:color="auto" w:sz="6" w:space="0"/>
              <w:left w:val="outset" w:color="auto" w:sz="6" w:space="0"/>
              <w:bottom w:val="outset" w:color="auto" w:sz="6" w:space="0"/>
              <w:right w:val="outset" w:color="auto" w:sz="6" w:space="0"/>
              <w:tl2br w:val="nil"/>
              <w:tr2bl w:val="nil"/>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6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66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4、其他固定资产</w:t>
            </w:r>
          </w:p>
        </w:tc>
        <w:tc>
          <w:tcPr>
            <w:tcW w:w="256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宋体" w:hAnsi="宋体" w:eastAsia="仿宋_GB2312" w:cs="宋体"/>
                <w:kern w:val="0"/>
                <w:sz w:val="32"/>
                <w:szCs w:val="32"/>
              </w:rPr>
            </w:pPr>
            <w:r>
              <w:rPr>
                <w:rFonts w:ascii="宋体" w:hAnsi="宋体" w:eastAsia="仿宋_GB2312" w:cs="宋体"/>
                <w:kern w:val="0"/>
                <w:sz w:val="32"/>
                <w:szCs w:val="32"/>
              </w:rPr>
              <w:t> </w:t>
            </w:r>
          </w:p>
        </w:tc>
        <w:tc>
          <w:tcPr>
            <w:tcW w:w="3665" w:type="dxa"/>
            <w:tcBorders>
              <w:top w:val="outset" w:color="auto" w:sz="6" w:space="0"/>
              <w:left w:val="outset" w:color="auto" w:sz="6" w:space="0"/>
              <w:bottom w:val="outset" w:color="auto" w:sz="6" w:space="0"/>
              <w:right w:val="outset" w:color="auto" w:sz="6" w:space="0"/>
              <w:tl2br w:val="nil"/>
              <w:tr2bl w:val="nil"/>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15.92</w:t>
            </w:r>
          </w:p>
        </w:tc>
      </w:tr>
    </w:tbl>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八、名词解释</w:t>
      </w:r>
    </w:p>
    <w:p>
      <w:pPr>
        <w:pStyle w:val="7"/>
        <w:rPr>
          <w:rFonts w:ascii="仿宋_GB2312" w:eastAsia="仿宋_GB2312"/>
          <w:b/>
          <w:bCs/>
          <w:sz w:val="32"/>
          <w:szCs w:val="32"/>
        </w:rPr>
      </w:pPr>
      <w:r>
        <w:rPr>
          <w:rFonts w:hint="eastAsia" w:ascii="宋体" w:hAnsi="宋体" w:eastAsia="仿宋_GB2312" w:cs="宋体"/>
          <w:sz w:val="32"/>
          <w:szCs w:val="32"/>
        </w:rPr>
        <w:t xml:space="preserve">    </w:t>
      </w:r>
      <w:r>
        <w:rPr>
          <w:rFonts w:hint="eastAsia"/>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九、其它需要说明的事项</w:t>
      </w:r>
    </w:p>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无其它需要说明的事项。</w:t>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9E139"/>
    <w:multiLevelType w:val="multilevel"/>
    <w:tmpl w:val="0849E139"/>
    <w:lvl w:ilvl="0" w:tentative="0">
      <w:start w:val="1"/>
      <w:numFmt w:val="chineseCountingThousand"/>
      <w:lvlText w:val="%1、"/>
      <w:lvlJc w:val="left"/>
      <w:pPr>
        <w:tabs>
          <w:tab w:val="left" w:pos="647"/>
        </w:tabs>
        <w:ind w:left="647" w:hanging="647"/>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B07018"/>
    <w:rsid w:val="009F059B"/>
    <w:rsid w:val="00B07018"/>
    <w:rsid w:val="00C043D8"/>
    <w:rsid w:val="3173273C"/>
    <w:rsid w:val="6DA3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1135</Words>
  <Characters>6474</Characters>
  <Lines>53</Lines>
  <Paragraphs>15</Paragraphs>
  <TotalTime>14</TotalTime>
  <ScaleCrop>false</ScaleCrop>
  <LinksUpToDate>false</LinksUpToDate>
  <CharactersWithSpaces>7594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2017-10-27T09:20:00Z</dcterms:created>
  <dc:creator>lenovo</dc:creator>
  <cp:lastModifiedBy>111</cp:lastModifiedBy>
  <dcterms:modified xsi:type="dcterms:W3CDTF">2024-05-16T07:01:59Z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38AB971C7302404DB68C81D4F6F76A64</vt:lpwstr>
  </property>
</Properties>
</file>