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6C" w:rsidRDefault="004D2499">
      <w:pPr>
        <w:jc w:val="center"/>
        <w:rPr>
          <w:rFonts w:ascii="方正小标宋简体" w:eastAsia="方正小标宋简体" w:cs="宋体"/>
          <w:color w:val="000000"/>
          <w:kern w:val="0"/>
          <w:sz w:val="44"/>
          <w:szCs w:val="44"/>
        </w:rPr>
      </w:pPr>
      <w:r>
        <w:rPr>
          <w:rFonts w:ascii="方正小标宋简体" w:eastAsia="方正小标宋简体" w:cs="宋体" w:hint="eastAsia"/>
          <w:b/>
          <w:bCs/>
          <w:color w:val="000000"/>
          <w:kern w:val="0"/>
          <w:sz w:val="44"/>
          <w:szCs w:val="44"/>
        </w:rPr>
        <w:t>廊坊市广阳区供销社</w:t>
      </w:r>
      <w:r>
        <w:rPr>
          <w:rFonts w:ascii="方正小标宋简体" w:eastAsia="方正小标宋简体" w:cs="宋体" w:hint="eastAsia"/>
          <w:b/>
          <w:bCs/>
          <w:color w:val="000000"/>
          <w:kern w:val="0"/>
          <w:sz w:val="44"/>
          <w:szCs w:val="44"/>
        </w:rPr>
        <w:t>2017</w:t>
      </w:r>
      <w:r>
        <w:rPr>
          <w:rFonts w:ascii="方正小标宋简体" w:eastAsia="方正小标宋简体" w:cs="宋体" w:hint="eastAsia"/>
          <w:b/>
          <w:bCs/>
          <w:color w:val="000000"/>
          <w:kern w:val="0"/>
          <w:sz w:val="44"/>
          <w:szCs w:val="44"/>
        </w:rPr>
        <w:t>年部门预算</w:t>
      </w:r>
      <w:r>
        <w:rPr>
          <w:rFonts w:ascii="方正小标宋简体" w:eastAsia="方正小标宋简体" w:hint="eastAsia"/>
          <w:sz w:val="44"/>
          <w:szCs w:val="44"/>
        </w:rPr>
        <w:t>信息</w:t>
      </w:r>
      <w:r>
        <w:rPr>
          <w:rFonts w:ascii="方正小标宋简体" w:eastAsia="方正小标宋简体" w:cs="宋体" w:hint="eastAsia"/>
          <w:b/>
          <w:bCs/>
          <w:color w:val="000000"/>
          <w:kern w:val="0"/>
          <w:sz w:val="44"/>
          <w:szCs w:val="44"/>
        </w:rPr>
        <w:t>公开</w:t>
      </w:r>
      <w:r>
        <w:rPr>
          <w:rFonts w:ascii="方正小标宋简体" w:eastAsia="方正小标宋简体" w:cs="宋体" w:hint="eastAsia"/>
          <w:color w:val="000000"/>
          <w:kern w:val="0"/>
          <w:sz w:val="44"/>
          <w:szCs w:val="44"/>
        </w:rPr>
        <w:t> </w:t>
      </w:r>
    </w:p>
    <w:p w:rsidR="002F336C" w:rsidRDefault="004D2499">
      <w:pPr>
        <w:ind w:firstLineChars="200" w:firstLine="640"/>
        <w:rPr>
          <w:rFonts w:ascii="仿宋_GB2312" w:eastAsia="仿宋_GB2312"/>
          <w:sz w:val="32"/>
          <w:szCs w:val="32"/>
        </w:rPr>
      </w:pPr>
      <w:r>
        <w:rPr>
          <w:rFonts w:ascii="仿宋_GB2312" w:eastAsia="仿宋_GB2312" w:hint="eastAsia"/>
          <w:sz w:val="32"/>
          <w:szCs w:val="32"/>
        </w:rPr>
        <w:t>按照《预算法》、《地方预决算公开操作规程》和《河北省省级预算公开办法》规定，现将</w:t>
      </w:r>
      <w:r>
        <w:rPr>
          <w:rFonts w:ascii="仿宋_GB2312" w:eastAsia="仿宋_GB2312" w:cs="宋体" w:hint="eastAsia"/>
          <w:color w:val="000000"/>
          <w:kern w:val="0"/>
          <w:sz w:val="32"/>
          <w:szCs w:val="32"/>
        </w:rPr>
        <w:t>廊坊市广阳区供销社</w:t>
      </w:r>
      <w:r>
        <w:rPr>
          <w:rFonts w:ascii="仿宋_GB2312" w:eastAsia="仿宋_GB2312" w:hint="eastAsia"/>
          <w:sz w:val="32"/>
          <w:szCs w:val="32"/>
        </w:rPr>
        <w:t>2017</w:t>
      </w:r>
      <w:r>
        <w:rPr>
          <w:rFonts w:ascii="仿宋_GB2312" w:eastAsia="仿宋_GB2312" w:hint="eastAsia"/>
          <w:sz w:val="32"/>
          <w:szCs w:val="32"/>
        </w:rPr>
        <w:t>年部门预算公开如下：</w:t>
      </w:r>
      <w:r w:rsidR="00241B35">
        <w:rPr>
          <w:rFonts w:ascii="仿宋_GB2312" w:eastAsia="仿宋_GB2312" w:hint="eastAsia"/>
          <w:sz w:val="32"/>
          <w:szCs w:val="32"/>
        </w:rPr>
        <w:t xml:space="preserve">  </w:t>
      </w:r>
    </w:p>
    <w:p w:rsidR="002F336C" w:rsidRDefault="004D2499">
      <w:pPr>
        <w:widowControl/>
        <w:spacing w:line="360" w:lineRule="atLeast"/>
        <w:jc w:val="left"/>
        <w:rPr>
          <w:rFonts w:ascii="仿宋_GB2312" w:eastAsia="仿宋_GB2312" w:cs="宋体"/>
          <w:color w:val="000000"/>
          <w:kern w:val="0"/>
          <w:sz w:val="32"/>
          <w:szCs w:val="32"/>
        </w:rPr>
      </w:pPr>
      <w:r>
        <w:rPr>
          <w:rFonts w:ascii="黑体" w:eastAsia="黑体" w:cs="宋体" w:hint="eastAsia"/>
          <w:b/>
          <w:bCs/>
          <w:color w:val="000000"/>
          <w:kern w:val="0"/>
          <w:sz w:val="32"/>
          <w:szCs w:val="32"/>
        </w:rPr>
        <w:t>一、部门职责及机构设置情况</w:t>
      </w:r>
      <w:r>
        <w:rPr>
          <w:rFonts w:ascii="黑体" w:eastAsia="黑体" w:cs="宋体" w:hint="eastAsia"/>
          <w:b/>
          <w:bCs/>
          <w:color w:val="000000"/>
          <w:kern w:val="0"/>
          <w:sz w:val="32"/>
          <w:szCs w:val="32"/>
        </w:rPr>
        <w:br/>
      </w:r>
      <w:r>
        <w:rPr>
          <w:rFonts w:ascii="宋体" w:eastAsia="仿宋_GB2312" w:hAnsi="宋体" w:cs="宋体" w:hint="eastAsia"/>
          <w:b/>
          <w:bCs/>
          <w:color w:val="000000"/>
          <w:kern w:val="0"/>
          <w:sz w:val="32"/>
          <w:szCs w:val="32"/>
        </w:rPr>
        <w:t>    </w:t>
      </w:r>
      <w:r>
        <w:rPr>
          <w:rFonts w:ascii="仿宋_GB2312" w:eastAsia="仿宋_GB2312" w:cs="宋体" w:hint="eastAsia"/>
          <w:b/>
          <w:bCs/>
          <w:color w:val="000000"/>
          <w:kern w:val="0"/>
          <w:sz w:val="32"/>
          <w:szCs w:val="32"/>
        </w:rPr>
        <w:t>部门职责：</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（一）</w:t>
      </w:r>
      <w:r>
        <w:rPr>
          <w:rFonts w:ascii="仿宋_GB2312" w:eastAsia="仿宋_GB2312" w:cs="宋体" w:hint="eastAsia"/>
          <w:color w:val="000000"/>
          <w:kern w:val="0"/>
          <w:sz w:val="32"/>
          <w:szCs w:val="32"/>
        </w:rPr>
        <w:t xml:space="preserve"> </w:t>
      </w:r>
      <w:r>
        <w:rPr>
          <w:rFonts w:ascii="仿宋_GB2312" w:eastAsia="仿宋_GB2312" w:cs="宋体" w:hint="eastAsia"/>
          <w:color w:val="000000"/>
          <w:kern w:val="0"/>
          <w:sz w:val="32"/>
          <w:szCs w:val="32"/>
        </w:rPr>
        <w:t>是贯彻区委、区政府有关农村工作和社会发展的方针、政策；</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（二）是按照区政府授权，对全区农业生产资料、日用消费品、棉花、食盐、烟花爆竹喝废旧再生资源等进行组织、协调和管理；</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三）是负责指导全区供销社的业务工作，参与、推动和服务农业产业化经营，发展龙头企业、专业合作社和消费合作社，加快农业社会服务体系和农产品市场体系建设，开拓城乡市场。同时，承办区委、区政府和市供销社交办的其它事项。</w:t>
      </w:r>
    </w:p>
    <w:p w:rsidR="002F336C" w:rsidRDefault="004D2499">
      <w:pPr>
        <w:widowControl/>
        <w:spacing w:line="360" w:lineRule="atLeast"/>
        <w:jc w:val="left"/>
        <w:rPr>
          <w:rFonts w:ascii="仿宋_GB2312" w:eastAsia="仿宋_GB2312" w:cs="宋体"/>
          <w:b/>
          <w:bCs/>
          <w:color w:val="000000"/>
          <w:kern w:val="0"/>
          <w:sz w:val="32"/>
          <w:szCs w:val="32"/>
        </w:rPr>
      </w:pPr>
      <w:r>
        <w:rPr>
          <w:rFonts w:ascii="宋体" w:eastAsia="仿宋_GB2312" w:hAnsi="宋体" w:cs="宋体" w:hint="eastAsia"/>
          <w:b/>
          <w:bCs/>
          <w:color w:val="000000"/>
          <w:kern w:val="0"/>
          <w:sz w:val="32"/>
          <w:szCs w:val="32"/>
        </w:rPr>
        <w:t xml:space="preserve">    </w:t>
      </w:r>
      <w:r>
        <w:rPr>
          <w:rFonts w:ascii="仿宋_GB2312" w:eastAsia="仿宋_GB2312" w:cs="宋体" w:hint="eastAsia"/>
          <w:b/>
          <w:bCs/>
          <w:color w:val="000000"/>
          <w:kern w:val="0"/>
          <w:sz w:val="32"/>
          <w:szCs w:val="32"/>
        </w:rPr>
        <w:t>机构设置：</w:t>
      </w:r>
    </w:p>
    <w:p w:rsidR="002F336C" w:rsidRDefault="004D2499">
      <w:pPr>
        <w:widowControl/>
        <w:spacing w:line="360" w:lineRule="atLeast"/>
        <w:jc w:val="center"/>
        <w:rPr>
          <w:rFonts w:ascii="仿宋_GB2312" w:eastAsia="仿宋_GB2312" w:cs="宋体"/>
          <w:color w:val="000000"/>
          <w:kern w:val="0"/>
          <w:sz w:val="28"/>
          <w:szCs w:val="28"/>
        </w:rPr>
      </w:pPr>
      <w:r>
        <w:rPr>
          <w:rFonts w:ascii="宋体" w:eastAsia="仿宋_GB2312" w:hAnsi="宋体" w:cs="宋体" w:hint="eastAsia"/>
          <w:color w:val="000000"/>
          <w:kern w:val="0"/>
          <w:sz w:val="28"/>
          <w:szCs w:val="28"/>
        </w:rPr>
        <w:t xml:space="preserve">    </w:t>
      </w:r>
      <w:r>
        <w:rPr>
          <w:rFonts w:ascii="仿宋_GB2312" w:eastAsia="仿宋_GB2312" w:cs="宋体" w:hint="eastAsia"/>
          <w:color w:val="000000"/>
          <w:kern w:val="0"/>
          <w:sz w:val="28"/>
          <w:szCs w:val="28"/>
        </w:rPr>
        <w:t>部门机构设置情况</w:t>
      </w:r>
    </w:p>
    <w:tbl>
      <w:tblPr>
        <w:tblW w:w="951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293"/>
        <w:gridCol w:w="1388"/>
        <w:gridCol w:w="1273"/>
        <w:gridCol w:w="2558"/>
      </w:tblGrid>
      <w:tr w:rsidR="002F336C">
        <w:trPr>
          <w:trHeight w:val="734"/>
          <w:tblHeader/>
          <w:tblCellSpacing w:w="0" w:type="dxa"/>
          <w:jc w:val="center"/>
        </w:trPr>
        <w:tc>
          <w:tcPr>
            <w:tcW w:w="432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center"/>
              <w:rPr>
                <w:rFonts w:ascii="仿宋_GB2312" w:eastAsia="仿宋_GB2312" w:cs="宋体"/>
                <w:b/>
                <w:bCs/>
                <w:kern w:val="0"/>
                <w:sz w:val="28"/>
                <w:szCs w:val="28"/>
              </w:rPr>
            </w:pPr>
            <w:r>
              <w:rPr>
                <w:rFonts w:ascii="仿宋_GB2312" w:eastAsia="仿宋_GB2312" w:cs="宋体" w:hint="eastAsia"/>
                <w:b/>
                <w:bCs/>
                <w:kern w:val="0"/>
                <w:sz w:val="28"/>
                <w:szCs w:val="28"/>
              </w:rPr>
              <w:lastRenderedPageBreak/>
              <w:t>单位名称</w:t>
            </w:r>
          </w:p>
        </w:tc>
        <w:tc>
          <w:tcPr>
            <w:tcW w:w="1398"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center"/>
              <w:rPr>
                <w:rFonts w:ascii="仿宋_GB2312" w:eastAsia="仿宋_GB2312" w:cs="宋体"/>
                <w:b/>
                <w:bCs/>
                <w:kern w:val="0"/>
                <w:sz w:val="28"/>
                <w:szCs w:val="28"/>
              </w:rPr>
            </w:pPr>
            <w:r>
              <w:rPr>
                <w:rFonts w:ascii="仿宋_GB2312" w:eastAsia="仿宋_GB2312" w:cs="宋体" w:hint="eastAsia"/>
                <w:b/>
                <w:bCs/>
                <w:kern w:val="0"/>
                <w:sz w:val="28"/>
                <w:szCs w:val="28"/>
              </w:rPr>
              <w:t>单位性质</w:t>
            </w:r>
          </w:p>
        </w:tc>
        <w:tc>
          <w:tcPr>
            <w:tcW w:w="128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center"/>
              <w:rPr>
                <w:rFonts w:ascii="仿宋_GB2312" w:eastAsia="仿宋_GB2312" w:cs="宋体"/>
                <w:b/>
                <w:bCs/>
                <w:kern w:val="0"/>
                <w:sz w:val="28"/>
                <w:szCs w:val="28"/>
              </w:rPr>
            </w:pPr>
            <w:r>
              <w:rPr>
                <w:rFonts w:ascii="仿宋_GB2312" w:eastAsia="仿宋_GB2312" w:cs="宋体" w:hint="eastAsia"/>
                <w:b/>
                <w:bCs/>
                <w:kern w:val="0"/>
                <w:sz w:val="28"/>
                <w:szCs w:val="28"/>
              </w:rPr>
              <w:t>单位规格</w:t>
            </w:r>
          </w:p>
        </w:tc>
        <w:tc>
          <w:tcPr>
            <w:tcW w:w="2578"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center"/>
              <w:rPr>
                <w:rFonts w:ascii="仿宋_GB2312" w:eastAsia="仿宋_GB2312" w:cs="宋体"/>
                <w:b/>
                <w:bCs/>
                <w:kern w:val="0"/>
                <w:sz w:val="28"/>
                <w:szCs w:val="28"/>
              </w:rPr>
            </w:pPr>
            <w:r>
              <w:rPr>
                <w:rFonts w:ascii="仿宋_GB2312" w:eastAsia="仿宋_GB2312" w:cs="宋体" w:hint="eastAsia"/>
                <w:b/>
                <w:bCs/>
                <w:kern w:val="0"/>
                <w:sz w:val="28"/>
                <w:szCs w:val="28"/>
              </w:rPr>
              <w:t>经费保障形式</w:t>
            </w:r>
          </w:p>
        </w:tc>
      </w:tr>
      <w:tr w:rsidR="002F336C">
        <w:trPr>
          <w:trHeight w:val="225"/>
          <w:tblCellSpacing w:w="0" w:type="dxa"/>
          <w:jc w:val="center"/>
        </w:trPr>
        <w:tc>
          <w:tcPr>
            <w:tcW w:w="432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spacing w:line="225" w:lineRule="atLeast"/>
              <w:jc w:val="center"/>
              <w:rPr>
                <w:rFonts w:ascii="仿宋_GB2312" w:eastAsia="仿宋_GB2312" w:cs="宋体"/>
                <w:kern w:val="0"/>
                <w:sz w:val="28"/>
                <w:szCs w:val="28"/>
              </w:rPr>
            </w:pPr>
            <w:r>
              <w:rPr>
                <w:rFonts w:ascii="仿宋_GB2312" w:eastAsia="仿宋_GB2312" w:cs="宋体" w:hint="eastAsia"/>
                <w:kern w:val="0"/>
                <w:sz w:val="28"/>
                <w:szCs w:val="28"/>
              </w:rPr>
              <w:t>廊坊市广阳区供销合作社联合社</w:t>
            </w:r>
          </w:p>
        </w:tc>
        <w:tc>
          <w:tcPr>
            <w:tcW w:w="1398"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spacing w:line="225" w:lineRule="atLeast"/>
              <w:jc w:val="center"/>
              <w:rPr>
                <w:rFonts w:ascii="仿宋_GB2312" w:eastAsia="仿宋_GB2312" w:cs="宋体"/>
                <w:kern w:val="0"/>
                <w:sz w:val="28"/>
                <w:szCs w:val="28"/>
              </w:rPr>
            </w:pPr>
            <w:r>
              <w:rPr>
                <w:rFonts w:ascii="仿宋_GB2312" w:eastAsia="仿宋_GB2312" w:cs="宋体" w:hint="eastAsia"/>
                <w:kern w:val="0"/>
                <w:sz w:val="28"/>
                <w:szCs w:val="28"/>
              </w:rPr>
              <w:t>行政单位</w:t>
            </w:r>
          </w:p>
        </w:tc>
        <w:tc>
          <w:tcPr>
            <w:tcW w:w="128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spacing w:line="225" w:lineRule="atLeast"/>
              <w:jc w:val="center"/>
              <w:rPr>
                <w:rFonts w:ascii="仿宋_GB2312" w:eastAsia="仿宋_GB2312" w:cs="宋体"/>
                <w:kern w:val="0"/>
                <w:sz w:val="28"/>
                <w:szCs w:val="28"/>
              </w:rPr>
            </w:pPr>
            <w:r>
              <w:rPr>
                <w:rFonts w:ascii="仿宋_GB2312" w:eastAsia="仿宋_GB2312" w:cs="宋体" w:hint="eastAsia"/>
                <w:kern w:val="0"/>
                <w:sz w:val="28"/>
                <w:szCs w:val="28"/>
              </w:rPr>
              <w:t>正科级</w:t>
            </w:r>
          </w:p>
        </w:tc>
        <w:tc>
          <w:tcPr>
            <w:tcW w:w="2578"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spacing w:line="225" w:lineRule="atLeast"/>
              <w:jc w:val="center"/>
              <w:rPr>
                <w:rFonts w:ascii="仿宋_GB2312" w:eastAsia="仿宋_GB2312" w:cs="宋体"/>
                <w:kern w:val="0"/>
                <w:sz w:val="28"/>
                <w:szCs w:val="28"/>
              </w:rPr>
            </w:pPr>
            <w:r>
              <w:rPr>
                <w:rFonts w:ascii="仿宋_GB2312" w:eastAsia="仿宋_GB2312" w:cs="宋体" w:hint="eastAsia"/>
                <w:kern w:val="0"/>
                <w:sz w:val="28"/>
                <w:szCs w:val="28"/>
              </w:rPr>
              <w:t>财政拨款</w:t>
            </w:r>
          </w:p>
        </w:tc>
      </w:tr>
    </w:tbl>
    <w:p w:rsidR="002F336C" w:rsidRDefault="004D2499">
      <w:pPr>
        <w:widowControl/>
        <w:spacing w:line="360" w:lineRule="atLeast"/>
        <w:jc w:val="left"/>
        <w:rPr>
          <w:rFonts w:ascii="仿宋_GB2312" w:eastAsia="仿宋_GB2312" w:cs="宋体"/>
          <w:color w:val="000000"/>
          <w:kern w:val="0"/>
          <w:sz w:val="32"/>
          <w:szCs w:val="32"/>
        </w:rPr>
      </w:pPr>
      <w:r>
        <w:rPr>
          <w:rFonts w:ascii="黑体" w:eastAsia="黑体" w:cs="宋体" w:hint="eastAsia"/>
          <w:b/>
          <w:bCs/>
          <w:color w:val="000000"/>
          <w:kern w:val="0"/>
          <w:sz w:val="32"/>
          <w:szCs w:val="32"/>
        </w:rPr>
        <w:t>二、部门预算安排的总体情况</w:t>
      </w:r>
      <w:r>
        <w:rPr>
          <w:rFonts w:ascii="黑体" w:eastAsia="黑体"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按照预算管理有关规定，目前我区部门预算的编制实行综合预算制度，即全部收入和支出都反映在预算中。</w:t>
      </w:r>
      <w:r>
        <w:rPr>
          <w:rFonts w:ascii="仿宋_GB2312" w:eastAsia="仿宋_GB2312" w:cs="宋体" w:hint="eastAsia"/>
          <w:color w:val="000000"/>
          <w:kern w:val="0"/>
          <w:sz w:val="32"/>
          <w:szCs w:val="32"/>
        </w:rPr>
        <w:br/>
      </w:r>
      <w:r>
        <w:rPr>
          <w:rFonts w:ascii="宋体" w:eastAsia="楷体_GB2312" w:hAnsi="宋体" w:cs="宋体" w:hint="eastAsia"/>
          <w:b/>
          <w:bCs/>
          <w:color w:val="000000"/>
          <w:kern w:val="0"/>
          <w:sz w:val="32"/>
          <w:szCs w:val="32"/>
        </w:rPr>
        <w:t xml:space="preserve">    </w:t>
      </w:r>
      <w:r>
        <w:rPr>
          <w:rFonts w:ascii="楷体_GB2312" w:eastAsia="楷体_GB2312" w:cs="宋体" w:hint="eastAsia"/>
          <w:b/>
          <w:bCs/>
          <w:color w:val="000000"/>
          <w:kern w:val="0"/>
          <w:sz w:val="32"/>
          <w:szCs w:val="32"/>
        </w:rPr>
        <w:t>1</w:t>
      </w:r>
      <w:r>
        <w:rPr>
          <w:rFonts w:ascii="楷体_GB2312" w:eastAsia="楷体_GB2312" w:cs="宋体" w:hint="eastAsia"/>
          <w:b/>
          <w:bCs/>
          <w:color w:val="000000"/>
          <w:kern w:val="0"/>
          <w:sz w:val="32"/>
          <w:szCs w:val="32"/>
        </w:rPr>
        <w:t>、收入说明</w:t>
      </w:r>
      <w:r>
        <w:rPr>
          <w:rFonts w:ascii="楷体_GB2312" w:eastAsia="楷体_GB2312"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年预算收入</w:t>
      </w:r>
      <w:r>
        <w:rPr>
          <w:rFonts w:ascii="仿宋_GB2312" w:eastAsia="仿宋_GB2312" w:cs="宋体" w:hint="eastAsia"/>
          <w:color w:val="000000"/>
          <w:kern w:val="0"/>
          <w:sz w:val="32"/>
          <w:szCs w:val="32"/>
        </w:rPr>
        <w:t>586.99</w:t>
      </w:r>
      <w:r>
        <w:rPr>
          <w:rFonts w:ascii="仿宋_GB2312" w:eastAsia="仿宋_GB2312" w:cs="宋体" w:hint="eastAsia"/>
          <w:color w:val="000000"/>
          <w:kern w:val="0"/>
          <w:sz w:val="32"/>
          <w:szCs w:val="32"/>
        </w:rPr>
        <w:t>万元，其中：一般公共预算收入</w:t>
      </w:r>
      <w:r>
        <w:rPr>
          <w:rFonts w:ascii="仿宋_GB2312" w:eastAsia="仿宋_GB2312" w:cs="宋体" w:hint="eastAsia"/>
          <w:color w:val="000000"/>
          <w:kern w:val="0"/>
          <w:sz w:val="32"/>
          <w:szCs w:val="32"/>
        </w:rPr>
        <w:t>586.99</w:t>
      </w:r>
      <w:r>
        <w:rPr>
          <w:rFonts w:ascii="仿宋_GB2312" w:eastAsia="仿宋_GB2312" w:cs="宋体" w:hint="eastAsia"/>
          <w:color w:val="000000"/>
          <w:kern w:val="0"/>
          <w:sz w:val="32"/>
          <w:szCs w:val="32"/>
        </w:rPr>
        <w:t>万元，政府性基金收入</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w:t>
      </w:r>
    </w:p>
    <w:p w:rsidR="002F336C" w:rsidRDefault="004D2499">
      <w:pPr>
        <w:widowControl/>
        <w:spacing w:line="360" w:lineRule="atLeast"/>
        <w:jc w:val="left"/>
        <w:rPr>
          <w:rFonts w:ascii="仿宋_GB2312" w:eastAsia="仿宋_GB2312" w:cs="宋体"/>
          <w:color w:val="000000"/>
          <w:kern w:val="0"/>
          <w:sz w:val="32"/>
          <w:szCs w:val="32"/>
        </w:rPr>
      </w:pPr>
      <w:r>
        <w:rPr>
          <w:rFonts w:ascii="宋体" w:eastAsia="楷体_GB2312" w:hAnsi="宋体" w:cs="宋体" w:hint="eastAsia"/>
          <w:b/>
          <w:bCs/>
          <w:color w:val="000000"/>
          <w:kern w:val="0"/>
          <w:sz w:val="32"/>
          <w:szCs w:val="32"/>
        </w:rPr>
        <w:t xml:space="preserve">    </w:t>
      </w:r>
      <w:r>
        <w:rPr>
          <w:rFonts w:ascii="楷体_GB2312" w:eastAsia="楷体_GB2312" w:cs="宋体" w:hint="eastAsia"/>
          <w:b/>
          <w:bCs/>
          <w:color w:val="000000"/>
          <w:kern w:val="0"/>
          <w:sz w:val="32"/>
          <w:szCs w:val="32"/>
        </w:rPr>
        <w:t>2</w:t>
      </w:r>
      <w:r>
        <w:rPr>
          <w:rFonts w:ascii="楷体_GB2312" w:eastAsia="楷体_GB2312" w:cs="宋体" w:hint="eastAsia"/>
          <w:b/>
          <w:bCs/>
          <w:color w:val="000000"/>
          <w:kern w:val="0"/>
          <w:sz w:val="32"/>
          <w:szCs w:val="32"/>
        </w:rPr>
        <w:t>、支出说明</w:t>
      </w:r>
      <w:r>
        <w:rPr>
          <w:rFonts w:ascii="楷体_GB2312" w:eastAsia="楷体_GB2312"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年支出预算</w:t>
      </w:r>
      <w:r>
        <w:rPr>
          <w:rFonts w:ascii="仿宋_GB2312" w:eastAsia="仿宋_GB2312" w:cs="宋体" w:hint="eastAsia"/>
          <w:color w:val="000000"/>
          <w:kern w:val="0"/>
          <w:sz w:val="32"/>
          <w:szCs w:val="32"/>
        </w:rPr>
        <w:t>586.99</w:t>
      </w:r>
      <w:r>
        <w:rPr>
          <w:rFonts w:ascii="仿宋_GB2312" w:eastAsia="仿宋_GB2312" w:cs="宋体" w:hint="eastAsia"/>
          <w:color w:val="000000"/>
          <w:kern w:val="0"/>
          <w:sz w:val="32"/>
          <w:szCs w:val="32"/>
        </w:rPr>
        <w:t>万元，其中基本支出</w:t>
      </w:r>
      <w:r>
        <w:rPr>
          <w:rFonts w:ascii="仿宋_GB2312" w:eastAsia="仿宋_GB2312" w:cs="宋体" w:hint="eastAsia"/>
          <w:color w:val="000000"/>
          <w:kern w:val="0"/>
          <w:sz w:val="32"/>
          <w:szCs w:val="32"/>
        </w:rPr>
        <w:t>586.99</w:t>
      </w:r>
      <w:r>
        <w:rPr>
          <w:rFonts w:ascii="仿宋_GB2312" w:eastAsia="仿宋_GB2312" w:cs="宋体" w:hint="eastAsia"/>
          <w:color w:val="000000"/>
          <w:kern w:val="0"/>
          <w:sz w:val="32"/>
          <w:szCs w:val="32"/>
        </w:rPr>
        <w:t>万元，包括人员经费和日常公用经费，项目支出</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w:t>
      </w:r>
    </w:p>
    <w:p w:rsidR="002F336C" w:rsidRDefault="004D2499">
      <w:pPr>
        <w:widowControl/>
        <w:spacing w:line="360" w:lineRule="atLeast"/>
        <w:jc w:val="left"/>
        <w:rPr>
          <w:rFonts w:ascii="仿宋_GB2312" w:eastAsia="仿宋_GB2312" w:cs="宋体"/>
          <w:color w:val="000000"/>
          <w:kern w:val="0"/>
          <w:sz w:val="32"/>
          <w:szCs w:val="32"/>
        </w:rPr>
      </w:pPr>
      <w:r>
        <w:rPr>
          <w:rFonts w:ascii="宋体" w:eastAsia="楷体_GB2312" w:hAnsi="宋体" w:cs="宋体" w:hint="eastAsia"/>
          <w:b/>
          <w:bCs/>
          <w:color w:val="000000"/>
          <w:kern w:val="0"/>
          <w:sz w:val="32"/>
          <w:szCs w:val="32"/>
        </w:rPr>
        <w:t xml:space="preserve">    </w:t>
      </w:r>
      <w:r>
        <w:rPr>
          <w:rFonts w:ascii="楷体_GB2312" w:eastAsia="楷体_GB2312" w:cs="宋体" w:hint="eastAsia"/>
          <w:b/>
          <w:bCs/>
          <w:color w:val="000000"/>
          <w:kern w:val="0"/>
          <w:sz w:val="32"/>
          <w:szCs w:val="32"/>
        </w:rPr>
        <w:t>3</w:t>
      </w:r>
      <w:r>
        <w:rPr>
          <w:rFonts w:ascii="楷体_GB2312" w:eastAsia="楷体_GB2312" w:cs="宋体" w:hint="eastAsia"/>
          <w:b/>
          <w:bCs/>
          <w:color w:val="000000"/>
          <w:kern w:val="0"/>
          <w:sz w:val="32"/>
          <w:szCs w:val="32"/>
        </w:rPr>
        <w:t>、比上年增减情况</w:t>
      </w:r>
      <w:r>
        <w:rPr>
          <w:rFonts w:ascii="楷体_GB2312" w:eastAsia="楷体_GB2312"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年预算收支安排</w:t>
      </w:r>
      <w:r>
        <w:rPr>
          <w:rFonts w:ascii="仿宋_GB2312" w:eastAsia="仿宋_GB2312" w:cs="宋体" w:hint="eastAsia"/>
          <w:color w:val="000000"/>
          <w:kern w:val="0"/>
          <w:sz w:val="32"/>
          <w:szCs w:val="32"/>
        </w:rPr>
        <w:t>586.99</w:t>
      </w:r>
      <w:r>
        <w:rPr>
          <w:rFonts w:ascii="仿宋_GB2312" w:eastAsia="仿宋_GB2312" w:cs="宋体" w:hint="eastAsia"/>
          <w:color w:val="000000"/>
          <w:kern w:val="0"/>
          <w:sz w:val="32"/>
          <w:szCs w:val="32"/>
        </w:rPr>
        <w:t>万元，较</w:t>
      </w:r>
      <w:r>
        <w:rPr>
          <w:rFonts w:ascii="仿宋_GB2312" w:eastAsia="仿宋_GB2312" w:cs="宋体" w:hint="eastAsia"/>
          <w:color w:val="000000"/>
          <w:kern w:val="0"/>
          <w:sz w:val="32"/>
          <w:szCs w:val="32"/>
        </w:rPr>
        <w:t>2016</w:t>
      </w:r>
      <w:r>
        <w:rPr>
          <w:rFonts w:ascii="仿宋_GB2312" w:eastAsia="仿宋_GB2312" w:cs="宋体" w:hint="eastAsia"/>
          <w:color w:val="000000"/>
          <w:kern w:val="0"/>
          <w:sz w:val="32"/>
          <w:szCs w:val="32"/>
        </w:rPr>
        <w:t>年预算增加</w:t>
      </w:r>
      <w:r>
        <w:rPr>
          <w:rFonts w:ascii="仿宋_GB2312" w:eastAsia="仿宋_GB2312" w:cs="宋体" w:hint="eastAsia"/>
          <w:color w:val="000000"/>
          <w:kern w:val="0"/>
          <w:sz w:val="32"/>
          <w:szCs w:val="32"/>
        </w:rPr>
        <w:t>68.46</w:t>
      </w:r>
      <w:r>
        <w:rPr>
          <w:rFonts w:ascii="仿宋_GB2312" w:eastAsia="仿宋_GB2312" w:cs="宋体" w:hint="eastAsia"/>
          <w:color w:val="000000"/>
          <w:kern w:val="0"/>
          <w:sz w:val="32"/>
          <w:szCs w:val="32"/>
        </w:rPr>
        <w:t>万元，其中：基本支出增加</w:t>
      </w:r>
      <w:r>
        <w:rPr>
          <w:rFonts w:ascii="仿宋_GB2312" w:eastAsia="仿宋_GB2312" w:cs="宋体" w:hint="eastAsia"/>
          <w:color w:val="000000"/>
          <w:kern w:val="0"/>
          <w:sz w:val="32"/>
          <w:szCs w:val="32"/>
        </w:rPr>
        <w:t>83.46</w:t>
      </w:r>
      <w:r>
        <w:rPr>
          <w:rFonts w:ascii="仿宋_GB2312" w:eastAsia="仿宋_GB2312" w:cs="宋体" w:hint="eastAsia"/>
          <w:color w:val="000000"/>
          <w:kern w:val="0"/>
          <w:sz w:val="32"/>
          <w:szCs w:val="32"/>
        </w:rPr>
        <w:t>万元，主要为增加人员经费支出；项目支出减少</w:t>
      </w:r>
      <w:r>
        <w:rPr>
          <w:rFonts w:ascii="仿宋_GB2312" w:eastAsia="仿宋_GB2312" w:cs="宋体" w:hint="eastAsia"/>
          <w:color w:val="000000"/>
          <w:kern w:val="0"/>
          <w:sz w:val="32"/>
          <w:szCs w:val="32"/>
        </w:rPr>
        <w:t>15</w:t>
      </w:r>
      <w:r>
        <w:rPr>
          <w:rFonts w:ascii="仿宋_GB2312" w:eastAsia="仿宋_GB2312" w:cs="宋体" w:hint="eastAsia"/>
          <w:color w:val="000000"/>
          <w:kern w:val="0"/>
          <w:sz w:val="32"/>
          <w:szCs w:val="32"/>
        </w:rPr>
        <w:t>万元，主要为财力紧张，预算未</w:t>
      </w:r>
      <w:r>
        <w:rPr>
          <w:rFonts w:ascii="仿宋_GB2312" w:eastAsia="仿宋_GB2312" w:cs="宋体" w:hint="eastAsia"/>
          <w:color w:val="000000"/>
          <w:kern w:val="0"/>
          <w:sz w:val="32"/>
          <w:szCs w:val="32"/>
        </w:rPr>
        <w:lastRenderedPageBreak/>
        <w:t>安排。</w:t>
      </w:r>
      <w:r>
        <w:rPr>
          <w:rFonts w:ascii="仿宋_GB2312" w:eastAsia="仿宋_GB2312" w:cs="宋体" w:hint="eastAsia"/>
          <w:color w:val="000000"/>
          <w:kern w:val="0"/>
          <w:sz w:val="32"/>
          <w:szCs w:val="32"/>
        </w:rPr>
        <w:br/>
      </w:r>
      <w:r>
        <w:rPr>
          <w:rFonts w:ascii="黑体" w:eastAsia="黑体" w:cs="宋体" w:hint="eastAsia"/>
          <w:b/>
          <w:bCs/>
          <w:color w:val="000000"/>
          <w:kern w:val="0"/>
          <w:sz w:val="32"/>
          <w:szCs w:val="32"/>
        </w:rPr>
        <w:t>三、机关运行经费安排情况</w:t>
      </w:r>
      <w:r>
        <w:rPr>
          <w:rFonts w:ascii="黑体" w:eastAsia="黑体"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年预算安排我部门机关运行经费</w:t>
      </w:r>
      <w:r>
        <w:rPr>
          <w:rFonts w:ascii="仿宋_GB2312" w:eastAsia="仿宋_GB2312" w:cs="宋体" w:hint="eastAsia"/>
          <w:color w:val="000000"/>
          <w:kern w:val="0"/>
          <w:sz w:val="32"/>
          <w:szCs w:val="32"/>
        </w:rPr>
        <w:t>1.63</w:t>
      </w:r>
      <w:r>
        <w:rPr>
          <w:rFonts w:ascii="仿宋_GB2312" w:eastAsia="仿宋_GB2312" w:cs="宋体" w:hint="eastAsia"/>
          <w:color w:val="000000"/>
          <w:kern w:val="0"/>
          <w:sz w:val="32"/>
          <w:szCs w:val="32"/>
        </w:rPr>
        <w:t>万元，其中办公经费</w:t>
      </w:r>
      <w:r>
        <w:rPr>
          <w:rFonts w:ascii="仿宋_GB2312" w:eastAsia="仿宋_GB2312" w:cs="宋体" w:hint="eastAsia"/>
          <w:color w:val="000000"/>
          <w:kern w:val="0"/>
          <w:sz w:val="32"/>
          <w:szCs w:val="32"/>
        </w:rPr>
        <w:t>1.63</w:t>
      </w:r>
      <w:r>
        <w:rPr>
          <w:rFonts w:ascii="仿宋_GB2312" w:eastAsia="仿宋_GB2312" w:cs="宋体" w:hint="eastAsia"/>
          <w:color w:val="000000"/>
          <w:kern w:val="0"/>
          <w:sz w:val="32"/>
          <w:szCs w:val="32"/>
        </w:rPr>
        <w:t>万元。</w:t>
      </w:r>
      <w:r>
        <w:rPr>
          <w:rFonts w:ascii="仿宋_GB2312" w:eastAsia="仿宋_GB2312" w:cs="宋体" w:hint="eastAsia"/>
          <w:color w:val="000000"/>
          <w:kern w:val="0"/>
          <w:sz w:val="32"/>
          <w:szCs w:val="32"/>
        </w:rPr>
        <w:br/>
      </w:r>
      <w:r>
        <w:rPr>
          <w:rFonts w:ascii="黑体" w:eastAsia="黑体" w:cs="宋体" w:hint="eastAsia"/>
          <w:b/>
          <w:bCs/>
          <w:color w:val="000000"/>
          <w:kern w:val="0"/>
          <w:sz w:val="32"/>
          <w:szCs w:val="32"/>
        </w:rPr>
        <w:t>四、财政拨款“三公”经费预算情况及增减变化原因</w:t>
      </w:r>
      <w:r>
        <w:rPr>
          <w:rFonts w:ascii="黑体" w:eastAsia="黑体"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年，我部门“三公”经费预算安排</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万元，其中因公出国（境）费</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万元；公务用车购置及运维费</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万元（其中：公务用车购置费为</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万元，公务用车运行费为</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w:t>
      </w:r>
      <w:r>
        <w:rPr>
          <w:rFonts w:ascii="仿宋_GB2312" w:eastAsia="仿宋_GB2312" w:cs="宋体" w:hint="eastAsia"/>
          <w:color w:val="000000"/>
          <w:kern w:val="0"/>
          <w:sz w:val="32"/>
          <w:szCs w:val="32"/>
        </w:rPr>
        <w:t>)</w:t>
      </w:r>
      <w:r>
        <w:rPr>
          <w:rFonts w:ascii="仿宋_GB2312" w:eastAsia="仿宋_GB2312" w:cs="宋体" w:hint="eastAsia"/>
          <w:color w:val="000000"/>
          <w:kern w:val="0"/>
          <w:sz w:val="32"/>
          <w:szCs w:val="32"/>
        </w:rPr>
        <w:t>；公务接待费</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万元。与</w:t>
      </w:r>
      <w:r>
        <w:rPr>
          <w:rFonts w:ascii="仿宋_GB2312" w:eastAsia="仿宋_GB2312" w:cs="宋体" w:hint="eastAsia"/>
          <w:color w:val="000000"/>
          <w:kern w:val="0"/>
          <w:sz w:val="32"/>
          <w:szCs w:val="32"/>
        </w:rPr>
        <w:t>2016</w:t>
      </w:r>
      <w:r>
        <w:rPr>
          <w:rFonts w:ascii="仿宋_GB2312" w:eastAsia="仿宋_GB2312" w:cs="宋体" w:hint="eastAsia"/>
          <w:color w:val="000000"/>
          <w:kern w:val="0"/>
          <w:sz w:val="32"/>
          <w:szCs w:val="32"/>
        </w:rPr>
        <w:t>年持平、无增减变化。</w:t>
      </w:r>
      <w:r>
        <w:rPr>
          <w:rFonts w:ascii="仿宋_GB2312" w:eastAsia="仿宋_GB2312" w:cs="宋体" w:hint="eastAsia"/>
          <w:color w:val="000000"/>
          <w:kern w:val="0"/>
          <w:sz w:val="32"/>
          <w:szCs w:val="32"/>
        </w:rPr>
        <w:br/>
      </w:r>
      <w:r>
        <w:rPr>
          <w:rFonts w:ascii="黑体" w:eastAsia="黑体" w:cs="宋体" w:hint="eastAsia"/>
          <w:b/>
          <w:bCs/>
          <w:color w:val="000000"/>
          <w:kern w:val="0"/>
          <w:sz w:val="32"/>
          <w:szCs w:val="32"/>
        </w:rPr>
        <w:t>五、绩效预算信息</w:t>
      </w:r>
      <w:r>
        <w:rPr>
          <w:rFonts w:ascii="黑体" w:eastAsia="黑体" w:cs="宋体" w:hint="eastAsia"/>
          <w:color w:val="000000"/>
          <w:kern w:val="0"/>
          <w:sz w:val="32"/>
          <w:szCs w:val="32"/>
        </w:rPr>
        <w:br/>
      </w:r>
      <w:r>
        <w:rPr>
          <w:rFonts w:ascii="宋体" w:eastAsia="仿宋_GB2312" w:hAnsi="宋体" w:cs="宋体" w:hint="eastAsia"/>
          <w:b/>
          <w:bCs/>
          <w:color w:val="000000"/>
          <w:kern w:val="0"/>
          <w:sz w:val="32"/>
          <w:szCs w:val="32"/>
        </w:rPr>
        <w:t xml:space="preserve">    </w:t>
      </w:r>
      <w:r>
        <w:rPr>
          <w:rFonts w:ascii="仿宋_GB2312" w:eastAsia="仿宋_GB2312" w:cs="宋体" w:hint="eastAsia"/>
          <w:b/>
          <w:bCs/>
          <w:color w:val="000000"/>
          <w:kern w:val="0"/>
          <w:sz w:val="32"/>
          <w:szCs w:val="32"/>
        </w:rPr>
        <w:t>总体绩效目标：</w:t>
      </w:r>
      <w:r>
        <w:rPr>
          <w:rFonts w:ascii="仿宋_GB2312" w:eastAsia="仿宋_GB2312" w:cs="宋体" w:hint="eastAsia"/>
          <w:color w:val="000000"/>
          <w:kern w:val="0"/>
          <w:sz w:val="32"/>
          <w:szCs w:val="32"/>
        </w:rPr>
        <w:br/>
      </w:r>
      <w:r>
        <w:rPr>
          <w:rFonts w:ascii="宋体" w:eastAsia="楷体_GB2312" w:hAnsi="宋体" w:cs="宋体" w:hint="eastAsia"/>
          <w:color w:val="000000"/>
          <w:kern w:val="0"/>
          <w:sz w:val="32"/>
          <w:szCs w:val="32"/>
        </w:rPr>
        <w:t xml:space="preserve">    </w:t>
      </w:r>
      <w:r>
        <w:rPr>
          <w:rFonts w:ascii="楷体_GB2312" w:eastAsia="楷体_GB2312" w:cs="宋体" w:hint="eastAsia"/>
          <w:color w:val="000000"/>
          <w:kern w:val="0"/>
          <w:sz w:val="32"/>
          <w:szCs w:val="32"/>
        </w:rPr>
        <w:t>1</w:t>
      </w:r>
      <w:r>
        <w:rPr>
          <w:rFonts w:ascii="楷体_GB2312" w:eastAsia="楷体_GB2312" w:cs="宋体" w:hint="eastAsia"/>
          <w:color w:val="000000"/>
          <w:kern w:val="0"/>
          <w:sz w:val="32"/>
          <w:szCs w:val="32"/>
        </w:rPr>
        <w:t>、打造精品示范工程，加快专业社建设步伐</w:t>
      </w:r>
      <w:r>
        <w:rPr>
          <w:rFonts w:ascii="楷体_GB2312" w:eastAsia="楷体_GB2312" w:cs="宋体" w:hint="eastAsia"/>
          <w:color w:val="000000"/>
          <w:kern w:val="0"/>
          <w:sz w:val="32"/>
          <w:szCs w:val="32"/>
        </w:rPr>
        <w:br/>
      </w:r>
      <w:r>
        <w:rPr>
          <w:rFonts w:ascii="仿宋_GB2312" w:eastAsia="仿宋_GB2312" w:cs="宋体" w:hint="eastAsia"/>
          <w:color w:val="000000"/>
          <w:kern w:val="0"/>
          <w:sz w:val="32"/>
          <w:szCs w:val="32"/>
        </w:rPr>
        <w:t>依托“农合联”优势，充分发挥区农民专业合作社建设领导小组办公室的职能作用，于</w:t>
      </w:r>
      <w:r>
        <w:rPr>
          <w:rFonts w:ascii="仿宋_GB2312" w:eastAsia="仿宋_GB2312" w:cs="宋体" w:hint="eastAsia"/>
          <w:color w:val="000000"/>
          <w:kern w:val="0"/>
          <w:sz w:val="32"/>
          <w:szCs w:val="32"/>
        </w:rPr>
        <w:t>2016</w:t>
      </w:r>
      <w:r>
        <w:rPr>
          <w:rFonts w:ascii="仿宋_GB2312" w:eastAsia="仿宋_GB2312" w:cs="宋体" w:hint="eastAsia"/>
          <w:color w:val="000000"/>
          <w:kern w:val="0"/>
          <w:sz w:val="32"/>
          <w:szCs w:val="32"/>
        </w:rPr>
        <w:t>年年底以前完成以下工作。一是积极采取有效措施，新发展农民专业合作社</w:t>
      </w:r>
      <w:r>
        <w:rPr>
          <w:rFonts w:ascii="仿宋_GB2312" w:eastAsia="仿宋_GB2312" w:cs="宋体" w:hint="eastAsia"/>
          <w:color w:val="000000"/>
          <w:kern w:val="0"/>
          <w:sz w:val="32"/>
          <w:szCs w:val="32"/>
        </w:rPr>
        <w:t>2-3</w:t>
      </w:r>
      <w:r>
        <w:rPr>
          <w:rFonts w:ascii="仿宋_GB2312" w:eastAsia="仿宋_GB2312" w:cs="宋体" w:hint="eastAsia"/>
          <w:color w:val="000000"/>
          <w:kern w:val="0"/>
          <w:sz w:val="32"/>
          <w:szCs w:val="32"/>
        </w:rPr>
        <w:t>家，实现新增社员</w:t>
      </w:r>
      <w:r>
        <w:rPr>
          <w:rFonts w:ascii="仿宋_GB2312" w:eastAsia="仿宋_GB2312" w:cs="宋体" w:hint="eastAsia"/>
          <w:color w:val="000000"/>
          <w:kern w:val="0"/>
          <w:sz w:val="32"/>
          <w:szCs w:val="32"/>
        </w:rPr>
        <w:t>100</w:t>
      </w:r>
      <w:r>
        <w:rPr>
          <w:rFonts w:ascii="仿宋_GB2312" w:eastAsia="仿宋_GB2312" w:cs="宋体" w:hint="eastAsia"/>
          <w:color w:val="000000"/>
          <w:kern w:val="0"/>
          <w:sz w:val="32"/>
          <w:szCs w:val="32"/>
        </w:rPr>
        <w:t>户目标。二是培树典型，提升改造现有专业社</w:t>
      </w:r>
      <w:r>
        <w:rPr>
          <w:rFonts w:ascii="仿宋_GB2312" w:eastAsia="仿宋_GB2312" w:cs="宋体" w:hint="eastAsia"/>
          <w:color w:val="000000"/>
          <w:kern w:val="0"/>
          <w:sz w:val="32"/>
          <w:szCs w:val="32"/>
        </w:rPr>
        <w:t>1-2</w:t>
      </w:r>
      <w:r>
        <w:rPr>
          <w:rFonts w:ascii="仿宋_GB2312" w:eastAsia="仿宋_GB2312" w:cs="宋体" w:hint="eastAsia"/>
          <w:color w:val="000000"/>
          <w:kern w:val="0"/>
          <w:sz w:val="32"/>
          <w:szCs w:val="32"/>
        </w:rPr>
        <w:t>家，使之成为当地规模较大、管理规范、带动明显、示范作用突出的专业合作社，以点带面，促进全区专业合作社向正规化、市场化发</w:t>
      </w:r>
      <w:r>
        <w:rPr>
          <w:rFonts w:ascii="仿宋_GB2312" w:eastAsia="仿宋_GB2312" w:cs="宋体" w:hint="eastAsia"/>
          <w:color w:val="000000"/>
          <w:kern w:val="0"/>
          <w:sz w:val="32"/>
          <w:szCs w:val="32"/>
        </w:rPr>
        <w:lastRenderedPageBreak/>
        <w:t>展。三是强化《农民专业合作社法》的宣传工作，定期举办专业合作社知识和农技知识培训讲座，计划培训</w:t>
      </w:r>
      <w:r>
        <w:rPr>
          <w:rFonts w:ascii="仿宋_GB2312" w:eastAsia="仿宋_GB2312" w:cs="宋体" w:hint="eastAsia"/>
          <w:color w:val="000000"/>
          <w:kern w:val="0"/>
          <w:sz w:val="32"/>
          <w:szCs w:val="32"/>
        </w:rPr>
        <w:t>400</w:t>
      </w:r>
      <w:r>
        <w:rPr>
          <w:rFonts w:ascii="仿宋_GB2312" w:eastAsia="仿宋_GB2312" w:cs="宋体" w:hint="eastAsia"/>
          <w:color w:val="000000"/>
          <w:kern w:val="0"/>
          <w:sz w:val="32"/>
          <w:szCs w:val="32"/>
        </w:rPr>
        <w:t>人次。</w:t>
      </w:r>
      <w:r>
        <w:rPr>
          <w:rFonts w:ascii="仿宋_GB2312" w:eastAsia="仿宋_GB2312" w:cs="宋体" w:hint="eastAsia"/>
          <w:color w:val="000000"/>
          <w:kern w:val="0"/>
          <w:sz w:val="32"/>
          <w:szCs w:val="32"/>
        </w:rPr>
        <w:br/>
      </w:r>
      <w:r>
        <w:rPr>
          <w:rFonts w:ascii="宋体" w:eastAsia="楷体_GB2312" w:hAnsi="宋体" w:cs="宋体" w:hint="eastAsia"/>
          <w:color w:val="000000"/>
          <w:kern w:val="0"/>
          <w:sz w:val="32"/>
          <w:szCs w:val="32"/>
        </w:rPr>
        <w:t xml:space="preserve">    </w:t>
      </w:r>
      <w:r>
        <w:rPr>
          <w:rFonts w:ascii="楷体_GB2312" w:eastAsia="楷体_GB2312" w:cs="宋体" w:hint="eastAsia"/>
          <w:color w:val="000000"/>
          <w:kern w:val="0"/>
          <w:sz w:val="32"/>
          <w:szCs w:val="32"/>
        </w:rPr>
        <w:t>2</w:t>
      </w:r>
      <w:r>
        <w:rPr>
          <w:rFonts w:ascii="楷体_GB2312" w:eastAsia="楷体_GB2312" w:cs="宋体" w:hint="eastAsia"/>
          <w:color w:val="000000"/>
          <w:kern w:val="0"/>
          <w:sz w:val="32"/>
          <w:szCs w:val="32"/>
        </w:rPr>
        <w:t>、立足企业发展，推动重点项目建设</w:t>
      </w:r>
      <w:r>
        <w:rPr>
          <w:rFonts w:ascii="楷体_GB2312" w:eastAsia="楷体_GB2312" w:cs="宋体" w:hint="eastAsia"/>
          <w:color w:val="000000"/>
          <w:kern w:val="0"/>
          <w:sz w:val="32"/>
          <w:szCs w:val="32"/>
        </w:rPr>
        <w:br/>
      </w:r>
      <w:r>
        <w:rPr>
          <w:rFonts w:ascii="仿宋_GB2312" w:eastAsia="仿宋_GB2312" w:cs="宋体" w:hint="eastAsia"/>
          <w:color w:val="000000"/>
          <w:kern w:val="0"/>
          <w:sz w:val="32"/>
          <w:szCs w:val="32"/>
        </w:rPr>
        <w:t>一是经营好市区再生</w:t>
      </w:r>
      <w:r>
        <w:rPr>
          <w:rFonts w:ascii="仿宋_GB2312" w:eastAsia="仿宋_GB2312" w:cs="宋体" w:hint="eastAsia"/>
          <w:color w:val="000000"/>
          <w:kern w:val="0"/>
          <w:sz w:val="32"/>
          <w:szCs w:val="32"/>
        </w:rPr>
        <w:t>资源回收市场。加大工作力度，确保该市场回迁工作顺利完成，并及时制定经营规划，全面做好废旧物资的深加工、再利用等业务工作，确保该项目成为一项惠民、利民、便民的市政工程、民心工程。二是完成万庄供销社二期改造工程。确保该项目按时按质完成。</w:t>
      </w:r>
      <w:r>
        <w:rPr>
          <w:rFonts w:ascii="仿宋_GB2312" w:eastAsia="仿宋_GB2312" w:cs="宋体" w:hint="eastAsia"/>
          <w:color w:val="000000"/>
          <w:kern w:val="0"/>
          <w:sz w:val="32"/>
          <w:szCs w:val="32"/>
        </w:rPr>
        <w:br/>
      </w:r>
      <w:r>
        <w:rPr>
          <w:rFonts w:ascii="宋体" w:eastAsia="楷体_GB2312" w:hAnsi="宋体" w:cs="宋体" w:hint="eastAsia"/>
          <w:color w:val="000000"/>
          <w:kern w:val="0"/>
          <w:sz w:val="32"/>
          <w:szCs w:val="32"/>
        </w:rPr>
        <w:t xml:space="preserve">    </w:t>
      </w:r>
      <w:r>
        <w:rPr>
          <w:rFonts w:ascii="楷体_GB2312" w:eastAsia="楷体_GB2312" w:cs="宋体" w:hint="eastAsia"/>
          <w:color w:val="000000"/>
          <w:kern w:val="0"/>
          <w:sz w:val="32"/>
          <w:szCs w:val="32"/>
        </w:rPr>
        <w:t>3</w:t>
      </w:r>
      <w:r>
        <w:rPr>
          <w:rFonts w:ascii="楷体_GB2312" w:eastAsia="楷体_GB2312" w:cs="宋体" w:hint="eastAsia"/>
          <w:color w:val="000000"/>
          <w:kern w:val="0"/>
          <w:sz w:val="32"/>
          <w:szCs w:val="32"/>
        </w:rPr>
        <w:t>、履行服务职能，促进“新网”工程建设</w:t>
      </w:r>
      <w:r>
        <w:rPr>
          <w:rFonts w:ascii="楷体_GB2312" w:eastAsia="楷体_GB2312" w:cs="宋体" w:hint="eastAsia"/>
          <w:color w:val="000000"/>
          <w:kern w:val="0"/>
          <w:sz w:val="32"/>
          <w:szCs w:val="32"/>
        </w:rPr>
        <w:br/>
      </w:r>
      <w:r>
        <w:rPr>
          <w:rFonts w:ascii="仿宋_GB2312" w:eastAsia="仿宋_GB2312" w:cs="宋体" w:hint="eastAsia"/>
          <w:color w:val="000000"/>
          <w:kern w:val="0"/>
          <w:sz w:val="32"/>
          <w:szCs w:val="32"/>
        </w:rPr>
        <w:t>一是抓好农资连锁经营服务网络体系建设。计划新建</w:t>
      </w:r>
      <w:r>
        <w:rPr>
          <w:rFonts w:ascii="仿宋_GB2312" w:eastAsia="仿宋_GB2312" w:cs="宋体" w:hint="eastAsia"/>
          <w:color w:val="000000"/>
          <w:kern w:val="0"/>
          <w:sz w:val="32"/>
          <w:szCs w:val="32"/>
        </w:rPr>
        <w:t>1-2</w:t>
      </w:r>
      <w:r>
        <w:rPr>
          <w:rFonts w:ascii="仿宋_GB2312" w:eastAsia="仿宋_GB2312" w:cs="宋体" w:hint="eastAsia"/>
          <w:color w:val="000000"/>
          <w:kern w:val="0"/>
          <w:sz w:val="32"/>
          <w:szCs w:val="32"/>
        </w:rPr>
        <w:t>家农资服务网点。二是抓好日用消费品连锁经营网络建设。计划发展“农家店”</w:t>
      </w:r>
      <w:r>
        <w:rPr>
          <w:rFonts w:ascii="仿宋_GB2312" w:eastAsia="仿宋_GB2312" w:cs="宋体" w:hint="eastAsia"/>
          <w:color w:val="000000"/>
          <w:kern w:val="0"/>
          <w:sz w:val="32"/>
          <w:szCs w:val="32"/>
        </w:rPr>
        <w:t>1-2</w:t>
      </w:r>
      <w:r>
        <w:rPr>
          <w:rFonts w:ascii="仿宋_GB2312" w:eastAsia="仿宋_GB2312" w:cs="宋体" w:hint="eastAsia"/>
          <w:color w:val="000000"/>
          <w:kern w:val="0"/>
          <w:sz w:val="32"/>
          <w:szCs w:val="32"/>
        </w:rPr>
        <w:t>家，打造“精品店”</w:t>
      </w:r>
      <w:r>
        <w:rPr>
          <w:rFonts w:ascii="仿宋_GB2312" w:eastAsia="仿宋_GB2312" w:cs="宋体" w:hint="eastAsia"/>
          <w:color w:val="000000"/>
          <w:kern w:val="0"/>
          <w:sz w:val="32"/>
          <w:szCs w:val="32"/>
        </w:rPr>
        <w:t>2</w:t>
      </w:r>
      <w:r>
        <w:rPr>
          <w:rFonts w:ascii="仿宋_GB2312" w:eastAsia="仿宋_GB2312" w:cs="宋体" w:hint="eastAsia"/>
          <w:color w:val="000000"/>
          <w:kern w:val="0"/>
          <w:sz w:val="32"/>
          <w:szCs w:val="32"/>
        </w:rPr>
        <w:t>家，提高网络覆盖率。三是抓好烟花爆竹安全经营网络建设。按照打造全区烟花爆竹流通网络</w:t>
      </w:r>
      <w:r>
        <w:rPr>
          <w:rFonts w:ascii="仿宋_GB2312" w:eastAsia="仿宋_GB2312" w:cs="宋体" w:hint="eastAsia"/>
          <w:color w:val="000000"/>
          <w:kern w:val="0"/>
          <w:sz w:val="32"/>
          <w:szCs w:val="32"/>
        </w:rPr>
        <w:t>体系的规划要求，本着科学布局、统一管理的原则，组建</w:t>
      </w:r>
      <w:r>
        <w:rPr>
          <w:rFonts w:ascii="仿宋_GB2312" w:eastAsia="仿宋_GB2312" w:cs="宋体" w:hint="eastAsia"/>
          <w:color w:val="000000"/>
          <w:kern w:val="0"/>
          <w:sz w:val="32"/>
          <w:szCs w:val="32"/>
        </w:rPr>
        <w:t>1-2</w:t>
      </w:r>
      <w:r>
        <w:rPr>
          <w:rFonts w:ascii="仿宋_GB2312" w:eastAsia="仿宋_GB2312" w:cs="宋体" w:hint="eastAsia"/>
          <w:color w:val="000000"/>
          <w:kern w:val="0"/>
          <w:sz w:val="32"/>
          <w:szCs w:val="32"/>
        </w:rPr>
        <w:t>家烟花爆竹常年销售网点。以提高全区烟花爆竹管理的正规化、安全化水平，为广大群众提供方便，满足群众需求。</w:t>
      </w:r>
      <w:r>
        <w:rPr>
          <w:rFonts w:ascii="仿宋_GB2312" w:eastAsia="仿宋_GB2312" w:cs="宋体" w:hint="eastAsia"/>
          <w:color w:val="000000"/>
          <w:kern w:val="0"/>
          <w:sz w:val="32"/>
          <w:szCs w:val="32"/>
        </w:rPr>
        <w:br/>
      </w:r>
      <w:r>
        <w:rPr>
          <w:rFonts w:ascii="宋体" w:eastAsia="楷体_GB2312" w:hAnsi="宋体" w:cs="宋体" w:hint="eastAsia"/>
          <w:color w:val="000000"/>
          <w:kern w:val="0"/>
          <w:sz w:val="32"/>
          <w:szCs w:val="32"/>
        </w:rPr>
        <w:t xml:space="preserve">    </w:t>
      </w:r>
      <w:r>
        <w:rPr>
          <w:rFonts w:ascii="楷体_GB2312" w:eastAsia="楷体_GB2312" w:cs="宋体" w:hint="eastAsia"/>
          <w:color w:val="000000"/>
          <w:kern w:val="0"/>
          <w:sz w:val="32"/>
          <w:szCs w:val="32"/>
        </w:rPr>
        <w:t>4</w:t>
      </w:r>
      <w:r>
        <w:rPr>
          <w:rFonts w:ascii="楷体_GB2312" w:eastAsia="楷体_GB2312" w:cs="宋体" w:hint="eastAsia"/>
          <w:color w:val="000000"/>
          <w:kern w:val="0"/>
          <w:sz w:val="32"/>
          <w:szCs w:val="32"/>
        </w:rPr>
        <w:t>、抢抓发展机遇，深化供销社综合改革</w:t>
      </w:r>
      <w:r>
        <w:rPr>
          <w:rFonts w:ascii="楷体_GB2312" w:eastAsia="楷体_GB2312" w:cs="宋体" w:hint="eastAsia"/>
          <w:color w:val="000000"/>
          <w:kern w:val="0"/>
          <w:sz w:val="32"/>
          <w:szCs w:val="32"/>
        </w:rPr>
        <w:br/>
      </w:r>
      <w:r>
        <w:rPr>
          <w:rFonts w:ascii="仿宋_GB2312" w:eastAsia="仿宋_GB2312" w:cs="宋体" w:hint="eastAsia"/>
          <w:color w:val="000000"/>
          <w:kern w:val="0"/>
          <w:sz w:val="32"/>
          <w:szCs w:val="32"/>
        </w:rPr>
        <w:lastRenderedPageBreak/>
        <w:t>根据全省深化供销社综合改革精神，按照“改造自我、服务农民”的总体要求，进一步深化改革，破解自身发展难题，激发内在活力，积极构建农民合作社联合社体系，搭建为农服务综合平台，力争使供销社在新时期、新形势的“三农”工作中发挥新作用。</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b/>
          <w:bCs/>
          <w:color w:val="000000"/>
          <w:kern w:val="0"/>
          <w:sz w:val="32"/>
          <w:szCs w:val="32"/>
        </w:rPr>
        <w:t>职责分类绩效目标：</w:t>
      </w:r>
      <w:r>
        <w:rPr>
          <w:rFonts w:ascii="仿宋_GB2312" w:eastAsia="仿宋_GB2312" w:cs="宋体" w:hint="eastAsia"/>
          <w:color w:val="000000"/>
          <w:kern w:val="0"/>
          <w:sz w:val="32"/>
          <w:szCs w:val="32"/>
        </w:rPr>
        <w:br/>
      </w:r>
      <w:r>
        <w:rPr>
          <w:rFonts w:ascii="宋体" w:eastAsia="楷体_GB2312" w:hAnsi="宋体" w:cs="宋体" w:hint="eastAsia"/>
          <w:color w:val="000000"/>
          <w:kern w:val="0"/>
          <w:sz w:val="32"/>
          <w:szCs w:val="32"/>
        </w:rPr>
        <w:t xml:space="preserve">    </w:t>
      </w:r>
      <w:r>
        <w:rPr>
          <w:rFonts w:ascii="楷体_GB2312" w:eastAsia="楷体_GB2312" w:cs="宋体" w:hint="eastAsia"/>
          <w:color w:val="000000"/>
          <w:kern w:val="0"/>
          <w:sz w:val="32"/>
          <w:szCs w:val="32"/>
        </w:rPr>
        <w:t>一、主要职责</w:t>
      </w:r>
      <w:r>
        <w:rPr>
          <w:rFonts w:ascii="楷体_GB2312" w:eastAsia="楷体_GB2312"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廊坊市广阳区供销社为</w:t>
      </w:r>
      <w:r>
        <w:rPr>
          <w:rFonts w:ascii="仿宋_GB2312" w:eastAsia="仿宋_GB2312" w:cs="宋体" w:hint="eastAsia"/>
          <w:color w:val="000000"/>
          <w:kern w:val="0"/>
          <w:sz w:val="32"/>
          <w:szCs w:val="32"/>
        </w:rPr>
        <w:t>区政府领导下的区直部门。其主要职责是贯彻区委、区政府有关农村工作和社会发展的方针、政策；按照区政府授权，对全区农业生产资料、日用消费品、棉花、食盐、烟花爆竹喝废旧再生资源等进行组织、协调和管理；负责指导全区供销社的业务工作，参与、推动和服务农业产业化经营，发展龙头企业、专业合作社和消费合作社，加快农业社会服务体系和农产品市场体系建设，开拓城乡市场。同时，承办区委、区政府和市供销社交办的其它事项。</w:t>
      </w:r>
      <w:r>
        <w:rPr>
          <w:rFonts w:ascii="仿宋_GB2312" w:eastAsia="仿宋_GB2312" w:cs="宋体" w:hint="eastAsia"/>
          <w:color w:val="000000"/>
          <w:kern w:val="0"/>
          <w:sz w:val="32"/>
          <w:szCs w:val="32"/>
        </w:rPr>
        <w:br/>
      </w:r>
      <w:r>
        <w:rPr>
          <w:rFonts w:ascii="宋体" w:eastAsia="楷体_GB2312" w:hAnsi="宋体" w:cs="宋体" w:hint="eastAsia"/>
          <w:color w:val="000000"/>
          <w:kern w:val="0"/>
          <w:sz w:val="32"/>
          <w:szCs w:val="32"/>
        </w:rPr>
        <w:t xml:space="preserve">    </w:t>
      </w:r>
      <w:r>
        <w:rPr>
          <w:rFonts w:ascii="楷体_GB2312" w:eastAsia="楷体_GB2312" w:cs="宋体" w:hint="eastAsia"/>
          <w:color w:val="000000"/>
          <w:kern w:val="0"/>
          <w:sz w:val="32"/>
          <w:szCs w:val="32"/>
        </w:rPr>
        <w:t>二、</w:t>
      </w:r>
      <w:r>
        <w:rPr>
          <w:rFonts w:ascii="楷体_GB2312" w:eastAsia="楷体_GB2312" w:cs="宋体" w:hint="eastAsia"/>
          <w:color w:val="000000"/>
          <w:kern w:val="0"/>
          <w:sz w:val="32"/>
          <w:szCs w:val="32"/>
        </w:rPr>
        <w:t>2017</w:t>
      </w:r>
      <w:r>
        <w:rPr>
          <w:rFonts w:ascii="楷体_GB2312" w:eastAsia="楷体_GB2312" w:cs="宋体" w:hint="eastAsia"/>
          <w:color w:val="000000"/>
          <w:kern w:val="0"/>
          <w:sz w:val="32"/>
          <w:szCs w:val="32"/>
        </w:rPr>
        <w:t>年主要职责分类目标</w:t>
      </w:r>
      <w:r>
        <w:rPr>
          <w:rFonts w:ascii="楷体_GB2312" w:eastAsia="楷体_GB2312"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（一）打造精品示范工程，加快专业社建设步伐</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t>依托“农合联”优势，</w:t>
      </w:r>
      <w:r>
        <w:rPr>
          <w:rFonts w:ascii="仿宋_GB2312" w:eastAsia="仿宋_GB2312" w:cs="宋体" w:hint="eastAsia"/>
          <w:color w:val="000000"/>
          <w:kern w:val="0"/>
          <w:sz w:val="32"/>
          <w:szCs w:val="32"/>
        </w:rPr>
        <w:t>充分发挥区农民专业合作社建设领导小组办公室的职能作用，于</w:t>
      </w:r>
      <w:r>
        <w:rPr>
          <w:rFonts w:ascii="仿宋_GB2312" w:eastAsia="仿宋_GB2312" w:cs="宋体" w:hint="eastAsia"/>
          <w:color w:val="000000"/>
          <w:kern w:val="0"/>
          <w:sz w:val="32"/>
          <w:szCs w:val="32"/>
        </w:rPr>
        <w:t>2016</w:t>
      </w:r>
      <w:r>
        <w:rPr>
          <w:rFonts w:ascii="仿宋_GB2312" w:eastAsia="仿宋_GB2312" w:cs="宋体" w:hint="eastAsia"/>
          <w:color w:val="000000"/>
          <w:kern w:val="0"/>
          <w:sz w:val="32"/>
          <w:szCs w:val="32"/>
        </w:rPr>
        <w:t>年年</w:t>
      </w:r>
      <w:r>
        <w:rPr>
          <w:rFonts w:ascii="仿宋_GB2312" w:eastAsia="仿宋_GB2312" w:cs="宋体" w:hint="eastAsia"/>
          <w:color w:val="000000"/>
          <w:kern w:val="0"/>
          <w:sz w:val="32"/>
          <w:szCs w:val="32"/>
        </w:rPr>
        <w:lastRenderedPageBreak/>
        <w:t>底以前完成以下工作。一是积极采取有效措施，新发展农民专业合作社</w:t>
      </w:r>
      <w:r>
        <w:rPr>
          <w:rFonts w:ascii="仿宋_GB2312" w:eastAsia="仿宋_GB2312" w:cs="宋体" w:hint="eastAsia"/>
          <w:color w:val="000000"/>
          <w:kern w:val="0"/>
          <w:sz w:val="32"/>
          <w:szCs w:val="32"/>
        </w:rPr>
        <w:t>5-8</w:t>
      </w:r>
      <w:r>
        <w:rPr>
          <w:rFonts w:ascii="仿宋_GB2312" w:eastAsia="仿宋_GB2312" w:cs="宋体" w:hint="eastAsia"/>
          <w:color w:val="000000"/>
          <w:kern w:val="0"/>
          <w:sz w:val="32"/>
          <w:szCs w:val="32"/>
        </w:rPr>
        <w:t>家，实现新增社员</w:t>
      </w:r>
      <w:r>
        <w:rPr>
          <w:rFonts w:ascii="仿宋_GB2312" w:eastAsia="仿宋_GB2312" w:cs="宋体" w:hint="eastAsia"/>
          <w:color w:val="000000"/>
          <w:kern w:val="0"/>
          <w:sz w:val="32"/>
          <w:szCs w:val="32"/>
        </w:rPr>
        <w:t>300</w:t>
      </w:r>
      <w:r>
        <w:rPr>
          <w:rFonts w:ascii="仿宋_GB2312" w:eastAsia="仿宋_GB2312" w:cs="宋体" w:hint="eastAsia"/>
          <w:color w:val="000000"/>
          <w:kern w:val="0"/>
          <w:sz w:val="32"/>
          <w:szCs w:val="32"/>
        </w:rPr>
        <w:t>户目标。二是培树典型，提升改造现有专业社</w:t>
      </w:r>
      <w:r>
        <w:rPr>
          <w:rFonts w:ascii="仿宋_GB2312" w:eastAsia="仿宋_GB2312" w:cs="宋体" w:hint="eastAsia"/>
          <w:color w:val="000000"/>
          <w:kern w:val="0"/>
          <w:sz w:val="32"/>
          <w:szCs w:val="32"/>
        </w:rPr>
        <w:t>2-4</w:t>
      </w:r>
      <w:r>
        <w:rPr>
          <w:rFonts w:ascii="仿宋_GB2312" w:eastAsia="仿宋_GB2312" w:cs="宋体" w:hint="eastAsia"/>
          <w:color w:val="000000"/>
          <w:kern w:val="0"/>
          <w:sz w:val="32"/>
          <w:szCs w:val="32"/>
        </w:rPr>
        <w:t>家，使之成为当地规模较大、管理规范、带动明显、示范作用突出的专业合作社，以点带面，促进全区专业合作社向正规化、市场化发展。三是强化《农民专业合作社法》的宣传工作，定期举办专业合作社知识和农技知识培训讲座，计划培训</w:t>
      </w:r>
      <w:r>
        <w:rPr>
          <w:rFonts w:ascii="仿宋_GB2312" w:eastAsia="仿宋_GB2312" w:cs="宋体" w:hint="eastAsia"/>
          <w:color w:val="000000"/>
          <w:kern w:val="0"/>
          <w:sz w:val="32"/>
          <w:szCs w:val="32"/>
        </w:rPr>
        <w:t>500</w:t>
      </w:r>
      <w:r>
        <w:rPr>
          <w:rFonts w:ascii="仿宋_GB2312" w:eastAsia="仿宋_GB2312" w:cs="宋体" w:hint="eastAsia"/>
          <w:color w:val="000000"/>
          <w:kern w:val="0"/>
          <w:sz w:val="32"/>
          <w:szCs w:val="32"/>
        </w:rPr>
        <w:t>人次。</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（二）立足企业发展，推动重点项目建设</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一是完成万庄供销社二期改造</w:t>
      </w:r>
      <w:r>
        <w:rPr>
          <w:rFonts w:ascii="仿宋_GB2312" w:eastAsia="仿宋_GB2312" w:cs="宋体" w:hint="eastAsia"/>
          <w:color w:val="000000"/>
          <w:kern w:val="0"/>
          <w:sz w:val="32"/>
          <w:szCs w:val="32"/>
        </w:rPr>
        <w:t>工程。确保该项目按时按质完成。二是深化基层供销社体制改革，谋划并启动九州供销社危房改造建设工程。</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（三）履行服务职能，促进“新网”工程建设</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一是抓好农资连锁经营服务网络体系建设。计划新建</w:t>
      </w:r>
      <w:r>
        <w:rPr>
          <w:rFonts w:ascii="仿宋_GB2312" w:eastAsia="仿宋_GB2312" w:cs="宋体" w:hint="eastAsia"/>
          <w:color w:val="000000"/>
          <w:kern w:val="0"/>
          <w:sz w:val="32"/>
          <w:szCs w:val="32"/>
        </w:rPr>
        <w:t>6-8</w:t>
      </w:r>
      <w:r>
        <w:rPr>
          <w:rFonts w:ascii="仿宋_GB2312" w:eastAsia="仿宋_GB2312" w:cs="宋体" w:hint="eastAsia"/>
          <w:color w:val="000000"/>
          <w:kern w:val="0"/>
          <w:sz w:val="32"/>
          <w:szCs w:val="32"/>
        </w:rPr>
        <w:t>家农资服务网点。二是抓好日用消费品连锁经营网络建设。计划发展“农家店”</w:t>
      </w:r>
      <w:r>
        <w:rPr>
          <w:rFonts w:ascii="仿宋_GB2312" w:eastAsia="仿宋_GB2312" w:cs="宋体" w:hint="eastAsia"/>
          <w:color w:val="000000"/>
          <w:kern w:val="0"/>
          <w:sz w:val="32"/>
          <w:szCs w:val="32"/>
        </w:rPr>
        <w:t>5</w:t>
      </w:r>
      <w:r>
        <w:rPr>
          <w:rFonts w:ascii="仿宋_GB2312" w:eastAsia="仿宋_GB2312" w:cs="宋体" w:hint="eastAsia"/>
          <w:color w:val="000000"/>
          <w:kern w:val="0"/>
          <w:sz w:val="32"/>
          <w:szCs w:val="32"/>
        </w:rPr>
        <w:t>家，打造“精品店”</w:t>
      </w:r>
      <w:r>
        <w:rPr>
          <w:rFonts w:ascii="仿宋_GB2312" w:eastAsia="仿宋_GB2312" w:cs="宋体" w:hint="eastAsia"/>
          <w:color w:val="000000"/>
          <w:kern w:val="0"/>
          <w:sz w:val="32"/>
          <w:szCs w:val="32"/>
        </w:rPr>
        <w:t>5</w:t>
      </w:r>
      <w:r>
        <w:rPr>
          <w:rFonts w:ascii="仿宋_GB2312" w:eastAsia="仿宋_GB2312" w:cs="宋体" w:hint="eastAsia"/>
          <w:color w:val="000000"/>
          <w:kern w:val="0"/>
          <w:sz w:val="32"/>
          <w:szCs w:val="32"/>
        </w:rPr>
        <w:t>家，提高网络覆盖率。三是抓好烟花爆竹安全经营网络建设。按照打造全区烟花爆竹流通网络体系的规划要求，本着科学布局、统一管理的原则，组建</w:t>
      </w:r>
      <w:r>
        <w:rPr>
          <w:rFonts w:ascii="仿宋_GB2312" w:eastAsia="仿宋_GB2312" w:cs="宋体" w:hint="eastAsia"/>
          <w:color w:val="000000"/>
          <w:kern w:val="0"/>
          <w:sz w:val="32"/>
          <w:szCs w:val="32"/>
        </w:rPr>
        <w:t>1-2</w:t>
      </w:r>
      <w:r>
        <w:rPr>
          <w:rFonts w:ascii="仿宋_GB2312" w:eastAsia="仿宋_GB2312" w:cs="宋体" w:hint="eastAsia"/>
          <w:color w:val="000000"/>
          <w:kern w:val="0"/>
          <w:sz w:val="32"/>
          <w:szCs w:val="32"/>
        </w:rPr>
        <w:t>家烟花爆竹常年销售网点。以提高全区烟花爆竹管理的正</w:t>
      </w:r>
      <w:r>
        <w:rPr>
          <w:rFonts w:ascii="仿宋_GB2312" w:eastAsia="仿宋_GB2312" w:cs="宋体" w:hint="eastAsia"/>
          <w:color w:val="000000"/>
          <w:kern w:val="0"/>
          <w:sz w:val="32"/>
          <w:szCs w:val="32"/>
        </w:rPr>
        <w:lastRenderedPageBreak/>
        <w:t>规化、安全化水平，为广大</w:t>
      </w:r>
      <w:r>
        <w:rPr>
          <w:rFonts w:ascii="仿宋_GB2312" w:eastAsia="仿宋_GB2312" w:cs="宋体" w:hint="eastAsia"/>
          <w:color w:val="000000"/>
          <w:kern w:val="0"/>
          <w:sz w:val="32"/>
          <w:szCs w:val="32"/>
        </w:rPr>
        <w:t>群众提供方便，满足群众需求。</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t>部门职责</w:t>
      </w:r>
      <w:r>
        <w:rPr>
          <w:rFonts w:ascii="仿宋_GB2312" w:eastAsia="仿宋_GB2312" w:cs="宋体" w:hint="eastAsia"/>
          <w:color w:val="000000"/>
          <w:kern w:val="0"/>
          <w:sz w:val="32"/>
          <w:szCs w:val="32"/>
        </w:rPr>
        <w:t>-</w:t>
      </w:r>
      <w:r>
        <w:rPr>
          <w:rFonts w:ascii="仿宋_GB2312" w:eastAsia="仿宋_GB2312" w:cs="宋体" w:hint="eastAsia"/>
          <w:color w:val="000000"/>
          <w:kern w:val="0"/>
          <w:sz w:val="32"/>
          <w:szCs w:val="32"/>
        </w:rPr>
        <w:t>工作活动绩效目标</w:t>
      </w:r>
    </w:p>
    <w:p w:rsidR="002F336C" w:rsidRDefault="002F336C">
      <w:pPr>
        <w:widowControl/>
        <w:spacing w:line="360" w:lineRule="atLeast"/>
        <w:jc w:val="left"/>
        <w:rPr>
          <w:rFonts w:ascii="宋体" w:eastAsia="仿宋_GB2312" w:hAnsi="宋体" w:cs="宋体"/>
          <w:color w:val="000000"/>
          <w:kern w:val="0"/>
          <w:sz w:val="32"/>
          <w:szCs w:val="32"/>
        </w:rPr>
      </w:pPr>
    </w:p>
    <w:tbl>
      <w:tblPr>
        <w:tblpPr w:leftFromText="180" w:rightFromText="180" w:vertAnchor="text" w:horzAnchor="page" w:tblpX="3609" w:tblpY="-905"/>
        <w:tblOverlap w:val="never"/>
        <w:tblW w:w="97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308"/>
        <w:gridCol w:w="848"/>
        <w:gridCol w:w="1442"/>
        <w:gridCol w:w="1610"/>
        <w:gridCol w:w="872"/>
        <w:gridCol w:w="1027"/>
        <w:gridCol w:w="871"/>
        <w:gridCol w:w="871"/>
        <w:gridCol w:w="871"/>
      </w:tblGrid>
      <w:tr w:rsidR="002F336C">
        <w:trPr>
          <w:trHeight w:val="735"/>
          <w:tblHeader/>
          <w:tblCellSpacing w:w="0" w:type="dxa"/>
        </w:trPr>
        <w:tc>
          <w:tcPr>
            <w:tcW w:w="6677" w:type="dxa"/>
            <w:gridSpan w:val="5"/>
            <w:tcBorders>
              <w:top w:val="outset" w:sz="6" w:space="0" w:color="auto"/>
              <w:left w:val="outset" w:sz="6" w:space="0" w:color="auto"/>
              <w:bottom w:val="outset" w:sz="6" w:space="0" w:color="auto"/>
              <w:right w:val="outset" w:sz="6" w:space="0" w:color="auto"/>
            </w:tcBorders>
            <w:vAlign w:val="center"/>
          </w:tcPr>
          <w:p w:rsidR="002F336C" w:rsidRDefault="002F336C">
            <w:pPr>
              <w:widowControl/>
              <w:jc w:val="center"/>
            </w:pPr>
          </w:p>
          <w:p w:rsidR="002F336C" w:rsidRDefault="004D2499">
            <w:pPr>
              <w:widowControl/>
              <w:jc w:val="center"/>
              <w:rPr>
                <w:rFonts w:ascii="仿宋_GB2312" w:eastAsia="仿宋_GB2312" w:cs="宋体"/>
                <w:b/>
                <w:bCs/>
                <w:kern w:val="0"/>
                <w:sz w:val="28"/>
                <w:szCs w:val="28"/>
              </w:rPr>
            </w:pPr>
            <w:r>
              <w:rPr>
                <w:rFonts w:ascii="仿宋_GB2312" w:eastAsia="仿宋_GB2312" w:cs="宋体" w:hint="eastAsia"/>
                <w:b/>
                <w:bCs/>
                <w:kern w:val="0"/>
                <w:sz w:val="28"/>
                <w:szCs w:val="28"/>
              </w:rPr>
              <w:t>639</w:t>
            </w:r>
            <w:r>
              <w:rPr>
                <w:rFonts w:ascii="仿宋_GB2312" w:eastAsia="仿宋_GB2312" w:cs="宋体" w:hint="eastAsia"/>
                <w:b/>
                <w:bCs/>
                <w:kern w:val="0"/>
                <w:sz w:val="28"/>
                <w:szCs w:val="28"/>
              </w:rPr>
              <w:t>廊坊市广阳区供销社</w:t>
            </w:r>
          </w:p>
        </w:tc>
        <w:tc>
          <w:tcPr>
            <w:tcW w:w="3087" w:type="dxa"/>
            <w:gridSpan w:val="4"/>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center"/>
              <w:rPr>
                <w:rFonts w:ascii="仿宋_GB2312" w:eastAsia="仿宋_GB2312" w:cs="宋体"/>
                <w:b/>
                <w:bCs/>
                <w:kern w:val="0"/>
                <w:sz w:val="28"/>
                <w:szCs w:val="28"/>
              </w:rPr>
            </w:pPr>
            <w:r>
              <w:rPr>
                <w:rFonts w:ascii="仿宋_GB2312" w:eastAsia="仿宋_GB2312" w:cs="宋体" w:hint="eastAsia"/>
                <w:b/>
                <w:bCs/>
                <w:kern w:val="0"/>
                <w:sz w:val="28"/>
                <w:szCs w:val="28"/>
              </w:rPr>
              <w:t>单位：万元</w:t>
            </w:r>
          </w:p>
        </w:tc>
      </w:tr>
      <w:tr w:rsidR="002F336C">
        <w:trPr>
          <w:trHeight w:val="255"/>
          <w:tblHeader/>
          <w:tblCellSpacing w:w="0" w:type="dxa"/>
        </w:trPr>
        <w:tc>
          <w:tcPr>
            <w:tcW w:w="1518" w:type="dxa"/>
            <w:vMerge w:val="restart"/>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center"/>
              <w:rPr>
                <w:rFonts w:ascii="仿宋_GB2312" w:eastAsia="仿宋_GB2312" w:cs="宋体"/>
                <w:b/>
                <w:bCs/>
                <w:kern w:val="0"/>
                <w:sz w:val="28"/>
                <w:szCs w:val="28"/>
              </w:rPr>
            </w:pPr>
            <w:r>
              <w:rPr>
                <w:rFonts w:ascii="仿宋_GB2312" w:eastAsia="仿宋_GB2312" w:cs="宋体" w:hint="eastAsia"/>
                <w:b/>
                <w:bCs/>
                <w:kern w:val="0"/>
                <w:sz w:val="28"/>
                <w:szCs w:val="28"/>
              </w:rPr>
              <w:t>职责活动</w:t>
            </w:r>
          </w:p>
        </w:tc>
        <w:tc>
          <w:tcPr>
            <w:tcW w:w="961" w:type="dxa"/>
            <w:vMerge w:val="restart"/>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center"/>
              <w:rPr>
                <w:rFonts w:ascii="仿宋_GB2312" w:eastAsia="仿宋_GB2312" w:cs="宋体"/>
                <w:b/>
                <w:bCs/>
                <w:kern w:val="0"/>
                <w:sz w:val="28"/>
                <w:szCs w:val="28"/>
              </w:rPr>
            </w:pPr>
            <w:r>
              <w:rPr>
                <w:rFonts w:ascii="仿宋_GB2312" w:eastAsia="仿宋_GB2312" w:cs="宋体" w:hint="eastAsia"/>
                <w:b/>
                <w:bCs/>
                <w:kern w:val="0"/>
                <w:sz w:val="28"/>
                <w:szCs w:val="28"/>
              </w:rPr>
              <w:t>年度预算数</w:t>
            </w:r>
          </w:p>
        </w:tc>
        <w:tc>
          <w:tcPr>
            <w:tcW w:w="1562" w:type="dxa"/>
            <w:vMerge w:val="restart"/>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center"/>
              <w:rPr>
                <w:rFonts w:ascii="仿宋_GB2312" w:eastAsia="仿宋_GB2312" w:cs="宋体"/>
                <w:b/>
                <w:bCs/>
                <w:kern w:val="0"/>
                <w:sz w:val="28"/>
                <w:szCs w:val="28"/>
              </w:rPr>
            </w:pPr>
            <w:r>
              <w:rPr>
                <w:rFonts w:ascii="仿宋_GB2312" w:eastAsia="仿宋_GB2312" w:cs="宋体" w:hint="eastAsia"/>
                <w:b/>
                <w:bCs/>
                <w:kern w:val="0"/>
                <w:sz w:val="28"/>
                <w:szCs w:val="28"/>
              </w:rPr>
              <w:t>内容描述</w:t>
            </w:r>
          </w:p>
        </w:tc>
        <w:tc>
          <w:tcPr>
            <w:tcW w:w="1812" w:type="dxa"/>
            <w:vMerge w:val="restart"/>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center"/>
              <w:rPr>
                <w:rFonts w:ascii="仿宋_GB2312" w:eastAsia="仿宋_GB2312" w:cs="宋体"/>
                <w:b/>
                <w:bCs/>
                <w:kern w:val="0"/>
                <w:sz w:val="28"/>
                <w:szCs w:val="28"/>
              </w:rPr>
            </w:pPr>
            <w:r>
              <w:rPr>
                <w:rFonts w:ascii="仿宋_GB2312" w:eastAsia="仿宋_GB2312" w:cs="宋体" w:hint="eastAsia"/>
                <w:b/>
                <w:bCs/>
                <w:kern w:val="0"/>
                <w:sz w:val="28"/>
                <w:szCs w:val="28"/>
              </w:rPr>
              <w:t>绩效目标</w:t>
            </w:r>
          </w:p>
        </w:tc>
        <w:tc>
          <w:tcPr>
            <w:tcW w:w="885" w:type="dxa"/>
            <w:vMerge w:val="restart"/>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center"/>
              <w:rPr>
                <w:rFonts w:ascii="仿宋_GB2312" w:eastAsia="仿宋_GB2312" w:cs="宋体"/>
                <w:b/>
                <w:bCs/>
                <w:kern w:val="0"/>
                <w:sz w:val="28"/>
                <w:szCs w:val="28"/>
              </w:rPr>
            </w:pPr>
            <w:r>
              <w:rPr>
                <w:rFonts w:ascii="仿宋_GB2312" w:eastAsia="仿宋_GB2312" w:cs="宋体" w:hint="eastAsia"/>
                <w:b/>
                <w:bCs/>
                <w:kern w:val="0"/>
                <w:sz w:val="28"/>
                <w:szCs w:val="28"/>
              </w:rPr>
              <w:t>绩效指标</w:t>
            </w:r>
          </w:p>
        </w:tc>
        <w:tc>
          <w:tcPr>
            <w:tcW w:w="3087" w:type="dxa"/>
            <w:gridSpan w:val="4"/>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center"/>
              <w:rPr>
                <w:rFonts w:ascii="仿宋_GB2312" w:eastAsia="仿宋_GB2312" w:cs="宋体"/>
                <w:b/>
                <w:bCs/>
                <w:kern w:val="0"/>
                <w:sz w:val="28"/>
                <w:szCs w:val="28"/>
              </w:rPr>
            </w:pPr>
            <w:r>
              <w:rPr>
                <w:rFonts w:ascii="仿宋_GB2312" w:eastAsia="仿宋_GB2312" w:cs="宋体" w:hint="eastAsia"/>
                <w:b/>
                <w:bCs/>
                <w:kern w:val="0"/>
                <w:sz w:val="28"/>
                <w:szCs w:val="28"/>
              </w:rPr>
              <w:t>评价标准</w:t>
            </w:r>
          </w:p>
        </w:tc>
      </w:tr>
      <w:tr w:rsidR="002F336C">
        <w:trPr>
          <w:trHeight w:val="255"/>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F336C" w:rsidRDefault="002F336C"/>
        </w:tc>
        <w:tc>
          <w:tcPr>
            <w:tcW w:w="0" w:type="auto"/>
            <w:vMerge/>
            <w:tcBorders>
              <w:top w:val="outset" w:sz="6" w:space="0" w:color="auto"/>
              <w:left w:val="outset" w:sz="6" w:space="0" w:color="auto"/>
              <w:bottom w:val="outset" w:sz="6" w:space="0" w:color="auto"/>
              <w:right w:val="outset" w:sz="6" w:space="0" w:color="auto"/>
            </w:tcBorders>
            <w:vAlign w:val="center"/>
          </w:tcPr>
          <w:p w:rsidR="002F336C" w:rsidRDefault="002F336C"/>
        </w:tc>
        <w:tc>
          <w:tcPr>
            <w:tcW w:w="0" w:type="auto"/>
            <w:vMerge/>
            <w:tcBorders>
              <w:top w:val="outset" w:sz="6" w:space="0" w:color="auto"/>
              <w:left w:val="outset" w:sz="6" w:space="0" w:color="auto"/>
              <w:bottom w:val="outset" w:sz="6" w:space="0" w:color="auto"/>
              <w:right w:val="outset" w:sz="6" w:space="0" w:color="auto"/>
            </w:tcBorders>
            <w:vAlign w:val="center"/>
          </w:tcPr>
          <w:p w:rsidR="002F336C" w:rsidRDefault="002F336C"/>
        </w:tc>
        <w:tc>
          <w:tcPr>
            <w:tcW w:w="0" w:type="auto"/>
            <w:vMerge/>
            <w:tcBorders>
              <w:top w:val="outset" w:sz="6" w:space="0" w:color="auto"/>
              <w:left w:val="outset" w:sz="6" w:space="0" w:color="auto"/>
              <w:bottom w:val="outset" w:sz="6" w:space="0" w:color="auto"/>
              <w:right w:val="outset" w:sz="6" w:space="0" w:color="auto"/>
            </w:tcBorders>
            <w:vAlign w:val="center"/>
          </w:tcPr>
          <w:p w:rsidR="002F336C" w:rsidRDefault="002F336C"/>
        </w:tc>
        <w:tc>
          <w:tcPr>
            <w:tcW w:w="0" w:type="auto"/>
            <w:vMerge/>
            <w:tcBorders>
              <w:top w:val="outset" w:sz="6" w:space="0" w:color="auto"/>
              <w:left w:val="outset" w:sz="6" w:space="0" w:color="auto"/>
              <w:bottom w:val="outset" w:sz="6" w:space="0" w:color="auto"/>
              <w:right w:val="outset" w:sz="6" w:space="0" w:color="auto"/>
            </w:tcBorders>
            <w:vAlign w:val="center"/>
          </w:tcPr>
          <w:p w:rsidR="002F336C" w:rsidRDefault="002F336C"/>
        </w:tc>
        <w:tc>
          <w:tcPr>
            <w:tcW w:w="887"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center"/>
              <w:rPr>
                <w:rFonts w:ascii="仿宋_GB2312" w:eastAsia="仿宋_GB2312" w:cs="宋体"/>
                <w:b/>
                <w:bCs/>
                <w:kern w:val="0"/>
                <w:sz w:val="28"/>
                <w:szCs w:val="28"/>
              </w:rPr>
            </w:pPr>
            <w:r>
              <w:rPr>
                <w:rFonts w:ascii="仿宋_GB2312" w:eastAsia="仿宋_GB2312" w:cs="宋体" w:hint="eastAsia"/>
                <w:b/>
                <w:bCs/>
                <w:kern w:val="0"/>
                <w:sz w:val="28"/>
                <w:szCs w:val="28"/>
              </w:rPr>
              <w:t>优</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center"/>
              <w:rPr>
                <w:rFonts w:ascii="仿宋_GB2312" w:eastAsia="仿宋_GB2312" w:cs="宋体"/>
                <w:b/>
                <w:bCs/>
                <w:kern w:val="0"/>
                <w:sz w:val="28"/>
                <w:szCs w:val="28"/>
              </w:rPr>
            </w:pPr>
            <w:r>
              <w:rPr>
                <w:rFonts w:ascii="仿宋_GB2312" w:eastAsia="仿宋_GB2312" w:cs="宋体" w:hint="eastAsia"/>
                <w:b/>
                <w:bCs/>
                <w:kern w:val="0"/>
                <w:sz w:val="28"/>
                <w:szCs w:val="28"/>
              </w:rPr>
              <w:t>良</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center"/>
              <w:rPr>
                <w:rFonts w:ascii="仿宋_GB2312" w:eastAsia="仿宋_GB2312" w:cs="宋体"/>
                <w:b/>
                <w:bCs/>
                <w:kern w:val="0"/>
                <w:sz w:val="28"/>
                <w:szCs w:val="28"/>
              </w:rPr>
            </w:pPr>
            <w:r>
              <w:rPr>
                <w:rFonts w:ascii="仿宋_GB2312" w:eastAsia="仿宋_GB2312" w:cs="宋体" w:hint="eastAsia"/>
                <w:b/>
                <w:bCs/>
                <w:kern w:val="0"/>
                <w:sz w:val="28"/>
                <w:szCs w:val="28"/>
              </w:rPr>
              <w:t>中</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center"/>
              <w:rPr>
                <w:rFonts w:ascii="仿宋_GB2312" w:eastAsia="仿宋_GB2312" w:cs="宋体"/>
                <w:b/>
                <w:bCs/>
                <w:kern w:val="0"/>
                <w:sz w:val="28"/>
                <w:szCs w:val="28"/>
              </w:rPr>
            </w:pPr>
            <w:r>
              <w:rPr>
                <w:rFonts w:ascii="仿宋_GB2312" w:eastAsia="仿宋_GB2312" w:cs="宋体" w:hint="eastAsia"/>
                <w:b/>
                <w:bCs/>
                <w:kern w:val="0"/>
                <w:sz w:val="28"/>
                <w:szCs w:val="28"/>
              </w:rPr>
              <w:t>差</w:t>
            </w:r>
          </w:p>
        </w:tc>
      </w:tr>
      <w:tr w:rsidR="002F336C">
        <w:trPr>
          <w:trHeight w:val="255"/>
          <w:tblCellSpacing w:w="0" w:type="dxa"/>
        </w:trPr>
        <w:tc>
          <w:tcPr>
            <w:tcW w:w="1518"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b/>
                <w:bCs/>
                <w:kern w:val="0"/>
                <w:sz w:val="28"/>
                <w:szCs w:val="28"/>
              </w:rPr>
              <w:t>供销流通管理</w:t>
            </w:r>
          </w:p>
        </w:tc>
        <w:tc>
          <w:tcPr>
            <w:tcW w:w="961"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156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贯彻区委和区政府有关农村工作和社会发展的方针、政策，制定全区供销社的发展战略和规划，指导全区供销社的改革和发</w:t>
            </w:r>
            <w:r>
              <w:rPr>
                <w:rFonts w:ascii="仿宋_GB2312" w:eastAsia="仿宋_GB2312" w:cs="宋体" w:hint="eastAsia"/>
                <w:kern w:val="0"/>
                <w:sz w:val="28"/>
                <w:szCs w:val="28"/>
              </w:rPr>
              <w:lastRenderedPageBreak/>
              <w:t>展。</w:t>
            </w:r>
          </w:p>
        </w:tc>
        <w:tc>
          <w:tcPr>
            <w:tcW w:w="181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紧紧围绕“三农”工作大局，以密切与农民利益联结为核心，以提升为农服务能力为根本，以强化基层社和创新联合社治理机制为重点，</w:t>
            </w:r>
            <w:r>
              <w:rPr>
                <w:rFonts w:ascii="仿宋_GB2312" w:eastAsia="仿宋_GB2312" w:cs="宋体" w:hint="eastAsia"/>
                <w:kern w:val="0"/>
                <w:sz w:val="28"/>
                <w:szCs w:val="28"/>
              </w:rPr>
              <w:lastRenderedPageBreak/>
              <w:t>努力开创特色供销合作事业新局面。按照“改造自我，服务农民”的总体要求，朝着办成农民合作经济组织的方向，大力推行经营创新、组织创新、服务创新，推动综合改革顺利</w:t>
            </w:r>
            <w:r>
              <w:rPr>
                <w:rFonts w:ascii="仿宋_GB2312" w:eastAsia="仿宋_GB2312" w:cs="宋体" w:hint="eastAsia"/>
                <w:kern w:val="0"/>
                <w:sz w:val="28"/>
                <w:szCs w:val="28"/>
              </w:rPr>
              <w:lastRenderedPageBreak/>
              <w:t>进行。</w:t>
            </w:r>
          </w:p>
        </w:tc>
        <w:tc>
          <w:tcPr>
            <w:tcW w:w="885"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lastRenderedPageBreak/>
              <w:t> </w:t>
            </w:r>
          </w:p>
        </w:tc>
        <w:tc>
          <w:tcPr>
            <w:tcW w:w="887"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r>
      <w:tr w:rsidR="002F336C">
        <w:trPr>
          <w:trHeight w:val="255"/>
          <w:tblCellSpacing w:w="0" w:type="dxa"/>
        </w:trPr>
        <w:tc>
          <w:tcPr>
            <w:tcW w:w="1518"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b/>
                <w:bCs/>
                <w:kern w:val="0"/>
                <w:sz w:val="28"/>
                <w:szCs w:val="28"/>
              </w:rPr>
              <w:lastRenderedPageBreak/>
              <w:t xml:space="preserve">　　供销社综合改革</w:t>
            </w:r>
          </w:p>
        </w:tc>
        <w:tc>
          <w:tcPr>
            <w:tcW w:w="961"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156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按照中共中央、国务院下发的《关于深化供销社综合改革的决定》，全区供销系统按照“改造自我，服务农民”总要求，强力推进组织体系、服务体</w:t>
            </w:r>
            <w:r>
              <w:rPr>
                <w:rFonts w:ascii="仿宋_GB2312" w:eastAsia="仿宋_GB2312" w:cs="宋体" w:hint="eastAsia"/>
                <w:kern w:val="0"/>
                <w:sz w:val="28"/>
                <w:szCs w:val="28"/>
              </w:rPr>
              <w:lastRenderedPageBreak/>
              <w:t>系、经营体系、金融体系和管理体制创新，把供销合作社办成上下贯通的实体性合作经济组织，成为服务农业、农村、农民的生力军和综合平台，成为中国特色</w:t>
            </w:r>
            <w:r>
              <w:rPr>
                <w:rFonts w:ascii="仿宋_GB2312" w:eastAsia="仿宋_GB2312" w:cs="宋体" w:hint="eastAsia"/>
                <w:kern w:val="0"/>
                <w:sz w:val="28"/>
                <w:szCs w:val="28"/>
              </w:rPr>
              <w:lastRenderedPageBreak/>
              <w:t>农村工作体系和农业服务体系的重要组成部分。</w:t>
            </w:r>
          </w:p>
        </w:tc>
        <w:tc>
          <w:tcPr>
            <w:tcW w:w="181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到</w:t>
            </w:r>
            <w:r>
              <w:rPr>
                <w:rFonts w:ascii="仿宋_GB2312" w:eastAsia="仿宋_GB2312" w:cs="宋体" w:hint="eastAsia"/>
                <w:kern w:val="0"/>
                <w:sz w:val="28"/>
                <w:szCs w:val="28"/>
              </w:rPr>
              <w:t>2020</w:t>
            </w:r>
            <w:r>
              <w:rPr>
                <w:rFonts w:ascii="仿宋_GB2312" w:eastAsia="仿宋_GB2312" w:cs="宋体" w:hint="eastAsia"/>
                <w:kern w:val="0"/>
                <w:sz w:val="28"/>
                <w:szCs w:val="28"/>
              </w:rPr>
              <w:t>年，把供销合作社系统打造成为与农民联结更紧密、为农服务功能更完备、市场化运行更高效的合作经济组织体系，成为服务农民生产生活的生力军</w:t>
            </w:r>
            <w:r>
              <w:rPr>
                <w:rFonts w:ascii="仿宋_GB2312" w:eastAsia="仿宋_GB2312" w:cs="宋体" w:hint="eastAsia"/>
                <w:kern w:val="0"/>
                <w:sz w:val="28"/>
                <w:szCs w:val="28"/>
              </w:rPr>
              <w:lastRenderedPageBreak/>
              <w:t>和综合平台，成为党和政府密切联系农民群众的桥梁纽带，切实在</w:t>
            </w:r>
            <w:r>
              <w:rPr>
                <w:rFonts w:ascii="仿宋_GB2312" w:eastAsia="仿宋_GB2312" w:cs="宋体" w:hint="eastAsia"/>
                <w:kern w:val="0"/>
                <w:sz w:val="28"/>
                <w:szCs w:val="28"/>
              </w:rPr>
              <w:t>农业现代化建设中更好地发挥作用。</w:t>
            </w:r>
          </w:p>
        </w:tc>
        <w:tc>
          <w:tcPr>
            <w:tcW w:w="885"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在全区构建起农民合作社联合社体系；符合条件的乡镇、村全部建立综合服务中心和综</w:t>
            </w:r>
            <w:r>
              <w:rPr>
                <w:rFonts w:ascii="仿宋_GB2312" w:eastAsia="仿宋_GB2312" w:cs="宋体" w:hint="eastAsia"/>
                <w:kern w:val="0"/>
                <w:sz w:val="28"/>
                <w:szCs w:val="28"/>
              </w:rPr>
              <w:lastRenderedPageBreak/>
              <w:t>合服务社；农村现代流通服务网络逐步得到完善提升</w:t>
            </w:r>
          </w:p>
        </w:tc>
        <w:tc>
          <w:tcPr>
            <w:tcW w:w="887"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全区供销系统农资流通网络覆盖</w:t>
            </w:r>
            <w:r>
              <w:rPr>
                <w:rFonts w:ascii="仿宋_GB2312" w:eastAsia="仿宋_GB2312" w:cs="宋体" w:hint="eastAsia"/>
                <w:kern w:val="0"/>
                <w:sz w:val="28"/>
                <w:szCs w:val="28"/>
              </w:rPr>
              <w:t>80%</w:t>
            </w:r>
            <w:r>
              <w:rPr>
                <w:rFonts w:ascii="仿宋_GB2312" w:eastAsia="仿宋_GB2312" w:cs="宋体" w:hint="eastAsia"/>
                <w:kern w:val="0"/>
                <w:sz w:val="28"/>
                <w:szCs w:val="28"/>
              </w:rPr>
              <w:t>乡村，日用消费品流通网络得到长足发展，农产品、再生</w:t>
            </w:r>
            <w:r>
              <w:rPr>
                <w:rFonts w:ascii="仿宋_GB2312" w:eastAsia="仿宋_GB2312" w:cs="宋体" w:hint="eastAsia"/>
                <w:kern w:val="0"/>
                <w:sz w:val="28"/>
                <w:szCs w:val="28"/>
              </w:rPr>
              <w:lastRenderedPageBreak/>
              <w:t>资源回收利用网络建设稳中有进。</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全区供销系统农资流通网络覆盖</w:t>
            </w:r>
            <w:r>
              <w:rPr>
                <w:rFonts w:ascii="仿宋_GB2312" w:eastAsia="仿宋_GB2312" w:cs="宋体" w:hint="eastAsia"/>
                <w:kern w:val="0"/>
                <w:sz w:val="28"/>
                <w:szCs w:val="28"/>
              </w:rPr>
              <w:t>70%</w:t>
            </w:r>
            <w:r>
              <w:rPr>
                <w:rFonts w:ascii="仿宋_GB2312" w:eastAsia="仿宋_GB2312" w:cs="宋体" w:hint="eastAsia"/>
                <w:kern w:val="0"/>
                <w:sz w:val="28"/>
                <w:szCs w:val="28"/>
              </w:rPr>
              <w:t>乡村，日用消费品流通网络得到长足发展，农产</w:t>
            </w:r>
            <w:r>
              <w:rPr>
                <w:rFonts w:ascii="仿宋_GB2312" w:eastAsia="仿宋_GB2312" w:cs="宋体" w:hint="eastAsia"/>
                <w:kern w:val="0"/>
                <w:sz w:val="28"/>
                <w:szCs w:val="28"/>
              </w:rPr>
              <w:lastRenderedPageBreak/>
              <w:t>品、再生资源回收利用网络建设发展良好。</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全区供销系统农资流通网络覆盖</w:t>
            </w:r>
            <w:r>
              <w:rPr>
                <w:rFonts w:ascii="仿宋_GB2312" w:eastAsia="仿宋_GB2312" w:cs="宋体" w:hint="eastAsia"/>
                <w:kern w:val="0"/>
                <w:sz w:val="28"/>
                <w:szCs w:val="28"/>
              </w:rPr>
              <w:t>60%</w:t>
            </w:r>
            <w:r>
              <w:rPr>
                <w:rFonts w:ascii="仿宋_GB2312" w:eastAsia="仿宋_GB2312" w:cs="宋体" w:hint="eastAsia"/>
                <w:kern w:val="0"/>
                <w:sz w:val="28"/>
                <w:szCs w:val="28"/>
              </w:rPr>
              <w:t>乡村，日用消费品流通网络得到长足发展，农产</w:t>
            </w:r>
            <w:r>
              <w:rPr>
                <w:rFonts w:ascii="仿宋_GB2312" w:eastAsia="仿宋_GB2312" w:cs="宋体" w:hint="eastAsia"/>
                <w:kern w:val="0"/>
                <w:sz w:val="28"/>
                <w:szCs w:val="28"/>
              </w:rPr>
              <w:lastRenderedPageBreak/>
              <w:t>品、再生资源回收利用网络建设成效一般。</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全区供销系统农资流通网络覆盖低于</w:t>
            </w:r>
            <w:r>
              <w:rPr>
                <w:rFonts w:ascii="仿宋_GB2312" w:eastAsia="仿宋_GB2312" w:cs="宋体" w:hint="eastAsia"/>
                <w:kern w:val="0"/>
                <w:sz w:val="28"/>
                <w:szCs w:val="28"/>
              </w:rPr>
              <w:t>60%</w:t>
            </w:r>
            <w:r>
              <w:rPr>
                <w:rFonts w:ascii="仿宋_GB2312" w:eastAsia="仿宋_GB2312" w:cs="宋体" w:hint="eastAsia"/>
                <w:kern w:val="0"/>
                <w:sz w:val="28"/>
                <w:szCs w:val="28"/>
              </w:rPr>
              <w:t>，日用消费品流通网络得到长足发展，农</w:t>
            </w:r>
            <w:r>
              <w:rPr>
                <w:rFonts w:ascii="仿宋_GB2312" w:eastAsia="仿宋_GB2312" w:cs="宋体" w:hint="eastAsia"/>
                <w:kern w:val="0"/>
                <w:sz w:val="28"/>
                <w:szCs w:val="28"/>
              </w:rPr>
              <w:lastRenderedPageBreak/>
              <w:t>产品、再生资源回收利用网络建设停滞不前。</w:t>
            </w:r>
          </w:p>
        </w:tc>
      </w:tr>
      <w:tr w:rsidR="002F336C">
        <w:trPr>
          <w:trHeight w:val="255"/>
          <w:tblCellSpacing w:w="0" w:type="dxa"/>
        </w:trPr>
        <w:tc>
          <w:tcPr>
            <w:tcW w:w="1518"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b/>
                <w:bCs/>
                <w:kern w:val="0"/>
                <w:sz w:val="28"/>
                <w:szCs w:val="28"/>
              </w:rPr>
              <w:lastRenderedPageBreak/>
              <w:t>物资储备管理</w:t>
            </w:r>
          </w:p>
        </w:tc>
        <w:tc>
          <w:tcPr>
            <w:tcW w:w="961"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156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按照区政府授权，对全区重要农业生产资料、棉花、烟花爆竹和废旧再生资源进行组织、协调和管理，</w:t>
            </w:r>
            <w:r>
              <w:rPr>
                <w:rFonts w:ascii="仿宋_GB2312" w:eastAsia="仿宋_GB2312" w:cs="宋体" w:hint="eastAsia"/>
                <w:kern w:val="0"/>
                <w:sz w:val="28"/>
                <w:szCs w:val="28"/>
              </w:rPr>
              <w:lastRenderedPageBreak/>
              <w:t>承担重要防汛救灾物资的储备工作。</w:t>
            </w:r>
          </w:p>
        </w:tc>
        <w:tc>
          <w:tcPr>
            <w:tcW w:w="181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根据广阳区防汛抗旱指挥部要求，负责防汛抗旱、抢险救灾有关物资的储备、管理、供应和调拨的相关工作。</w:t>
            </w:r>
          </w:p>
        </w:tc>
        <w:tc>
          <w:tcPr>
            <w:tcW w:w="885"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887"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r>
      <w:tr w:rsidR="002F336C">
        <w:trPr>
          <w:trHeight w:val="255"/>
          <w:tblCellSpacing w:w="0" w:type="dxa"/>
        </w:trPr>
        <w:tc>
          <w:tcPr>
            <w:tcW w:w="1518"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b/>
                <w:bCs/>
                <w:kern w:val="0"/>
                <w:sz w:val="28"/>
                <w:szCs w:val="28"/>
              </w:rPr>
              <w:lastRenderedPageBreak/>
              <w:t xml:space="preserve">　　防汛物资储备</w:t>
            </w:r>
          </w:p>
        </w:tc>
        <w:tc>
          <w:tcPr>
            <w:tcW w:w="961"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156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汛期确保防汛物资储备数量充足，能够及时调运，确保安全度汛。</w:t>
            </w:r>
          </w:p>
        </w:tc>
        <w:tc>
          <w:tcPr>
            <w:tcW w:w="181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根据区防汛抗旱指挥部要求，负责防汛抗旱、抢险救灾有关物资的储备、管理、供应和调拨的相关工作。</w:t>
            </w:r>
          </w:p>
        </w:tc>
        <w:tc>
          <w:tcPr>
            <w:tcW w:w="885"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储备铁锹</w:t>
            </w:r>
            <w:r>
              <w:rPr>
                <w:rFonts w:ascii="仿宋_GB2312" w:eastAsia="仿宋_GB2312" w:cs="宋体" w:hint="eastAsia"/>
                <w:kern w:val="0"/>
                <w:sz w:val="28"/>
                <w:szCs w:val="28"/>
              </w:rPr>
              <w:t>7000</w:t>
            </w:r>
            <w:r>
              <w:rPr>
                <w:rFonts w:ascii="仿宋_GB2312" w:eastAsia="仿宋_GB2312" w:cs="宋体" w:hint="eastAsia"/>
                <w:kern w:val="0"/>
                <w:sz w:val="28"/>
                <w:szCs w:val="28"/>
              </w:rPr>
              <w:t>把，编织袋</w:t>
            </w:r>
            <w:r>
              <w:rPr>
                <w:rFonts w:ascii="仿宋_GB2312" w:eastAsia="仿宋_GB2312" w:cs="宋体" w:hint="eastAsia"/>
                <w:kern w:val="0"/>
                <w:sz w:val="28"/>
                <w:szCs w:val="28"/>
              </w:rPr>
              <w:t>20000</w:t>
            </w:r>
            <w:r>
              <w:rPr>
                <w:rFonts w:ascii="仿宋_GB2312" w:eastAsia="仿宋_GB2312" w:cs="宋体" w:hint="eastAsia"/>
                <w:kern w:val="0"/>
                <w:sz w:val="28"/>
                <w:szCs w:val="28"/>
              </w:rPr>
              <w:t>条，绳子</w:t>
            </w:r>
            <w:r>
              <w:rPr>
                <w:rFonts w:ascii="仿宋_GB2312" w:eastAsia="仿宋_GB2312" w:cs="宋体" w:hint="eastAsia"/>
                <w:kern w:val="0"/>
                <w:sz w:val="28"/>
                <w:szCs w:val="28"/>
              </w:rPr>
              <w:t>4000</w:t>
            </w:r>
            <w:r>
              <w:rPr>
                <w:rFonts w:ascii="仿宋_GB2312" w:eastAsia="仿宋_GB2312" w:cs="宋体" w:hint="eastAsia"/>
                <w:kern w:val="0"/>
                <w:sz w:val="28"/>
                <w:szCs w:val="28"/>
              </w:rPr>
              <w:t>公斤。</w:t>
            </w:r>
          </w:p>
        </w:tc>
        <w:tc>
          <w:tcPr>
            <w:tcW w:w="887"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100%</w:t>
            </w:r>
            <w:r>
              <w:rPr>
                <w:rFonts w:ascii="仿宋_GB2312" w:eastAsia="仿宋_GB2312" w:cs="宋体" w:hint="eastAsia"/>
                <w:kern w:val="0"/>
                <w:sz w:val="28"/>
                <w:szCs w:val="28"/>
              </w:rPr>
              <w:t>完成储备任务。</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完成储备任务的</w:t>
            </w:r>
            <w:r>
              <w:rPr>
                <w:rFonts w:ascii="仿宋_GB2312" w:eastAsia="仿宋_GB2312" w:cs="宋体" w:hint="eastAsia"/>
                <w:kern w:val="0"/>
                <w:sz w:val="28"/>
                <w:szCs w:val="28"/>
              </w:rPr>
              <w:t>90%</w:t>
            </w:r>
            <w:r>
              <w:rPr>
                <w:rFonts w:ascii="仿宋_GB2312" w:eastAsia="仿宋_GB2312" w:cs="宋体" w:hint="eastAsia"/>
                <w:kern w:val="0"/>
                <w:sz w:val="28"/>
                <w:szCs w:val="28"/>
              </w:rPr>
              <w:t>以上。</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完成储备任务的</w:t>
            </w:r>
            <w:r>
              <w:rPr>
                <w:rFonts w:ascii="仿宋_GB2312" w:eastAsia="仿宋_GB2312" w:cs="宋体" w:hint="eastAsia"/>
                <w:kern w:val="0"/>
                <w:sz w:val="28"/>
                <w:szCs w:val="28"/>
              </w:rPr>
              <w:t>85%</w:t>
            </w:r>
            <w:r>
              <w:rPr>
                <w:rFonts w:ascii="仿宋_GB2312" w:eastAsia="仿宋_GB2312" w:cs="宋体" w:hint="eastAsia"/>
                <w:kern w:val="0"/>
                <w:sz w:val="28"/>
                <w:szCs w:val="28"/>
              </w:rPr>
              <w:t>以上。</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完成储备任务的</w:t>
            </w:r>
            <w:r>
              <w:rPr>
                <w:rFonts w:ascii="仿宋_GB2312" w:eastAsia="仿宋_GB2312" w:cs="宋体" w:hint="eastAsia"/>
                <w:kern w:val="0"/>
                <w:sz w:val="28"/>
                <w:szCs w:val="28"/>
              </w:rPr>
              <w:t>80%</w:t>
            </w:r>
            <w:r>
              <w:rPr>
                <w:rFonts w:ascii="仿宋_GB2312" w:eastAsia="仿宋_GB2312" w:cs="宋体" w:hint="eastAsia"/>
                <w:kern w:val="0"/>
                <w:sz w:val="28"/>
                <w:szCs w:val="28"/>
              </w:rPr>
              <w:t>以上。</w:t>
            </w:r>
          </w:p>
        </w:tc>
      </w:tr>
      <w:tr w:rsidR="002F336C">
        <w:trPr>
          <w:trHeight w:val="255"/>
          <w:tblCellSpacing w:w="0" w:type="dxa"/>
        </w:trPr>
        <w:tc>
          <w:tcPr>
            <w:tcW w:w="1518"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b/>
                <w:bCs/>
                <w:kern w:val="0"/>
                <w:sz w:val="28"/>
                <w:szCs w:val="28"/>
              </w:rPr>
              <w:lastRenderedPageBreak/>
              <w:t>盐务管理</w:t>
            </w:r>
          </w:p>
        </w:tc>
        <w:tc>
          <w:tcPr>
            <w:tcW w:w="961"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156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根据《河北省食盐加碘消除碘缺乏危害监督管理条例》和有关规定，按照区政府授权，具体负责全区流通领域盐业行政执法管理，食盐批发和零售市场的监督检</w:t>
            </w:r>
            <w:r>
              <w:rPr>
                <w:rFonts w:ascii="仿宋_GB2312" w:eastAsia="仿宋_GB2312" w:cs="宋体" w:hint="eastAsia"/>
                <w:kern w:val="0"/>
                <w:sz w:val="28"/>
                <w:szCs w:val="28"/>
              </w:rPr>
              <w:lastRenderedPageBreak/>
              <w:t>查，做好全区食盐专营工作。</w:t>
            </w:r>
          </w:p>
        </w:tc>
        <w:tc>
          <w:tcPr>
            <w:tcW w:w="181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维护我区盐业流通市场秩序，保障食盐安全</w:t>
            </w:r>
          </w:p>
        </w:tc>
        <w:tc>
          <w:tcPr>
            <w:tcW w:w="885"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887"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r>
      <w:tr w:rsidR="002F336C">
        <w:trPr>
          <w:trHeight w:val="255"/>
          <w:tblCellSpacing w:w="0" w:type="dxa"/>
        </w:trPr>
        <w:tc>
          <w:tcPr>
            <w:tcW w:w="1518"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b/>
                <w:bCs/>
                <w:kern w:val="0"/>
                <w:sz w:val="28"/>
                <w:szCs w:val="28"/>
              </w:rPr>
              <w:lastRenderedPageBreak/>
              <w:t xml:space="preserve">　　盐业执法</w:t>
            </w:r>
          </w:p>
        </w:tc>
        <w:tc>
          <w:tcPr>
            <w:tcW w:w="961"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156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组织开展全区盐业行政执法工作，打击盐业违法行为，查处盐业违法案件。规范盐业行政执法程序；组织执法案卷评查和执法</w:t>
            </w:r>
            <w:r>
              <w:rPr>
                <w:rFonts w:ascii="仿宋_GB2312" w:eastAsia="仿宋_GB2312" w:cs="宋体" w:hint="eastAsia"/>
                <w:kern w:val="0"/>
                <w:sz w:val="28"/>
                <w:szCs w:val="28"/>
              </w:rPr>
              <w:lastRenderedPageBreak/>
              <w:t>人员培训；追究执法过错责任，纠正违法执法行为。</w:t>
            </w:r>
          </w:p>
        </w:tc>
        <w:tc>
          <w:tcPr>
            <w:tcW w:w="181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全区盐业违法行为得到有效打击和遏制，食盐市场稳定有序。</w:t>
            </w:r>
          </w:p>
        </w:tc>
        <w:tc>
          <w:tcPr>
            <w:tcW w:w="885"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重大盐业违法行为得到查处，避免发生重大执法过错和错案。</w:t>
            </w:r>
          </w:p>
        </w:tc>
        <w:tc>
          <w:tcPr>
            <w:tcW w:w="887"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食盐零售许可证换发率达到</w:t>
            </w:r>
            <w:r>
              <w:rPr>
                <w:rFonts w:ascii="仿宋_GB2312" w:eastAsia="仿宋_GB2312" w:cs="宋体" w:hint="eastAsia"/>
                <w:kern w:val="0"/>
                <w:sz w:val="28"/>
                <w:szCs w:val="28"/>
              </w:rPr>
              <w:t>100%</w:t>
            </w:r>
            <w:r>
              <w:rPr>
                <w:rFonts w:ascii="仿宋_GB2312" w:eastAsia="仿宋_GB2312" w:cs="宋体" w:hint="eastAsia"/>
                <w:kern w:val="0"/>
                <w:sz w:val="28"/>
                <w:szCs w:val="28"/>
              </w:rPr>
              <w:t>，培训全区盐业执法人员参训率达到</w:t>
            </w:r>
            <w:r>
              <w:rPr>
                <w:rFonts w:ascii="仿宋_GB2312" w:eastAsia="仿宋_GB2312" w:cs="宋体" w:hint="eastAsia"/>
                <w:kern w:val="0"/>
                <w:sz w:val="28"/>
                <w:szCs w:val="28"/>
              </w:rPr>
              <w:t>100%</w:t>
            </w:r>
            <w:r>
              <w:rPr>
                <w:rFonts w:ascii="仿宋_GB2312" w:eastAsia="仿宋_GB2312" w:cs="宋体" w:hint="eastAsia"/>
                <w:kern w:val="0"/>
                <w:sz w:val="28"/>
                <w:szCs w:val="28"/>
              </w:rPr>
              <w:t>、</w:t>
            </w:r>
            <w:r>
              <w:rPr>
                <w:rFonts w:ascii="仿宋_GB2312" w:eastAsia="仿宋_GB2312" w:cs="宋体" w:hint="eastAsia"/>
                <w:kern w:val="0"/>
                <w:sz w:val="28"/>
                <w:szCs w:val="28"/>
              </w:rPr>
              <w:lastRenderedPageBreak/>
              <w:t>严格行政执法，行政复议率不高于</w:t>
            </w:r>
            <w:r>
              <w:rPr>
                <w:rFonts w:ascii="仿宋_GB2312" w:eastAsia="仿宋_GB2312" w:cs="宋体" w:hint="eastAsia"/>
                <w:kern w:val="0"/>
                <w:sz w:val="28"/>
                <w:szCs w:val="28"/>
              </w:rPr>
              <w:t>2%</w:t>
            </w:r>
            <w:r>
              <w:rPr>
                <w:rFonts w:ascii="仿宋_GB2312" w:eastAsia="仿宋_GB2312" w:cs="宋体" w:hint="eastAsia"/>
                <w:kern w:val="0"/>
                <w:sz w:val="28"/>
                <w:szCs w:val="28"/>
              </w:rPr>
              <w:t>。</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食盐零售许可证换发率达到</w:t>
            </w:r>
            <w:r>
              <w:rPr>
                <w:rFonts w:ascii="仿宋_GB2312" w:eastAsia="仿宋_GB2312" w:cs="宋体" w:hint="eastAsia"/>
                <w:kern w:val="0"/>
                <w:sz w:val="28"/>
                <w:szCs w:val="28"/>
              </w:rPr>
              <w:t>90%</w:t>
            </w:r>
            <w:r>
              <w:rPr>
                <w:rFonts w:ascii="仿宋_GB2312" w:eastAsia="仿宋_GB2312" w:cs="宋体" w:hint="eastAsia"/>
                <w:kern w:val="0"/>
                <w:sz w:val="28"/>
                <w:szCs w:val="28"/>
              </w:rPr>
              <w:t>，培训全区盐业执法人员参训率不低于</w:t>
            </w:r>
            <w:r>
              <w:rPr>
                <w:rFonts w:ascii="仿宋_GB2312" w:eastAsia="仿宋_GB2312" w:cs="宋体" w:hint="eastAsia"/>
                <w:kern w:val="0"/>
                <w:sz w:val="28"/>
                <w:szCs w:val="28"/>
              </w:rPr>
              <w:lastRenderedPageBreak/>
              <w:t>90%</w:t>
            </w:r>
            <w:r>
              <w:rPr>
                <w:rFonts w:ascii="仿宋_GB2312" w:eastAsia="仿宋_GB2312" w:cs="宋体" w:hint="eastAsia"/>
                <w:kern w:val="0"/>
                <w:sz w:val="28"/>
                <w:szCs w:val="28"/>
              </w:rPr>
              <w:t>、严格行政执法，行政复议率不高于</w:t>
            </w:r>
            <w:r>
              <w:rPr>
                <w:rFonts w:ascii="仿宋_GB2312" w:eastAsia="仿宋_GB2312" w:cs="宋体" w:hint="eastAsia"/>
                <w:kern w:val="0"/>
                <w:sz w:val="28"/>
                <w:szCs w:val="28"/>
              </w:rPr>
              <w:t>5%</w:t>
            </w:r>
            <w:r>
              <w:rPr>
                <w:rFonts w:ascii="仿宋_GB2312" w:eastAsia="仿宋_GB2312" w:cs="宋体" w:hint="eastAsia"/>
                <w:kern w:val="0"/>
                <w:sz w:val="28"/>
                <w:szCs w:val="28"/>
              </w:rPr>
              <w:t>。</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食盐零售许可证换发率达到</w:t>
            </w:r>
            <w:r>
              <w:rPr>
                <w:rFonts w:ascii="仿宋_GB2312" w:eastAsia="仿宋_GB2312" w:cs="宋体" w:hint="eastAsia"/>
                <w:kern w:val="0"/>
                <w:sz w:val="28"/>
                <w:szCs w:val="28"/>
              </w:rPr>
              <w:t>80%</w:t>
            </w:r>
            <w:r>
              <w:rPr>
                <w:rFonts w:ascii="仿宋_GB2312" w:eastAsia="仿宋_GB2312" w:cs="宋体" w:hint="eastAsia"/>
                <w:kern w:val="0"/>
                <w:sz w:val="28"/>
                <w:szCs w:val="28"/>
              </w:rPr>
              <w:t>，培训全区盐业执法人员参训率不低于</w:t>
            </w:r>
            <w:r>
              <w:rPr>
                <w:rFonts w:ascii="仿宋_GB2312" w:eastAsia="仿宋_GB2312" w:cs="宋体" w:hint="eastAsia"/>
                <w:kern w:val="0"/>
                <w:sz w:val="28"/>
                <w:szCs w:val="28"/>
              </w:rPr>
              <w:lastRenderedPageBreak/>
              <w:t>80%</w:t>
            </w:r>
            <w:r>
              <w:rPr>
                <w:rFonts w:ascii="仿宋_GB2312" w:eastAsia="仿宋_GB2312" w:cs="宋体" w:hint="eastAsia"/>
                <w:kern w:val="0"/>
                <w:sz w:val="28"/>
                <w:szCs w:val="28"/>
              </w:rPr>
              <w:t>、严格行政执法，行政复议率不高于</w:t>
            </w:r>
            <w:r>
              <w:rPr>
                <w:rFonts w:ascii="仿宋_GB2312" w:eastAsia="仿宋_GB2312" w:cs="宋体" w:hint="eastAsia"/>
                <w:kern w:val="0"/>
                <w:sz w:val="28"/>
                <w:szCs w:val="28"/>
              </w:rPr>
              <w:t>10%</w:t>
            </w:r>
            <w:r>
              <w:rPr>
                <w:rFonts w:ascii="仿宋_GB2312" w:eastAsia="仿宋_GB2312" w:cs="宋体" w:hint="eastAsia"/>
                <w:kern w:val="0"/>
                <w:sz w:val="28"/>
                <w:szCs w:val="28"/>
              </w:rPr>
              <w:t>。</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食盐零售许可证换发率达到</w:t>
            </w:r>
            <w:r>
              <w:rPr>
                <w:rFonts w:ascii="仿宋_GB2312" w:eastAsia="仿宋_GB2312" w:cs="宋体" w:hint="eastAsia"/>
                <w:kern w:val="0"/>
                <w:sz w:val="28"/>
                <w:szCs w:val="28"/>
              </w:rPr>
              <w:t>60%</w:t>
            </w:r>
            <w:r>
              <w:rPr>
                <w:rFonts w:ascii="仿宋_GB2312" w:eastAsia="仿宋_GB2312" w:cs="宋体" w:hint="eastAsia"/>
                <w:kern w:val="0"/>
                <w:sz w:val="28"/>
                <w:szCs w:val="28"/>
              </w:rPr>
              <w:t>，培训全区盐业执法人员参训率低于</w:t>
            </w:r>
            <w:r>
              <w:rPr>
                <w:rFonts w:ascii="仿宋_GB2312" w:eastAsia="仿宋_GB2312" w:cs="宋体" w:hint="eastAsia"/>
                <w:kern w:val="0"/>
                <w:sz w:val="28"/>
                <w:szCs w:val="28"/>
              </w:rPr>
              <w:t>60%</w:t>
            </w:r>
            <w:r>
              <w:rPr>
                <w:rFonts w:ascii="仿宋_GB2312" w:eastAsia="仿宋_GB2312" w:cs="宋体" w:hint="eastAsia"/>
                <w:kern w:val="0"/>
                <w:sz w:val="28"/>
                <w:szCs w:val="28"/>
              </w:rPr>
              <w:t>、</w:t>
            </w:r>
            <w:r>
              <w:rPr>
                <w:rFonts w:ascii="仿宋_GB2312" w:eastAsia="仿宋_GB2312" w:cs="宋体" w:hint="eastAsia"/>
                <w:kern w:val="0"/>
                <w:sz w:val="28"/>
                <w:szCs w:val="28"/>
              </w:rPr>
              <w:lastRenderedPageBreak/>
              <w:t>严格行政执法，行政复议率超过</w:t>
            </w:r>
            <w:r>
              <w:rPr>
                <w:rFonts w:ascii="仿宋_GB2312" w:eastAsia="仿宋_GB2312" w:cs="宋体" w:hint="eastAsia"/>
                <w:kern w:val="0"/>
                <w:sz w:val="28"/>
                <w:szCs w:val="28"/>
              </w:rPr>
              <w:t>20%</w:t>
            </w:r>
            <w:r>
              <w:rPr>
                <w:rFonts w:ascii="仿宋_GB2312" w:eastAsia="仿宋_GB2312" w:cs="宋体" w:hint="eastAsia"/>
                <w:kern w:val="0"/>
                <w:sz w:val="28"/>
                <w:szCs w:val="28"/>
              </w:rPr>
              <w:t>。</w:t>
            </w:r>
          </w:p>
        </w:tc>
      </w:tr>
      <w:tr w:rsidR="002F336C">
        <w:trPr>
          <w:trHeight w:val="255"/>
          <w:tblCellSpacing w:w="0" w:type="dxa"/>
        </w:trPr>
        <w:tc>
          <w:tcPr>
            <w:tcW w:w="1518"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b/>
                <w:bCs/>
                <w:kern w:val="0"/>
                <w:sz w:val="28"/>
                <w:szCs w:val="28"/>
              </w:rPr>
              <w:lastRenderedPageBreak/>
              <w:t>服务三农事务管理</w:t>
            </w:r>
          </w:p>
        </w:tc>
        <w:tc>
          <w:tcPr>
            <w:tcW w:w="961"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156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1.</w:t>
            </w:r>
            <w:r>
              <w:rPr>
                <w:rFonts w:ascii="仿宋_GB2312" w:eastAsia="仿宋_GB2312" w:cs="宋体" w:hint="eastAsia"/>
                <w:kern w:val="0"/>
                <w:sz w:val="28"/>
                <w:szCs w:val="28"/>
              </w:rPr>
              <w:t>负责指导全区供销社的业务活动，参与、推动和服务农业产业化</w:t>
            </w:r>
            <w:r>
              <w:rPr>
                <w:rFonts w:ascii="仿宋_GB2312" w:eastAsia="仿宋_GB2312" w:cs="宋体" w:hint="eastAsia"/>
                <w:kern w:val="0"/>
                <w:sz w:val="28"/>
                <w:szCs w:val="28"/>
              </w:rPr>
              <w:lastRenderedPageBreak/>
              <w:t>经营，发展龙头企业、专业合作社和消费合作社，加快农业社会化服务体系和农产品市场体系建设、开拓城乡市场。</w:t>
            </w:r>
            <w:r>
              <w:rPr>
                <w:rFonts w:ascii="仿宋_GB2312" w:eastAsia="仿宋_GB2312" w:cs="宋体" w:hint="eastAsia"/>
                <w:kern w:val="0"/>
                <w:sz w:val="28"/>
                <w:szCs w:val="28"/>
              </w:rPr>
              <w:t>2.</w:t>
            </w:r>
            <w:r>
              <w:rPr>
                <w:rFonts w:ascii="仿宋_GB2312" w:eastAsia="仿宋_GB2312" w:cs="宋体" w:hint="eastAsia"/>
                <w:kern w:val="0"/>
                <w:sz w:val="28"/>
                <w:szCs w:val="28"/>
              </w:rPr>
              <w:t>指导系统实施“科教兴社”战略，指导</w:t>
            </w:r>
            <w:r>
              <w:rPr>
                <w:rFonts w:ascii="仿宋_GB2312" w:eastAsia="仿宋_GB2312" w:cs="宋体" w:hint="eastAsia"/>
                <w:kern w:val="0"/>
                <w:sz w:val="28"/>
                <w:szCs w:val="28"/>
              </w:rPr>
              <w:lastRenderedPageBreak/>
              <w:t>系统技术创新和技术推广，组织开展对社员和职工教育与培训，为全区供销社提供科技服务和信息服务。</w:t>
            </w:r>
            <w:r>
              <w:rPr>
                <w:rFonts w:ascii="仿宋_GB2312" w:eastAsia="仿宋_GB2312" w:cs="宋体" w:hint="eastAsia"/>
                <w:kern w:val="0"/>
                <w:sz w:val="28"/>
                <w:szCs w:val="28"/>
              </w:rPr>
              <w:t>3.</w:t>
            </w:r>
            <w:r>
              <w:rPr>
                <w:rFonts w:ascii="仿宋_GB2312" w:eastAsia="仿宋_GB2312" w:cs="宋体" w:hint="eastAsia"/>
                <w:kern w:val="0"/>
                <w:sz w:val="28"/>
                <w:szCs w:val="28"/>
              </w:rPr>
              <w:t>负责全区供销社所属企业改革，建立现代企业制</w:t>
            </w:r>
            <w:r>
              <w:rPr>
                <w:rFonts w:ascii="仿宋_GB2312" w:eastAsia="仿宋_GB2312" w:cs="宋体" w:hint="eastAsia"/>
                <w:kern w:val="0"/>
                <w:sz w:val="28"/>
                <w:szCs w:val="28"/>
              </w:rPr>
              <w:lastRenderedPageBreak/>
              <w:t>度，指导系统党风廉政建设。</w:t>
            </w:r>
            <w:r>
              <w:rPr>
                <w:rFonts w:ascii="仿宋_GB2312" w:eastAsia="仿宋_GB2312" w:cs="宋体" w:hint="eastAsia"/>
                <w:kern w:val="0"/>
                <w:sz w:val="28"/>
                <w:szCs w:val="28"/>
              </w:rPr>
              <w:t>4.</w:t>
            </w:r>
            <w:r>
              <w:rPr>
                <w:rFonts w:ascii="仿宋_GB2312" w:eastAsia="仿宋_GB2312" w:cs="宋体" w:hint="eastAsia"/>
                <w:kern w:val="0"/>
                <w:sz w:val="28"/>
                <w:szCs w:val="28"/>
              </w:rPr>
              <w:t>承办区委、区政府和市供销社交办的其他事项。</w:t>
            </w:r>
          </w:p>
        </w:tc>
        <w:tc>
          <w:tcPr>
            <w:tcW w:w="181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1.</w:t>
            </w:r>
            <w:r>
              <w:rPr>
                <w:rFonts w:ascii="仿宋_GB2312" w:eastAsia="仿宋_GB2312" w:cs="宋体" w:hint="eastAsia"/>
                <w:kern w:val="0"/>
                <w:sz w:val="28"/>
                <w:szCs w:val="28"/>
              </w:rPr>
              <w:t>以改革创新为动力、以物流配送为支撑，坚持供销社主办、合作式发展、市</w:t>
            </w:r>
            <w:r>
              <w:rPr>
                <w:rFonts w:ascii="仿宋_GB2312" w:eastAsia="仿宋_GB2312" w:cs="宋体" w:hint="eastAsia"/>
                <w:kern w:val="0"/>
                <w:sz w:val="28"/>
                <w:szCs w:val="28"/>
              </w:rPr>
              <w:lastRenderedPageBreak/>
              <w:t>场化运作，在乡镇政府所在地和行</w:t>
            </w:r>
            <w:r>
              <w:rPr>
                <w:rFonts w:ascii="仿宋_GB2312" w:eastAsia="仿宋_GB2312" w:cs="宋体" w:hint="eastAsia"/>
                <w:kern w:val="0"/>
                <w:sz w:val="28"/>
                <w:szCs w:val="28"/>
              </w:rPr>
              <w:t>政村重点建设以日用消费品、农业生产资料为主营业务的供销社农村超市；在县城重点建设日用消费品、农业生产资料中心超市并具备</w:t>
            </w:r>
            <w:r>
              <w:rPr>
                <w:rFonts w:ascii="仿宋_GB2312" w:eastAsia="仿宋_GB2312" w:cs="宋体" w:hint="eastAsia"/>
                <w:kern w:val="0"/>
                <w:sz w:val="28"/>
                <w:szCs w:val="28"/>
              </w:rPr>
              <w:lastRenderedPageBreak/>
              <w:t>配送功能。</w:t>
            </w:r>
            <w:r>
              <w:rPr>
                <w:rFonts w:ascii="仿宋_GB2312" w:eastAsia="仿宋_GB2312" w:cs="宋体" w:hint="eastAsia"/>
                <w:kern w:val="0"/>
                <w:sz w:val="28"/>
                <w:szCs w:val="28"/>
              </w:rPr>
              <w:t>2.</w:t>
            </w:r>
            <w:r>
              <w:rPr>
                <w:rFonts w:ascii="仿宋_GB2312" w:eastAsia="仿宋_GB2312" w:cs="宋体" w:hint="eastAsia"/>
                <w:kern w:val="0"/>
                <w:sz w:val="28"/>
                <w:szCs w:val="28"/>
              </w:rPr>
              <w:t>健全农村市场体系，大力发展农业生产资料现代经营服务网络、日用消费品现代经营网络、烟花爆竹零售网络和再生资源回收利用网络，推进适应现代农业要</w:t>
            </w:r>
            <w:r>
              <w:rPr>
                <w:rFonts w:ascii="仿宋_GB2312" w:eastAsia="仿宋_GB2312" w:cs="宋体" w:hint="eastAsia"/>
                <w:kern w:val="0"/>
                <w:sz w:val="28"/>
                <w:szCs w:val="28"/>
              </w:rPr>
              <w:lastRenderedPageBreak/>
              <w:t>求的流通产业发展，促进全区农村经济快速健康发展。加快全区供销社系统农资、日用消费品、烟花爆竹和再生资源四大网络建设，增强企业发展实力。</w:t>
            </w:r>
            <w:r>
              <w:rPr>
                <w:rFonts w:ascii="仿宋_GB2312" w:eastAsia="仿宋_GB2312" w:cs="宋体" w:hint="eastAsia"/>
                <w:kern w:val="0"/>
                <w:sz w:val="28"/>
                <w:szCs w:val="28"/>
              </w:rPr>
              <w:t>3.</w:t>
            </w:r>
            <w:r>
              <w:rPr>
                <w:rFonts w:ascii="仿宋_GB2312" w:eastAsia="仿宋_GB2312" w:cs="宋体" w:hint="eastAsia"/>
                <w:kern w:val="0"/>
                <w:sz w:val="28"/>
                <w:szCs w:val="28"/>
              </w:rPr>
              <w:t>主</w:t>
            </w:r>
          </w:p>
        </w:tc>
        <w:tc>
          <w:tcPr>
            <w:tcW w:w="885"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lastRenderedPageBreak/>
              <w:t> </w:t>
            </w:r>
          </w:p>
        </w:tc>
        <w:tc>
          <w:tcPr>
            <w:tcW w:w="887"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r>
      <w:tr w:rsidR="002F336C">
        <w:trPr>
          <w:trHeight w:val="255"/>
          <w:tblCellSpacing w:w="0" w:type="dxa"/>
        </w:trPr>
        <w:tc>
          <w:tcPr>
            <w:tcW w:w="1518"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b/>
                <w:bCs/>
                <w:kern w:val="0"/>
                <w:sz w:val="28"/>
                <w:szCs w:val="28"/>
              </w:rPr>
              <w:lastRenderedPageBreak/>
              <w:t xml:space="preserve">　　服务</w:t>
            </w:r>
            <w:r>
              <w:rPr>
                <w:rFonts w:ascii="仿宋_GB2312" w:eastAsia="仿宋_GB2312" w:cs="宋体" w:hint="eastAsia"/>
                <w:b/>
                <w:bCs/>
                <w:kern w:val="0"/>
                <w:sz w:val="28"/>
                <w:szCs w:val="28"/>
              </w:rPr>
              <w:lastRenderedPageBreak/>
              <w:t>体系建设</w:t>
            </w:r>
          </w:p>
        </w:tc>
        <w:tc>
          <w:tcPr>
            <w:tcW w:w="961"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lastRenderedPageBreak/>
              <w:t> </w:t>
            </w:r>
          </w:p>
        </w:tc>
        <w:tc>
          <w:tcPr>
            <w:tcW w:w="156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该项目由省</w:t>
            </w:r>
            <w:r>
              <w:rPr>
                <w:rFonts w:ascii="仿宋_GB2312" w:eastAsia="仿宋_GB2312" w:cs="宋体" w:hint="eastAsia"/>
                <w:kern w:val="0"/>
                <w:sz w:val="28"/>
                <w:szCs w:val="28"/>
              </w:rPr>
              <w:lastRenderedPageBreak/>
              <w:t>供销社所属供销商贸有限公司牵头，与全国供销合作总社新合作商贸连锁集团有限公司合作，联合供销系统连锁经营区域龙头，以资本、技术和品牌为纽带，市</w:t>
            </w:r>
            <w:r>
              <w:rPr>
                <w:rFonts w:ascii="仿宋_GB2312" w:eastAsia="仿宋_GB2312" w:cs="宋体" w:hint="eastAsia"/>
                <w:kern w:val="0"/>
                <w:sz w:val="28"/>
                <w:szCs w:val="28"/>
              </w:rPr>
              <w:lastRenderedPageBreak/>
              <w:t>场化运作、合作式发展，以县及县以下农村为重点，打造县有日用消费品购物中心、配送中心，乡镇有中心超市，村有连锁便民店的供销合作社县域流通网</w:t>
            </w:r>
            <w:r>
              <w:rPr>
                <w:rFonts w:ascii="仿宋_GB2312" w:eastAsia="仿宋_GB2312" w:cs="宋体" w:hint="eastAsia"/>
                <w:kern w:val="0"/>
                <w:sz w:val="28"/>
                <w:szCs w:val="28"/>
              </w:rPr>
              <w:lastRenderedPageBreak/>
              <w:t>络新格局。</w:t>
            </w:r>
          </w:p>
        </w:tc>
        <w:tc>
          <w:tcPr>
            <w:tcW w:w="181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将“民得利”</w:t>
            </w:r>
            <w:r>
              <w:rPr>
                <w:rFonts w:ascii="仿宋_GB2312" w:eastAsia="仿宋_GB2312" w:cs="宋体" w:hint="eastAsia"/>
                <w:kern w:val="0"/>
                <w:sz w:val="28"/>
                <w:szCs w:val="28"/>
              </w:rPr>
              <w:lastRenderedPageBreak/>
              <w:t>日用消费品农家店逐步改造成为供销社超市，与村民中心配套建设，具备日用消费品、农产品销售等经营性服务，打造县有配送中心、乡镇有连锁超市、村街有便利店的农村</w:t>
            </w:r>
            <w:r>
              <w:rPr>
                <w:rFonts w:ascii="仿宋_GB2312" w:eastAsia="仿宋_GB2312" w:cs="宋体" w:hint="eastAsia"/>
                <w:kern w:val="0"/>
                <w:sz w:val="28"/>
                <w:szCs w:val="28"/>
              </w:rPr>
              <w:lastRenderedPageBreak/>
              <w:t>日用消费品现代流通网络。</w:t>
            </w:r>
          </w:p>
        </w:tc>
        <w:tc>
          <w:tcPr>
            <w:tcW w:w="885"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到</w:t>
            </w:r>
            <w:r>
              <w:rPr>
                <w:rFonts w:ascii="仿宋_GB2312" w:eastAsia="仿宋_GB2312" w:cs="宋体" w:hint="eastAsia"/>
                <w:kern w:val="0"/>
                <w:sz w:val="28"/>
                <w:szCs w:val="28"/>
              </w:rPr>
              <w:lastRenderedPageBreak/>
              <w:t>2016</w:t>
            </w:r>
            <w:r>
              <w:rPr>
                <w:rFonts w:ascii="仿宋_GB2312" w:eastAsia="仿宋_GB2312" w:cs="宋体" w:hint="eastAsia"/>
                <w:kern w:val="0"/>
                <w:sz w:val="28"/>
                <w:szCs w:val="28"/>
              </w:rPr>
              <w:t>年底，发展村级</w:t>
            </w:r>
            <w:r>
              <w:rPr>
                <w:rFonts w:ascii="仿宋_GB2312" w:eastAsia="仿宋_GB2312" w:cs="宋体" w:hint="eastAsia"/>
                <w:kern w:val="0"/>
                <w:sz w:val="28"/>
                <w:szCs w:val="28"/>
              </w:rPr>
              <w:t>便利店</w:t>
            </w:r>
            <w:r>
              <w:rPr>
                <w:rFonts w:ascii="仿宋_GB2312" w:eastAsia="仿宋_GB2312" w:cs="宋体" w:hint="eastAsia"/>
                <w:kern w:val="0"/>
                <w:sz w:val="28"/>
                <w:szCs w:val="28"/>
              </w:rPr>
              <w:t>110</w:t>
            </w:r>
            <w:r>
              <w:rPr>
                <w:rFonts w:ascii="仿宋_GB2312" w:eastAsia="仿宋_GB2312" w:cs="宋体" w:hint="eastAsia"/>
                <w:kern w:val="0"/>
                <w:sz w:val="28"/>
                <w:szCs w:val="28"/>
              </w:rPr>
              <w:t>家以上，改造精品店</w:t>
            </w:r>
            <w:r>
              <w:rPr>
                <w:rFonts w:ascii="仿宋_GB2312" w:eastAsia="仿宋_GB2312" w:cs="宋体" w:hint="eastAsia"/>
                <w:kern w:val="0"/>
                <w:sz w:val="28"/>
                <w:szCs w:val="28"/>
              </w:rPr>
              <w:t>30</w:t>
            </w:r>
            <w:r>
              <w:rPr>
                <w:rFonts w:ascii="仿宋_GB2312" w:eastAsia="仿宋_GB2312" w:cs="宋体" w:hint="eastAsia"/>
                <w:kern w:val="0"/>
                <w:sz w:val="28"/>
                <w:szCs w:val="28"/>
              </w:rPr>
              <w:t>家。</w:t>
            </w:r>
          </w:p>
        </w:tc>
        <w:tc>
          <w:tcPr>
            <w:tcW w:w="887"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到</w:t>
            </w:r>
            <w:r>
              <w:rPr>
                <w:rFonts w:ascii="仿宋_GB2312" w:eastAsia="仿宋_GB2312" w:cs="宋体" w:hint="eastAsia"/>
                <w:kern w:val="0"/>
                <w:sz w:val="28"/>
                <w:szCs w:val="28"/>
              </w:rPr>
              <w:t>2016</w:t>
            </w:r>
            <w:r>
              <w:rPr>
                <w:rFonts w:ascii="仿宋_GB2312" w:eastAsia="仿宋_GB2312" w:cs="宋体" w:hint="eastAsia"/>
                <w:kern w:val="0"/>
                <w:sz w:val="28"/>
                <w:szCs w:val="28"/>
              </w:rPr>
              <w:lastRenderedPageBreak/>
              <w:t>年底，发展村级便利店</w:t>
            </w:r>
            <w:r>
              <w:rPr>
                <w:rFonts w:ascii="仿宋_GB2312" w:eastAsia="仿宋_GB2312" w:cs="宋体" w:hint="eastAsia"/>
                <w:kern w:val="0"/>
                <w:sz w:val="28"/>
                <w:szCs w:val="28"/>
              </w:rPr>
              <w:t>110</w:t>
            </w:r>
            <w:r>
              <w:rPr>
                <w:rFonts w:ascii="仿宋_GB2312" w:eastAsia="仿宋_GB2312" w:cs="宋体" w:hint="eastAsia"/>
                <w:kern w:val="0"/>
                <w:sz w:val="28"/>
                <w:szCs w:val="28"/>
              </w:rPr>
              <w:t>家以上，改造精品店</w:t>
            </w:r>
            <w:r>
              <w:rPr>
                <w:rFonts w:ascii="仿宋_GB2312" w:eastAsia="仿宋_GB2312" w:cs="宋体" w:hint="eastAsia"/>
                <w:kern w:val="0"/>
                <w:sz w:val="28"/>
                <w:szCs w:val="28"/>
              </w:rPr>
              <w:t>30</w:t>
            </w:r>
            <w:r>
              <w:rPr>
                <w:rFonts w:ascii="仿宋_GB2312" w:eastAsia="仿宋_GB2312" w:cs="宋体" w:hint="eastAsia"/>
                <w:kern w:val="0"/>
                <w:sz w:val="28"/>
                <w:szCs w:val="28"/>
              </w:rPr>
              <w:t>家。</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到</w:t>
            </w:r>
            <w:r>
              <w:rPr>
                <w:rFonts w:ascii="仿宋_GB2312" w:eastAsia="仿宋_GB2312" w:cs="宋体" w:hint="eastAsia"/>
                <w:kern w:val="0"/>
                <w:sz w:val="28"/>
                <w:szCs w:val="28"/>
              </w:rPr>
              <w:lastRenderedPageBreak/>
              <w:t>2016</w:t>
            </w:r>
            <w:r>
              <w:rPr>
                <w:rFonts w:ascii="仿宋_GB2312" w:eastAsia="仿宋_GB2312" w:cs="宋体" w:hint="eastAsia"/>
                <w:kern w:val="0"/>
                <w:sz w:val="28"/>
                <w:szCs w:val="28"/>
              </w:rPr>
              <w:t>年底，发展村级便利店</w:t>
            </w:r>
            <w:r>
              <w:rPr>
                <w:rFonts w:ascii="仿宋_GB2312" w:eastAsia="仿宋_GB2312" w:cs="宋体" w:hint="eastAsia"/>
                <w:kern w:val="0"/>
                <w:sz w:val="28"/>
                <w:szCs w:val="28"/>
              </w:rPr>
              <w:t>100</w:t>
            </w:r>
            <w:r>
              <w:rPr>
                <w:rFonts w:ascii="仿宋_GB2312" w:eastAsia="仿宋_GB2312" w:cs="宋体" w:hint="eastAsia"/>
                <w:kern w:val="0"/>
                <w:sz w:val="28"/>
                <w:szCs w:val="28"/>
              </w:rPr>
              <w:t>家，改造精品店</w:t>
            </w:r>
            <w:r>
              <w:rPr>
                <w:rFonts w:ascii="仿宋_GB2312" w:eastAsia="仿宋_GB2312" w:cs="宋体" w:hint="eastAsia"/>
                <w:kern w:val="0"/>
                <w:sz w:val="28"/>
                <w:szCs w:val="28"/>
              </w:rPr>
              <w:t>25</w:t>
            </w:r>
            <w:r>
              <w:rPr>
                <w:rFonts w:ascii="仿宋_GB2312" w:eastAsia="仿宋_GB2312" w:cs="宋体" w:hint="eastAsia"/>
                <w:kern w:val="0"/>
                <w:sz w:val="28"/>
                <w:szCs w:val="28"/>
              </w:rPr>
              <w:t>家。</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到</w:t>
            </w:r>
            <w:r>
              <w:rPr>
                <w:rFonts w:ascii="仿宋_GB2312" w:eastAsia="仿宋_GB2312" w:cs="宋体" w:hint="eastAsia"/>
                <w:kern w:val="0"/>
                <w:sz w:val="28"/>
                <w:szCs w:val="28"/>
              </w:rPr>
              <w:lastRenderedPageBreak/>
              <w:t>2016</w:t>
            </w:r>
            <w:r>
              <w:rPr>
                <w:rFonts w:ascii="仿宋_GB2312" w:eastAsia="仿宋_GB2312" w:cs="宋体" w:hint="eastAsia"/>
                <w:kern w:val="0"/>
                <w:sz w:val="28"/>
                <w:szCs w:val="28"/>
              </w:rPr>
              <w:t>年底，发展村级便利店</w:t>
            </w:r>
            <w:r>
              <w:rPr>
                <w:rFonts w:ascii="仿宋_GB2312" w:eastAsia="仿宋_GB2312" w:cs="宋体" w:hint="eastAsia"/>
                <w:kern w:val="0"/>
                <w:sz w:val="28"/>
                <w:szCs w:val="28"/>
              </w:rPr>
              <w:t>90</w:t>
            </w:r>
            <w:r>
              <w:rPr>
                <w:rFonts w:ascii="仿宋_GB2312" w:eastAsia="仿宋_GB2312" w:cs="宋体" w:hint="eastAsia"/>
                <w:kern w:val="0"/>
                <w:sz w:val="28"/>
                <w:szCs w:val="28"/>
              </w:rPr>
              <w:t>家，改造精品店</w:t>
            </w:r>
            <w:r>
              <w:rPr>
                <w:rFonts w:ascii="仿宋_GB2312" w:eastAsia="仿宋_GB2312" w:cs="宋体" w:hint="eastAsia"/>
                <w:kern w:val="0"/>
                <w:sz w:val="28"/>
                <w:szCs w:val="28"/>
              </w:rPr>
              <w:t>20</w:t>
            </w:r>
            <w:r>
              <w:rPr>
                <w:rFonts w:ascii="仿宋_GB2312" w:eastAsia="仿宋_GB2312" w:cs="宋体" w:hint="eastAsia"/>
                <w:kern w:val="0"/>
                <w:sz w:val="28"/>
                <w:szCs w:val="28"/>
              </w:rPr>
              <w:t>家。</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到</w:t>
            </w:r>
            <w:r>
              <w:rPr>
                <w:rFonts w:ascii="仿宋_GB2312" w:eastAsia="仿宋_GB2312" w:cs="宋体" w:hint="eastAsia"/>
                <w:kern w:val="0"/>
                <w:sz w:val="28"/>
                <w:szCs w:val="28"/>
              </w:rPr>
              <w:lastRenderedPageBreak/>
              <w:t>2016</w:t>
            </w:r>
            <w:r>
              <w:rPr>
                <w:rFonts w:ascii="仿宋_GB2312" w:eastAsia="仿宋_GB2312" w:cs="宋体" w:hint="eastAsia"/>
                <w:kern w:val="0"/>
                <w:sz w:val="28"/>
                <w:szCs w:val="28"/>
              </w:rPr>
              <w:t>年底，发展村级便利店</w:t>
            </w:r>
            <w:r>
              <w:rPr>
                <w:rFonts w:ascii="仿宋_GB2312" w:eastAsia="仿宋_GB2312" w:cs="宋体" w:hint="eastAsia"/>
                <w:kern w:val="0"/>
                <w:sz w:val="28"/>
                <w:szCs w:val="28"/>
              </w:rPr>
              <w:t>90</w:t>
            </w:r>
            <w:r>
              <w:rPr>
                <w:rFonts w:ascii="仿宋_GB2312" w:eastAsia="仿宋_GB2312" w:cs="宋体" w:hint="eastAsia"/>
                <w:kern w:val="0"/>
                <w:sz w:val="28"/>
                <w:szCs w:val="28"/>
              </w:rPr>
              <w:t>家以下，改造精品店补助</w:t>
            </w:r>
            <w:r>
              <w:rPr>
                <w:rFonts w:ascii="仿宋_GB2312" w:eastAsia="仿宋_GB2312" w:cs="宋体" w:hint="eastAsia"/>
                <w:kern w:val="0"/>
                <w:sz w:val="28"/>
                <w:szCs w:val="28"/>
              </w:rPr>
              <w:t>15</w:t>
            </w:r>
            <w:r>
              <w:rPr>
                <w:rFonts w:ascii="仿宋_GB2312" w:eastAsia="仿宋_GB2312" w:cs="宋体" w:hint="eastAsia"/>
                <w:kern w:val="0"/>
                <w:sz w:val="28"/>
                <w:szCs w:val="28"/>
              </w:rPr>
              <w:t>家。</w:t>
            </w:r>
          </w:p>
        </w:tc>
      </w:tr>
      <w:tr w:rsidR="002F336C">
        <w:trPr>
          <w:trHeight w:val="255"/>
          <w:tblCellSpacing w:w="0" w:type="dxa"/>
        </w:trPr>
        <w:tc>
          <w:tcPr>
            <w:tcW w:w="1518"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b/>
                <w:bCs/>
                <w:kern w:val="0"/>
                <w:sz w:val="28"/>
                <w:szCs w:val="28"/>
              </w:rPr>
              <w:lastRenderedPageBreak/>
              <w:t xml:space="preserve">　　组织体系建设</w:t>
            </w:r>
          </w:p>
        </w:tc>
        <w:tc>
          <w:tcPr>
            <w:tcW w:w="961"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156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充分发挥区“农合联”和区农民专业合作社建设领导小组办公室职能作用，壮大以农民专业合作社、各类专业协会、种植养殖大户等为成员的农民合作</w:t>
            </w:r>
            <w:r>
              <w:rPr>
                <w:rFonts w:ascii="仿宋_GB2312" w:eastAsia="仿宋_GB2312" w:cs="宋体" w:hint="eastAsia"/>
                <w:kern w:val="0"/>
                <w:sz w:val="28"/>
                <w:szCs w:val="28"/>
              </w:rPr>
              <w:lastRenderedPageBreak/>
              <w:t>经济组织体系，形成组织架构完整、规模较大、功能较完善的为农服务平台。</w:t>
            </w:r>
          </w:p>
        </w:tc>
        <w:tc>
          <w:tcPr>
            <w:tcW w:w="181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发展各类专业为农服务组织，深入开展为农服务、助农增收，推进全区农业现代级进程。</w:t>
            </w:r>
          </w:p>
        </w:tc>
        <w:tc>
          <w:tcPr>
            <w:tcW w:w="885"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带动区域主导产业</w:t>
            </w:r>
            <w:r>
              <w:rPr>
                <w:rFonts w:ascii="仿宋_GB2312" w:eastAsia="仿宋_GB2312" w:cs="宋体" w:hint="eastAsia"/>
                <w:kern w:val="0"/>
                <w:sz w:val="28"/>
                <w:szCs w:val="28"/>
              </w:rPr>
              <w:t>3</w:t>
            </w:r>
            <w:r>
              <w:rPr>
                <w:rFonts w:ascii="仿宋_GB2312" w:eastAsia="仿宋_GB2312" w:cs="宋体" w:hint="eastAsia"/>
                <w:kern w:val="0"/>
                <w:sz w:val="28"/>
                <w:szCs w:val="28"/>
              </w:rPr>
              <w:t>个，农户</w:t>
            </w:r>
            <w:r>
              <w:rPr>
                <w:rFonts w:ascii="仿宋_GB2312" w:eastAsia="仿宋_GB2312" w:cs="宋体" w:hint="eastAsia"/>
                <w:kern w:val="0"/>
                <w:sz w:val="28"/>
                <w:szCs w:val="28"/>
              </w:rPr>
              <w:t>6500</w:t>
            </w:r>
            <w:r>
              <w:rPr>
                <w:rFonts w:ascii="仿宋_GB2312" w:eastAsia="仿宋_GB2312" w:cs="宋体" w:hint="eastAsia"/>
                <w:kern w:val="0"/>
                <w:sz w:val="28"/>
                <w:szCs w:val="28"/>
              </w:rPr>
              <w:t>户，年助农增收</w:t>
            </w:r>
            <w:r>
              <w:rPr>
                <w:rFonts w:ascii="仿宋_GB2312" w:eastAsia="仿宋_GB2312" w:cs="宋体" w:hint="eastAsia"/>
                <w:kern w:val="0"/>
                <w:sz w:val="28"/>
                <w:szCs w:val="28"/>
              </w:rPr>
              <w:t>1400</w:t>
            </w:r>
            <w:r>
              <w:rPr>
                <w:rFonts w:ascii="仿宋_GB2312" w:eastAsia="仿宋_GB2312" w:cs="宋体" w:hint="eastAsia"/>
                <w:kern w:val="0"/>
                <w:sz w:val="28"/>
                <w:szCs w:val="28"/>
              </w:rPr>
              <w:t>万元。</w:t>
            </w:r>
          </w:p>
        </w:tc>
        <w:tc>
          <w:tcPr>
            <w:tcW w:w="887"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带动区域主导产业</w:t>
            </w:r>
            <w:r>
              <w:rPr>
                <w:rFonts w:ascii="仿宋_GB2312" w:eastAsia="仿宋_GB2312" w:cs="宋体" w:hint="eastAsia"/>
                <w:kern w:val="0"/>
                <w:sz w:val="28"/>
                <w:szCs w:val="28"/>
              </w:rPr>
              <w:t>3</w:t>
            </w:r>
            <w:r>
              <w:rPr>
                <w:rFonts w:ascii="仿宋_GB2312" w:eastAsia="仿宋_GB2312" w:cs="宋体" w:hint="eastAsia"/>
                <w:kern w:val="0"/>
                <w:sz w:val="28"/>
                <w:szCs w:val="28"/>
              </w:rPr>
              <w:t>个，农户</w:t>
            </w:r>
            <w:r>
              <w:rPr>
                <w:rFonts w:ascii="仿宋_GB2312" w:eastAsia="仿宋_GB2312" w:cs="宋体" w:hint="eastAsia"/>
                <w:kern w:val="0"/>
                <w:sz w:val="28"/>
                <w:szCs w:val="28"/>
              </w:rPr>
              <w:t>6500</w:t>
            </w:r>
            <w:r>
              <w:rPr>
                <w:rFonts w:ascii="仿宋_GB2312" w:eastAsia="仿宋_GB2312" w:cs="宋体" w:hint="eastAsia"/>
                <w:kern w:val="0"/>
                <w:sz w:val="28"/>
                <w:szCs w:val="28"/>
              </w:rPr>
              <w:t>户，年助农增收</w:t>
            </w:r>
            <w:r>
              <w:rPr>
                <w:rFonts w:ascii="仿宋_GB2312" w:eastAsia="仿宋_GB2312" w:cs="宋体" w:hint="eastAsia"/>
                <w:kern w:val="0"/>
                <w:sz w:val="28"/>
                <w:szCs w:val="28"/>
              </w:rPr>
              <w:t>1400</w:t>
            </w:r>
            <w:r>
              <w:rPr>
                <w:rFonts w:ascii="仿宋_GB2312" w:eastAsia="仿宋_GB2312" w:cs="宋体" w:hint="eastAsia"/>
                <w:kern w:val="0"/>
                <w:sz w:val="28"/>
                <w:szCs w:val="28"/>
              </w:rPr>
              <w:t>万元。</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带动区域主导产业</w:t>
            </w:r>
            <w:r>
              <w:rPr>
                <w:rFonts w:ascii="仿宋_GB2312" w:eastAsia="仿宋_GB2312" w:cs="宋体" w:hint="eastAsia"/>
                <w:kern w:val="0"/>
                <w:sz w:val="28"/>
                <w:szCs w:val="28"/>
              </w:rPr>
              <w:t>2</w:t>
            </w:r>
            <w:r>
              <w:rPr>
                <w:rFonts w:ascii="仿宋_GB2312" w:eastAsia="仿宋_GB2312" w:cs="宋体" w:hint="eastAsia"/>
                <w:kern w:val="0"/>
                <w:sz w:val="28"/>
                <w:szCs w:val="28"/>
              </w:rPr>
              <w:t>个，农户</w:t>
            </w:r>
            <w:r>
              <w:rPr>
                <w:rFonts w:ascii="仿宋_GB2312" w:eastAsia="仿宋_GB2312" w:cs="宋体" w:hint="eastAsia"/>
                <w:kern w:val="0"/>
                <w:sz w:val="28"/>
                <w:szCs w:val="28"/>
              </w:rPr>
              <w:t>5000</w:t>
            </w:r>
            <w:r>
              <w:rPr>
                <w:rFonts w:ascii="仿宋_GB2312" w:eastAsia="仿宋_GB2312" w:cs="宋体" w:hint="eastAsia"/>
                <w:kern w:val="0"/>
                <w:sz w:val="28"/>
                <w:szCs w:val="28"/>
              </w:rPr>
              <w:t>户，年助农增收</w:t>
            </w:r>
            <w:r>
              <w:rPr>
                <w:rFonts w:ascii="仿宋_GB2312" w:eastAsia="仿宋_GB2312" w:cs="宋体" w:hint="eastAsia"/>
                <w:kern w:val="0"/>
                <w:sz w:val="28"/>
                <w:szCs w:val="28"/>
              </w:rPr>
              <w:t>1000</w:t>
            </w:r>
            <w:r>
              <w:rPr>
                <w:rFonts w:ascii="仿宋_GB2312" w:eastAsia="仿宋_GB2312" w:cs="宋体" w:hint="eastAsia"/>
                <w:kern w:val="0"/>
                <w:sz w:val="28"/>
                <w:szCs w:val="28"/>
              </w:rPr>
              <w:t>万元。</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带动区域主导产业</w:t>
            </w:r>
            <w:r>
              <w:rPr>
                <w:rFonts w:ascii="仿宋_GB2312" w:eastAsia="仿宋_GB2312" w:cs="宋体" w:hint="eastAsia"/>
                <w:kern w:val="0"/>
                <w:sz w:val="28"/>
                <w:szCs w:val="28"/>
              </w:rPr>
              <w:t>2</w:t>
            </w:r>
            <w:r>
              <w:rPr>
                <w:rFonts w:ascii="仿宋_GB2312" w:eastAsia="仿宋_GB2312" w:cs="宋体" w:hint="eastAsia"/>
                <w:kern w:val="0"/>
                <w:sz w:val="28"/>
                <w:szCs w:val="28"/>
              </w:rPr>
              <w:t>个，农户</w:t>
            </w:r>
            <w:r>
              <w:rPr>
                <w:rFonts w:ascii="仿宋_GB2312" w:eastAsia="仿宋_GB2312" w:cs="宋体" w:hint="eastAsia"/>
                <w:kern w:val="0"/>
                <w:sz w:val="28"/>
                <w:szCs w:val="28"/>
              </w:rPr>
              <w:t>4000</w:t>
            </w:r>
            <w:r>
              <w:rPr>
                <w:rFonts w:ascii="仿宋_GB2312" w:eastAsia="仿宋_GB2312" w:cs="宋体" w:hint="eastAsia"/>
                <w:kern w:val="0"/>
                <w:sz w:val="28"/>
                <w:szCs w:val="28"/>
              </w:rPr>
              <w:t>户，年助农增收</w:t>
            </w:r>
            <w:r>
              <w:rPr>
                <w:rFonts w:ascii="仿宋_GB2312" w:eastAsia="仿宋_GB2312" w:cs="宋体" w:hint="eastAsia"/>
                <w:kern w:val="0"/>
                <w:sz w:val="28"/>
                <w:szCs w:val="28"/>
              </w:rPr>
              <w:t>800</w:t>
            </w:r>
            <w:r>
              <w:rPr>
                <w:rFonts w:ascii="仿宋_GB2312" w:eastAsia="仿宋_GB2312" w:cs="宋体" w:hint="eastAsia"/>
                <w:kern w:val="0"/>
                <w:sz w:val="28"/>
                <w:szCs w:val="28"/>
              </w:rPr>
              <w:t>万元。</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带动区域主导产业</w:t>
            </w:r>
            <w:r>
              <w:rPr>
                <w:rFonts w:ascii="仿宋_GB2312" w:eastAsia="仿宋_GB2312" w:cs="宋体" w:hint="eastAsia"/>
                <w:kern w:val="0"/>
                <w:sz w:val="28"/>
                <w:szCs w:val="28"/>
              </w:rPr>
              <w:t>2</w:t>
            </w:r>
            <w:r>
              <w:rPr>
                <w:rFonts w:ascii="仿宋_GB2312" w:eastAsia="仿宋_GB2312" w:cs="宋体" w:hint="eastAsia"/>
                <w:kern w:val="0"/>
                <w:sz w:val="28"/>
                <w:szCs w:val="28"/>
              </w:rPr>
              <w:t>个以下，带动农户</w:t>
            </w:r>
            <w:r>
              <w:rPr>
                <w:rFonts w:ascii="仿宋_GB2312" w:eastAsia="仿宋_GB2312" w:cs="宋体" w:hint="eastAsia"/>
                <w:kern w:val="0"/>
                <w:sz w:val="28"/>
                <w:szCs w:val="28"/>
              </w:rPr>
              <w:t>4000</w:t>
            </w:r>
            <w:r>
              <w:rPr>
                <w:rFonts w:ascii="仿宋_GB2312" w:eastAsia="仿宋_GB2312" w:cs="宋体" w:hint="eastAsia"/>
                <w:kern w:val="0"/>
                <w:sz w:val="28"/>
                <w:szCs w:val="28"/>
              </w:rPr>
              <w:t>户以下，年助农增收不足</w:t>
            </w:r>
            <w:r>
              <w:rPr>
                <w:rFonts w:ascii="仿宋_GB2312" w:eastAsia="仿宋_GB2312" w:cs="宋体" w:hint="eastAsia"/>
                <w:kern w:val="0"/>
                <w:sz w:val="28"/>
                <w:szCs w:val="28"/>
              </w:rPr>
              <w:t>800</w:t>
            </w:r>
            <w:r>
              <w:rPr>
                <w:rFonts w:ascii="仿宋_GB2312" w:eastAsia="仿宋_GB2312" w:cs="宋体" w:hint="eastAsia"/>
                <w:kern w:val="0"/>
                <w:sz w:val="28"/>
                <w:szCs w:val="28"/>
              </w:rPr>
              <w:t>元。</w:t>
            </w:r>
          </w:p>
        </w:tc>
      </w:tr>
      <w:tr w:rsidR="002F336C">
        <w:trPr>
          <w:trHeight w:val="255"/>
          <w:tblCellSpacing w:w="0" w:type="dxa"/>
        </w:trPr>
        <w:tc>
          <w:tcPr>
            <w:tcW w:w="1518"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b/>
                <w:bCs/>
                <w:kern w:val="0"/>
                <w:sz w:val="28"/>
                <w:szCs w:val="28"/>
              </w:rPr>
              <w:lastRenderedPageBreak/>
              <w:t xml:space="preserve">　　服务体系建设</w:t>
            </w:r>
          </w:p>
        </w:tc>
        <w:tc>
          <w:tcPr>
            <w:tcW w:w="961"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156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用于支持供销社系统推进农业生产资料、烟花爆竹、日用消费品、再生资源回收</w:t>
            </w:r>
            <w:r>
              <w:rPr>
                <w:rFonts w:ascii="仿宋_GB2312" w:eastAsia="仿宋_GB2312" w:cs="宋体" w:hint="eastAsia"/>
                <w:kern w:val="0"/>
                <w:sz w:val="28"/>
                <w:szCs w:val="28"/>
              </w:rPr>
              <w:lastRenderedPageBreak/>
              <w:t>利用等四大网络建设，将有利于健全农村市场体系，发展适应现代农业要求的流通产业，帮助农民增产增收，便民惠农，拉动农村消费。重点用于支持区供销社</w:t>
            </w:r>
            <w:r>
              <w:rPr>
                <w:rFonts w:ascii="仿宋_GB2312" w:eastAsia="仿宋_GB2312" w:cs="宋体" w:hint="eastAsia"/>
                <w:kern w:val="0"/>
                <w:sz w:val="28"/>
                <w:szCs w:val="28"/>
              </w:rPr>
              <w:lastRenderedPageBreak/>
              <w:t>系统在建、新建和改扩建项目。</w:t>
            </w:r>
          </w:p>
        </w:tc>
        <w:tc>
          <w:tcPr>
            <w:tcW w:w="181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加快全区供销社系统农资、烟花爆竹、日用消费品和再生资源四大网络建设，增强企</w:t>
            </w:r>
            <w:r>
              <w:rPr>
                <w:rFonts w:ascii="仿宋_GB2312" w:eastAsia="仿宋_GB2312" w:cs="宋体" w:hint="eastAsia"/>
                <w:kern w:val="0"/>
                <w:sz w:val="28"/>
                <w:szCs w:val="28"/>
              </w:rPr>
              <w:lastRenderedPageBreak/>
              <w:t>业发展实力。</w:t>
            </w:r>
          </w:p>
        </w:tc>
        <w:tc>
          <w:tcPr>
            <w:tcW w:w="885"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组织推荐</w:t>
            </w:r>
            <w:r>
              <w:rPr>
                <w:rFonts w:ascii="仿宋_GB2312" w:eastAsia="仿宋_GB2312" w:cs="宋体" w:hint="eastAsia"/>
                <w:kern w:val="0"/>
                <w:sz w:val="28"/>
                <w:szCs w:val="28"/>
              </w:rPr>
              <w:t>1</w:t>
            </w:r>
            <w:r>
              <w:rPr>
                <w:rFonts w:ascii="仿宋_GB2312" w:eastAsia="仿宋_GB2312" w:cs="宋体" w:hint="eastAsia"/>
                <w:kern w:val="0"/>
                <w:sz w:val="28"/>
                <w:szCs w:val="28"/>
              </w:rPr>
              <w:t>个符合“新网工程”要求的项目申</w:t>
            </w:r>
            <w:r>
              <w:rPr>
                <w:rFonts w:ascii="仿宋_GB2312" w:eastAsia="仿宋_GB2312" w:cs="宋体" w:hint="eastAsia"/>
                <w:kern w:val="0"/>
                <w:sz w:val="28"/>
                <w:szCs w:val="28"/>
              </w:rPr>
              <w:lastRenderedPageBreak/>
              <w:t>报，力争通过省级审核取得项目资金。</w:t>
            </w:r>
          </w:p>
        </w:tc>
        <w:tc>
          <w:tcPr>
            <w:tcW w:w="887"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组织推荐</w:t>
            </w:r>
            <w:r>
              <w:rPr>
                <w:rFonts w:ascii="仿宋_GB2312" w:eastAsia="仿宋_GB2312" w:cs="宋体" w:hint="eastAsia"/>
                <w:kern w:val="0"/>
                <w:sz w:val="28"/>
                <w:szCs w:val="28"/>
              </w:rPr>
              <w:t>1</w:t>
            </w:r>
            <w:r>
              <w:rPr>
                <w:rFonts w:ascii="仿宋_GB2312" w:eastAsia="仿宋_GB2312" w:cs="宋体" w:hint="eastAsia"/>
                <w:kern w:val="0"/>
                <w:sz w:val="28"/>
                <w:szCs w:val="28"/>
              </w:rPr>
              <w:t>个符合“新网工程”要求的项目申报，力争</w:t>
            </w:r>
            <w:r>
              <w:rPr>
                <w:rFonts w:ascii="仿宋_GB2312" w:eastAsia="仿宋_GB2312" w:cs="宋体" w:hint="eastAsia"/>
                <w:kern w:val="0"/>
                <w:sz w:val="28"/>
                <w:szCs w:val="28"/>
              </w:rPr>
              <w:lastRenderedPageBreak/>
              <w:t>通过省级审核取得项目资金。</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组织推荐</w:t>
            </w:r>
            <w:r>
              <w:rPr>
                <w:rFonts w:ascii="仿宋_GB2312" w:eastAsia="仿宋_GB2312" w:cs="宋体" w:hint="eastAsia"/>
                <w:kern w:val="0"/>
                <w:sz w:val="28"/>
                <w:szCs w:val="28"/>
              </w:rPr>
              <w:t>1</w:t>
            </w:r>
            <w:r>
              <w:rPr>
                <w:rFonts w:ascii="仿宋_GB2312" w:eastAsia="仿宋_GB2312" w:cs="宋体" w:hint="eastAsia"/>
                <w:kern w:val="0"/>
                <w:sz w:val="28"/>
                <w:szCs w:val="28"/>
              </w:rPr>
              <w:t>个符合“新网工程”要求</w:t>
            </w:r>
            <w:r>
              <w:rPr>
                <w:rFonts w:ascii="仿宋_GB2312" w:eastAsia="仿宋_GB2312" w:cs="宋体" w:hint="eastAsia"/>
                <w:kern w:val="0"/>
                <w:sz w:val="28"/>
                <w:szCs w:val="28"/>
              </w:rPr>
              <w:t>的项目申</w:t>
            </w:r>
            <w:r>
              <w:rPr>
                <w:rFonts w:ascii="仿宋_GB2312" w:eastAsia="仿宋_GB2312" w:cs="宋体" w:hint="eastAsia"/>
                <w:kern w:val="0"/>
                <w:sz w:val="28"/>
                <w:szCs w:val="28"/>
              </w:rPr>
              <w:lastRenderedPageBreak/>
              <w:t>报，力争通过省级审核取得项目资金。</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组织推荐</w:t>
            </w:r>
            <w:r>
              <w:rPr>
                <w:rFonts w:ascii="仿宋_GB2312" w:eastAsia="仿宋_GB2312" w:cs="宋体" w:hint="eastAsia"/>
                <w:kern w:val="0"/>
                <w:sz w:val="28"/>
                <w:szCs w:val="28"/>
              </w:rPr>
              <w:t>1</w:t>
            </w:r>
            <w:r>
              <w:rPr>
                <w:rFonts w:ascii="仿宋_GB2312" w:eastAsia="仿宋_GB2312" w:cs="宋体" w:hint="eastAsia"/>
                <w:kern w:val="0"/>
                <w:sz w:val="28"/>
                <w:szCs w:val="28"/>
              </w:rPr>
              <w:t>个符合“新网工程”要求的项目申</w:t>
            </w:r>
            <w:r>
              <w:rPr>
                <w:rFonts w:ascii="仿宋_GB2312" w:eastAsia="仿宋_GB2312" w:cs="宋体" w:hint="eastAsia"/>
                <w:kern w:val="0"/>
                <w:sz w:val="28"/>
                <w:szCs w:val="28"/>
              </w:rPr>
              <w:lastRenderedPageBreak/>
              <w:t>报，力争通过省级审核取得项目资金。</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未完成新网工程”项目申报。</w:t>
            </w:r>
          </w:p>
        </w:tc>
      </w:tr>
      <w:tr w:rsidR="002F336C">
        <w:trPr>
          <w:trHeight w:val="255"/>
          <w:tblCellSpacing w:w="0" w:type="dxa"/>
        </w:trPr>
        <w:tc>
          <w:tcPr>
            <w:tcW w:w="1518"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b/>
                <w:bCs/>
                <w:kern w:val="0"/>
                <w:sz w:val="28"/>
                <w:szCs w:val="28"/>
              </w:rPr>
              <w:lastRenderedPageBreak/>
              <w:t xml:space="preserve">　　农村金融体系建设</w:t>
            </w:r>
          </w:p>
        </w:tc>
        <w:tc>
          <w:tcPr>
            <w:tcW w:w="961"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156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面向涉农企业、专业合作经济组织、农业大户以及中小企业等，提供专业、便捷、高效的信贷支持及投资担保服务。</w:t>
            </w:r>
          </w:p>
        </w:tc>
        <w:tc>
          <w:tcPr>
            <w:tcW w:w="181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解决“三农”企业的融资难问题，促进全区新农村流通和投融资体系建设。</w:t>
            </w:r>
          </w:p>
        </w:tc>
        <w:tc>
          <w:tcPr>
            <w:tcW w:w="885"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按照改革方案逐步推进，实现农村合作金融体系创建目标。</w:t>
            </w:r>
          </w:p>
        </w:tc>
        <w:tc>
          <w:tcPr>
            <w:tcW w:w="887"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完成目标</w:t>
            </w:r>
            <w:r>
              <w:rPr>
                <w:rFonts w:ascii="仿宋_GB2312" w:eastAsia="仿宋_GB2312" w:cs="宋体" w:hint="eastAsia"/>
                <w:kern w:val="0"/>
                <w:sz w:val="28"/>
                <w:szCs w:val="28"/>
              </w:rPr>
              <w:t>100%</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完成目标</w:t>
            </w:r>
            <w:r>
              <w:rPr>
                <w:rFonts w:ascii="仿宋_GB2312" w:eastAsia="仿宋_GB2312" w:cs="宋体" w:hint="eastAsia"/>
                <w:kern w:val="0"/>
                <w:sz w:val="28"/>
                <w:szCs w:val="28"/>
              </w:rPr>
              <w:t>80%</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完成目标</w:t>
            </w:r>
            <w:r>
              <w:rPr>
                <w:rFonts w:ascii="仿宋_GB2312" w:eastAsia="仿宋_GB2312" w:cs="宋体" w:hint="eastAsia"/>
                <w:kern w:val="0"/>
                <w:sz w:val="28"/>
                <w:szCs w:val="28"/>
              </w:rPr>
              <w:t>60%</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完成目标</w:t>
            </w:r>
            <w:r>
              <w:rPr>
                <w:rFonts w:ascii="仿宋_GB2312" w:eastAsia="仿宋_GB2312" w:cs="宋体" w:hint="eastAsia"/>
                <w:kern w:val="0"/>
                <w:sz w:val="28"/>
                <w:szCs w:val="28"/>
              </w:rPr>
              <w:t>60%</w:t>
            </w:r>
            <w:r>
              <w:rPr>
                <w:rFonts w:ascii="仿宋_GB2312" w:eastAsia="仿宋_GB2312" w:cs="宋体" w:hint="eastAsia"/>
                <w:kern w:val="0"/>
                <w:sz w:val="28"/>
                <w:szCs w:val="28"/>
              </w:rPr>
              <w:t>以下</w:t>
            </w:r>
          </w:p>
        </w:tc>
      </w:tr>
      <w:tr w:rsidR="002F336C">
        <w:trPr>
          <w:trHeight w:val="255"/>
          <w:tblCellSpacing w:w="0" w:type="dxa"/>
        </w:trPr>
        <w:tc>
          <w:tcPr>
            <w:tcW w:w="1518"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b/>
                <w:bCs/>
                <w:kern w:val="0"/>
                <w:sz w:val="28"/>
                <w:szCs w:val="28"/>
              </w:rPr>
              <w:lastRenderedPageBreak/>
              <w:t xml:space="preserve">　　服务体系建设</w:t>
            </w:r>
          </w:p>
        </w:tc>
        <w:tc>
          <w:tcPr>
            <w:tcW w:w="961"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156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为充分发挥基层党组织的战斗堡垒作用，引导广大党员为深化供销社综合改革作出积极贡献，省委组织部、省供销社党组研究决定，在全省供销社系统组织实</w:t>
            </w:r>
            <w:r>
              <w:rPr>
                <w:rFonts w:ascii="仿宋_GB2312" w:eastAsia="仿宋_GB2312" w:cs="宋体" w:hint="eastAsia"/>
                <w:kern w:val="0"/>
                <w:sz w:val="28"/>
                <w:szCs w:val="28"/>
              </w:rPr>
              <w:lastRenderedPageBreak/>
              <w:t>施“旗帜供销”工程，积极探索基层服务型党组织。</w:t>
            </w:r>
          </w:p>
        </w:tc>
        <w:tc>
          <w:tcPr>
            <w:tcW w:w="181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在全区供销系统符合条件的单位建起基层党组织；党组织工作制度健全完善，工作运行规范；党员全部亮明身份，做到配牌上岗，发挥表率作用。</w:t>
            </w:r>
          </w:p>
        </w:tc>
        <w:tc>
          <w:tcPr>
            <w:tcW w:w="885"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总结推广固安、霸州试点先进经验，在全区供销系统开展“旗帜供销”工程，力争在符合条</w:t>
            </w:r>
            <w:r>
              <w:rPr>
                <w:rFonts w:ascii="仿宋_GB2312" w:eastAsia="仿宋_GB2312" w:cs="宋体" w:hint="eastAsia"/>
                <w:kern w:val="0"/>
                <w:sz w:val="28"/>
                <w:szCs w:val="28"/>
              </w:rPr>
              <w:lastRenderedPageBreak/>
              <w:t>件的单位全部建起基层党组织</w:t>
            </w:r>
          </w:p>
        </w:tc>
        <w:tc>
          <w:tcPr>
            <w:tcW w:w="887"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总结推广固安、霸州试点先进经验，在全区供销系统深入开展“旗帜供销”工程，力争</w:t>
            </w:r>
            <w:r>
              <w:rPr>
                <w:rFonts w:ascii="仿宋_GB2312" w:eastAsia="仿宋_GB2312" w:cs="宋体" w:hint="eastAsia"/>
                <w:kern w:val="0"/>
                <w:sz w:val="28"/>
                <w:szCs w:val="28"/>
              </w:rPr>
              <w:t>100%</w:t>
            </w:r>
            <w:r>
              <w:rPr>
                <w:rFonts w:ascii="仿宋_GB2312" w:eastAsia="仿宋_GB2312" w:cs="宋体" w:hint="eastAsia"/>
                <w:kern w:val="0"/>
                <w:sz w:val="28"/>
                <w:szCs w:val="28"/>
              </w:rPr>
              <w:t>符合条件的单位</w:t>
            </w:r>
            <w:r>
              <w:rPr>
                <w:rFonts w:ascii="仿宋_GB2312" w:eastAsia="仿宋_GB2312" w:cs="宋体" w:hint="eastAsia"/>
                <w:kern w:val="0"/>
                <w:sz w:val="28"/>
                <w:szCs w:val="28"/>
              </w:rPr>
              <w:lastRenderedPageBreak/>
              <w:t>建起基层党组织。</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总结推广固安、霸州试点先进经验，在全区供销系统深入开展“旗帜供销”工程，力争</w:t>
            </w:r>
            <w:r>
              <w:rPr>
                <w:rFonts w:ascii="仿宋_GB2312" w:eastAsia="仿宋_GB2312" w:cs="宋体" w:hint="eastAsia"/>
                <w:kern w:val="0"/>
                <w:sz w:val="28"/>
                <w:szCs w:val="28"/>
              </w:rPr>
              <w:lastRenderedPageBreak/>
              <w:t>85%</w:t>
            </w:r>
            <w:r>
              <w:rPr>
                <w:rFonts w:ascii="仿宋_GB2312" w:eastAsia="仿宋_GB2312" w:cs="宋体" w:hint="eastAsia"/>
                <w:kern w:val="0"/>
                <w:sz w:val="28"/>
                <w:szCs w:val="28"/>
              </w:rPr>
              <w:t>符合条件的单位建起基层党组织。</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总结推广固安、霸州试点先进经验，在全区供销系统深入开展“旗帜供销”工程，力争</w:t>
            </w:r>
            <w:r>
              <w:rPr>
                <w:rFonts w:ascii="仿宋_GB2312" w:eastAsia="仿宋_GB2312" w:cs="宋体" w:hint="eastAsia"/>
                <w:kern w:val="0"/>
                <w:sz w:val="28"/>
                <w:szCs w:val="28"/>
              </w:rPr>
              <w:lastRenderedPageBreak/>
              <w:t>75%</w:t>
            </w:r>
            <w:r>
              <w:rPr>
                <w:rFonts w:ascii="仿宋_GB2312" w:eastAsia="仿宋_GB2312" w:cs="宋体" w:hint="eastAsia"/>
                <w:kern w:val="0"/>
                <w:sz w:val="28"/>
                <w:szCs w:val="28"/>
              </w:rPr>
              <w:t>符合条件的单位建起基层党组织。</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总结推广固安、霸州试点先进经验，在全区供销系统深入开展“旗帜供销”工程，符合条件</w:t>
            </w:r>
            <w:r>
              <w:rPr>
                <w:rFonts w:ascii="仿宋_GB2312" w:eastAsia="仿宋_GB2312" w:cs="宋体" w:hint="eastAsia"/>
                <w:kern w:val="0"/>
                <w:sz w:val="28"/>
                <w:szCs w:val="28"/>
              </w:rPr>
              <w:lastRenderedPageBreak/>
              <w:t>的单位基层党组织完善率低于</w:t>
            </w:r>
            <w:r>
              <w:rPr>
                <w:rFonts w:ascii="仿宋_GB2312" w:eastAsia="仿宋_GB2312" w:cs="宋体" w:hint="eastAsia"/>
                <w:kern w:val="0"/>
                <w:sz w:val="28"/>
                <w:szCs w:val="28"/>
              </w:rPr>
              <w:t>60%</w:t>
            </w:r>
            <w:r>
              <w:rPr>
                <w:rFonts w:ascii="仿宋_GB2312" w:eastAsia="仿宋_GB2312" w:cs="宋体" w:hint="eastAsia"/>
                <w:kern w:val="0"/>
                <w:sz w:val="28"/>
                <w:szCs w:val="28"/>
              </w:rPr>
              <w:t>。</w:t>
            </w:r>
          </w:p>
        </w:tc>
      </w:tr>
      <w:tr w:rsidR="002F336C">
        <w:trPr>
          <w:trHeight w:val="255"/>
          <w:tblCellSpacing w:w="0" w:type="dxa"/>
        </w:trPr>
        <w:tc>
          <w:tcPr>
            <w:tcW w:w="1518"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b/>
                <w:bCs/>
                <w:kern w:val="0"/>
                <w:sz w:val="28"/>
                <w:szCs w:val="28"/>
              </w:rPr>
              <w:lastRenderedPageBreak/>
              <w:t>供销合作政务管理</w:t>
            </w:r>
          </w:p>
        </w:tc>
        <w:tc>
          <w:tcPr>
            <w:tcW w:w="961"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156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负责管理运营本级社有资产，对</w:t>
            </w:r>
            <w:r>
              <w:rPr>
                <w:rFonts w:ascii="仿宋_GB2312" w:eastAsia="仿宋_GB2312" w:cs="宋体" w:hint="eastAsia"/>
                <w:kern w:val="0"/>
                <w:sz w:val="28"/>
                <w:szCs w:val="28"/>
              </w:rPr>
              <w:t>直属企业行使出资人职能，依法享有所有者的资产收益、</w:t>
            </w:r>
            <w:r>
              <w:rPr>
                <w:rFonts w:ascii="仿宋_GB2312" w:eastAsia="仿宋_GB2312" w:cs="宋体" w:hint="eastAsia"/>
                <w:kern w:val="0"/>
                <w:sz w:val="28"/>
                <w:szCs w:val="28"/>
              </w:rPr>
              <w:lastRenderedPageBreak/>
              <w:t>重大问题决策和选择管理者的权利，决定资产收益办法和支配方式。负责机关及直属单位党建、精神文明建设和政治思想工作，按照干部管理权限考察任免</w:t>
            </w:r>
            <w:r>
              <w:rPr>
                <w:rFonts w:ascii="仿宋_GB2312" w:eastAsia="仿宋_GB2312" w:cs="宋体" w:hint="eastAsia"/>
                <w:kern w:val="0"/>
                <w:sz w:val="28"/>
                <w:szCs w:val="28"/>
              </w:rPr>
              <w:lastRenderedPageBreak/>
              <w:t>干部。</w:t>
            </w:r>
          </w:p>
        </w:tc>
        <w:tc>
          <w:tcPr>
            <w:tcW w:w="181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lastRenderedPageBreak/>
              <w:t>以供销社综合改革为契机，盘活现有资产、推进社属企业改革，维护区直和谐稳定局面。</w:t>
            </w:r>
          </w:p>
        </w:tc>
        <w:tc>
          <w:tcPr>
            <w:tcW w:w="885"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887"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r>
      <w:tr w:rsidR="002F336C">
        <w:trPr>
          <w:trHeight w:val="255"/>
          <w:tblCellSpacing w:w="0" w:type="dxa"/>
        </w:trPr>
        <w:tc>
          <w:tcPr>
            <w:tcW w:w="1518"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b/>
                <w:bCs/>
                <w:kern w:val="0"/>
                <w:sz w:val="28"/>
                <w:szCs w:val="28"/>
              </w:rPr>
              <w:lastRenderedPageBreak/>
              <w:t xml:space="preserve">　　综合业务管理</w:t>
            </w:r>
          </w:p>
        </w:tc>
        <w:tc>
          <w:tcPr>
            <w:tcW w:w="961"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宋体" w:eastAsia="仿宋_GB2312" w:hAnsi="宋体" w:cs="宋体"/>
                <w:kern w:val="0"/>
                <w:sz w:val="28"/>
                <w:szCs w:val="28"/>
              </w:rPr>
            </w:pPr>
            <w:r>
              <w:rPr>
                <w:rFonts w:ascii="宋体" w:eastAsia="仿宋_GB2312" w:hAnsi="宋体" w:cs="宋体"/>
                <w:kern w:val="0"/>
                <w:sz w:val="28"/>
                <w:szCs w:val="28"/>
              </w:rPr>
              <w:t> </w:t>
            </w:r>
          </w:p>
        </w:tc>
        <w:tc>
          <w:tcPr>
            <w:tcW w:w="156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制订区供销系统发展战略和规划、指导区直系统业务活动、确保社有资产保值增值，确保职工队伍稳定。</w:t>
            </w:r>
          </w:p>
        </w:tc>
        <w:tc>
          <w:tcPr>
            <w:tcW w:w="1812"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完成区供销系统综合业务指标。</w:t>
            </w:r>
          </w:p>
        </w:tc>
        <w:tc>
          <w:tcPr>
            <w:tcW w:w="885"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区供销系统综合业务完成情况。</w:t>
            </w:r>
          </w:p>
        </w:tc>
        <w:tc>
          <w:tcPr>
            <w:tcW w:w="887"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综合业务按年度计划完成情况达</w:t>
            </w:r>
            <w:r>
              <w:rPr>
                <w:rFonts w:ascii="仿宋_GB2312" w:eastAsia="仿宋_GB2312" w:cs="宋体" w:hint="eastAsia"/>
                <w:kern w:val="0"/>
                <w:sz w:val="28"/>
                <w:szCs w:val="28"/>
              </w:rPr>
              <w:t>100%</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综合业务按年度计划完成情况达</w:t>
            </w:r>
            <w:r>
              <w:rPr>
                <w:rFonts w:ascii="仿宋_GB2312" w:eastAsia="仿宋_GB2312" w:cs="宋体" w:hint="eastAsia"/>
                <w:kern w:val="0"/>
                <w:sz w:val="28"/>
                <w:szCs w:val="28"/>
              </w:rPr>
              <w:t>95%</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综合业务按年度计划完成情况达</w:t>
            </w:r>
            <w:r>
              <w:rPr>
                <w:rFonts w:ascii="仿宋_GB2312" w:eastAsia="仿宋_GB2312" w:cs="宋体" w:hint="eastAsia"/>
                <w:kern w:val="0"/>
                <w:sz w:val="28"/>
                <w:szCs w:val="28"/>
              </w:rPr>
              <w:t>90%</w:t>
            </w:r>
          </w:p>
        </w:tc>
        <w:tc>
          <w:tcPr>
            <w:tcW w:w="749" w:type="dxa"/>
            <w:tcBorders>
              <w:top w:val="outset" w:sz="6" w:space="0" w:color="auto"/>
              <w:left w:val="outset" w:sz="6" w:space="0" w:color="auto"/>
              <w:bottom w:val="outset" w:sz="6" w:space="0" w:color="auto"/>
              <w:right w:val="outset" w:sz="6" w:space="0" w:color="auto"/>
            </w:tcBorders>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综合业务按年度计划完成情况达</w:t>
            </w:r>
            <w:r>
              <w:rPr>
                <w:rFonts w:ascii="仿宋_GB2312" w:eastAsia="仿宋_GB2312" w:cs="宋体" w:hint="eastAsia"/>
                <w:kern w:val="0"/>
                <w:sz w:val="28"/>
                <w:szCs w:val="28"/>
              </w:rPr>
              <w:t>80%</w:t>
            </w:r>
          </w:p>
        </w:tc>
      </w:tr>
    </w:tbl>
    <w:p w:rsidR="002F336C" w:rsidRDefault="002F336C">
      <w:pPr>
        <w:widowControl/>
        <w:spacing w:line="360" w:lineRule="atLeast"/>
        <w:jc w:val="left"/>
        <w:rPr>
          <w:rFonts w:ascii="宋体" w:eastAsia="仿宋_GB2312" w:hAnsi="宋体" w:cs="宋体"/>
          <w:color w:val="000000"/>
          <w:kern w:val="0"/>
          <w:sz w:val="32"/>
          <w:szCs w:val="32"/>
        </w:rPr>
      </w:pPr>
    </w:p>
    <w:p w:rsidR="002F336C" w:rsidRDefault="002F336C">
      <w:pPr>
        <w:widowControl/>
        <w:spacing w:line="360" w:lineRule="atLeast"/>
        <w:jc w:val="left"/>
        <w:rPr>
          <w:rFonts w:ascii="宋体" w:eastAsia="仿宋_GB2312" w:hAnsi="宋体" w:cs="宋体"/>
          <w:color w:val="000000"/>
          <w:kern w:val="0"/>
          <w:sz w:val="32"/>
          <w:szCs w:val="32"/>
        </w:rPr>
      </w:pPr>
    </w:p>
    <w:p w:rsidR="002F336C" w:rsidRDefault="002F336C">
      <w:pPr>
        <w:widowControl/>
        <w:spacing w:line="360" w:lineRule="atLeast"/>
        <w:jc w:val="left"/>
        <w:rPr>
          <w:rFonts w:ascii="宋体" w:eastAsia="仿宋_GB2312" w:hAnsi="宋体" w:cs="宋体"/>
          <w:color w:val="000000"/>
          <w:kern w:val="0"/>
          <w:sz w:val="32"/>
          <w:szCs w:val="32"/>
        </w:rPr>
      </w:pPr>
    </w:p>
    <w:p w:rsidR="002F336C" w:rsidRDefault="002F336C">
      <w:pPr>
        <w:widowControl/>
        <w:spacing w:line="360" w:lineRule="atLeast"/>
        <w:jc w:val="left"/>
        <w:rPr>
          <w:rFonts w:ascii="宋体" w:eastAsia="仿宋_GB2312" w:hAnsi="宋体" w:cs="宋体"/>
          <w:color w:val="000000"/>
          <w:kern w:val="0"/>
          <w:sz w:val="32"/>
          <w:szCs w:val="32"/>
        </w:rPr>
      </w:pPr>
    </w:p>
    <w:p w:rsidR="002F336C" w:rsidRDefault="002F336C">
      <w:pPr>
        <w:widowControl/>
        <w:spacing w:line="360" w:lineRule="atLeast"/>
        <w:jc w:val="left"/>
        <w:rPr>
          <w:rFonts w:ascii="宋体" w:eastAsia="仿宋_GB2312" w:hAnsi="宋体" w:cs="宋体"/>
          <w:color w:val="000000"/>
          <w:kern w:val="0"/>
          <w:sz w:val="32"/>
          <w:szCs w:val="32"/>
        </w:rPr>
      </w:pPr>
    </w:p>
    <w:p w:rsidR="002F336C" w:rsidRDefault="002F336C">
      <w:pPr>
        <w:widowControl/>
        <w:spacing w:line="360" w:lineRule="atLeast"/>
        <w:jc w:val="left"/>
        <w:rPr>
          <w:rFonts w:ascii="宋体" w:eastAsia="仿宋_GB2312" w:hAnsi="宋体" w:cs="宋体"/>
          <w:color w:val="000000"/>
          <w:kern w:val="0"/>
          <w:sz w:val="32"/>
          <w:szCs w:val="32"/>
        </w:rPr>
      </w:pPr>
    </w:p>
    <w:p w:rsidR="002F336C" w:rsidRDefault="002F336C">
      <w:pPr>
        <w:widowControl/>
        <w:spacing w:line="360" w:lineRule="atLeast"/>
        <w:jc w:val="left"/>
        <w:rPr>
          <w:rFonts w:ascii="宋体" w:eastAsia="仿宋_GB2312" w:hAnsi="宋体" w:cs="宋体"/>
          <w:color w:val="000000"/>
          <w:kern w:val="0"/>
          <w:sz w:val="32"/>
          <w:szCs w:val="32"/>
        </w:rPr>
      </w:pPr>
    </w:p>
    <w:p w:rsidR="002F336C" w:rsidRDefault="002F336C">
      <w:pPr>
        <w:widowControl/>
        <w:spacing w:line="360" w:lineRule="atLeast"/>
        <w:jc w:val="left"/>
        <w:rPr>
          <w:rFonts w:ascii="宋体" w:eastAsia="仿宋_GB2312" w:hAnsi="宋体" w:cs="宋体"/>
          <w:color w:val="000000"/>
          <w:kern w:val="0"/>
          <w:sz w:val="32"/>
          <w:szCs w:val="32"/>
        </w:rPr>
      </w:pPr>
    </w:p>
    <w:p w:rsidR="002F336C" w:rsidRDefault="004D2499">
      <w:pPr>
        <w:widowControl/>
        <w:spacing w:line="360" w:lineRule="atLeast"/>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黑体" w:eastAsia="黑体" w:cs="宋体" w:hint="eastAsia"/>
          <w:b/>
          <w:bCs/>
          <w:color w:val="000000"/>
          <w:kern w:val="0"/>
          <w:sz w:val="32"/>
          <w:szCs w:val="32"/>
        </w:rPr>
        <w:t>六、政府采购预算情况</w:t>
      </w:r>
      <w:r>
        <w:rPr>
          <w:rFonts w:ascii="黑体" w:eastAsia="黑体"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年，我部门未安排政府采购预算。</w:t>
      </w:r>
    </w:p>
    <w:p w:rsidR="002F336C" w:rsidRDefault="004D2499">
      <w:pPr>
        <w:jc w:val="center"/>
        <w:outlineLvl w:val="0"/>
        <w:rPr>
          <w:rFonts w:ascii="仿宋_GB2312" w:eastAsia="仿宋_GB2312" w:cs="Times New Roman"/>
          <w:sz w:val="28"/>
          <w:szCs w:val="28"/>
        </w:rPr>
      </w:pPr>
      <w:r>
        <w:rPr>
          <w:rFonts w:ascii="仿宋_GB2312" w:eastAsia="仿宋_GB2312" w:cs="Times New Roman" w:hint="eastAsia"/>
          <w:sz w:val="28"/>
          <w:szCs w:val="28"/>
        </w:rPr>
        <w:t>部门政府采购预算</w:t>
      </w:r>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270"/>
        <w:gridCol w:w="1013"/>
        <w:gridCol w:w="834"/>
        <w:gridCol w:w="1327"/>
        <w:gridCol w:w="834"/>
        <w:gridCol w:w="834"/>
        <w:gridCol w:w="856"/>
        <w:gridCol w:w="853"/>
        <w:gridCol w:w="853"/>
        <w:gridCol w:w="853"/>
        <w:gridCol w:w="776"/>
        <w:gridCol w:w="837"/>
        <w:gridCol w:w="837"/>
        <w:gridCol w:w="784"/>
      </w:tblGrid>
      <w:tr w:rsidR="002F336C">
        <w:trPr>
          <w:tblHeader/>
          <w:jc w:val="center"/>
        </w:trPr>
        <w:tc>
          <w:tcPr>
            <w:tcW w:w="2895" w:type="pct"/>
            <w:gridSpan w:val="7"/>
            <w:tcBorders>
              <w:top w:val="single" w:sz="6" w:space="0" w:color="FFFFFF"/>
              <w:left w:val="single" w:sz="6" w:space="0" w:color="FFFFFF"/>
              <w:right w:val="single" w:sz="6" w:space="0" w:color="FFFFFF"/>
            </w:tcBorders>
            <w:shd w:val="clear" w:color="auto" w:fill="auto"/>
            <w:vAlign w:val="center"/>
          </w:tcPr>
          <w:p w:rsidR="002F336C" w:rsidRDefault="004D2499">
            <w:pPr>
              <w:spacing w:line="300" w:lineRule="exact"/>
              <w:jc w:val="left"/>
              <w:rPr>
                <w:rFonts w:ascii="仿宋_GB2312" w:eastAsia="仿宋_GB2312" w:cs="Times New Roman"/>
                <w:sz w:val="28"/>
                <w:szCs w:val="28"/>
              </w:rPr>
            </w:pPr>
            <w:r>
              <w:rPr>
                <w:rFonts w:ascii="仿宋_GB2312" w:eastAsia="仿宋_GB2312" w:cs="宋体" w:hint="eastAsia"/>
                <w:color w:val="000000"/>
                <w:kern w:val="0"/>
                <w:sz w:val="28"/>
                <w:szCs w:val="28"/>
              </w:rPr>
              <w:t>廊坊市广阳区供销社</w:t>
            </w:r>
          </w:p>
        </w:tc>
        <w:tc>
          <w:tcPr>
            <w:tcW w:w="2105" w:type="pct"/>
            <w:gridSpan w:val="7"/>
            <w:tcBorders>
              <w:top w:val="single" w:sz="6" w:space="0" w:color="FFFFFF"/>
              <w:left w:val="single" w:sz="6" w:space="0" w:color="FFFFFF"/>
              <w:right w:val="single" w:sz="6" w:space="0" w:color="FFFFFF"/>
            </w:tcBorders>
            <w:shd w:val="clear" w:color="auto" w:fill="auto"/>
            <w:vAlign w:val="center"/>
          </w:tcPr>
          <w:p w:rsidR="002F336C" w:rsidRDefault="004D2499">
            <w:pPr>
              <w:spacing w:line="300" w:lineRule="exact"/>
              <w:jc w:val="right"/>
              <w:rPr>
                <w:rFonts w:ascii="仿宋_GB2312" w:eastAsia="仿宋_GB2312" w:cs="Times New Roman"/>
                <w:sz w:val="28"/>
                <w:szCs w:val="28"/>
              </w:rPr>
            </w:pPr>
            <w:r>
              <w:rPr>
                <w:rFonts w:ascii="仿宋_GB2312" w:eastAsia="仿宋_GB2312" w:cs="Times New Roman" w:hint="eastAsia"/>
                <w:sz w:val="28"/>
                <w:szCs w:val="28"/>
              </w:rPr>
              <w:t>单位：万元</w:t>
            </w:r>
          </w:p>
        </w:tc>
      </w:tr>
      <w:tr w:rsidR="002F336C">
        <w:trPr>
          <w:tblHeader/>
          <w:jc w:val="center"/>
        </w:trPr>
        <w:tc>
          <w:tcPr>
            <w:tcW w:w="1193" w:type="pct"/>
            <w:gridSpan w:val="2"/>
            <w:shd w:val="clear" w:color="auto" w:fill="auto"/>
            <w:vAlign w:val="center"/>
          </w:tcPr>
          <w:p w:rsidR="002F336C" w:rsidRDefault="004D2499">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lastRenderedPageBreak/>
              <w:t>政府采购项目来源</w:t>
            </w:r>
          </w:p>
        </w:tc>
        <w:tc>
          <w:tcPr>
            <w:tcW w:w="303" w:type="pct"/>
            <w:vMerge w:val="restart"/>
            <w:shd w:val="clear" w:color="auto" w:fill="auto"/>
            <w:vAlign w:val="center"/>
          </w:tcPr>
          <w:p w:rsidR="002F336C" w:rsidRDefault="004D2499">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采购物品名称</w:t>
            </w:r>
          </w:p>
        </w:tc>
        <w:tc>
          <w:tcPr>
            <w:tcW w:w="482" w:type="pct"/>
            <w:vMerge w:val="restart"/>
            <w:shd w:val="clear" w:color="auto" w:fill="auto"/>
            <w:vAlign w:val="center"/>
          </w:tcPr>
          <w:p w:rsidR="002F336C" w:rsidRDefault="004D2499">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政府采购目录序号</w:t>
            </w:r>
          </w:p>
        </w:tc>
        <w:tc>
          <w:tcPr>
            <w:tcW w:w="303" w:type="pct"/>
            <w:vMerge w:val="restart"/>
            <w:shd w:val="clear" w:color="auto" w:fill="auto"/>
            <w:vAlign w:val="center"/>
          </w:tcPr>
          <w:p w:rsidR="002F336C" w:rsidRDefault="004D2499">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数量</w:t>
            </w:r>
            <w:r>
              <w:rPr>
                <w:rFonts w:ascii="仿宋_GB2312" w:eastAsia="仿宋_GB2312" w:cs="Times New Roman" w:hint="eastAsia"/>
                <w:b/>
                <w:sz w:val="28"/>
                <w:szCs w:val="28"/>
              </w:rPr>
              <w:t xml:space="preserve">  </w:t>
            </w:r>
            <w:r>
              <w:rPr>
                <w:rFonts w:ascii="仿宋_GB2312" w:eastAsia="仿宋_GB2312" w:cs="Times New Roman" w:hint="eastAsia"/>
                <w:b/>
                <w:sz w:val="28"/>
                <w:szCs w:val="28"/>
              </w:rPr>
              <w:t>单位</w:t>
            </w:r>
          </w:p>
        </w:tc>
        <w:tc>
          <w:tcPr>
            <w:tcW w:w="303" w:type="pct"/>
            <w:vMerge w:val="restart"/>
            <w:shd w:val="clear" w:color="auto" w:fill="auto"/>
            <w:vAlign w:val="center"/>
          </w:tcPr>
          <w:p w:rsidR="002F336C" w:rsidRDefault="004D2499">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数量</w:t>
            </w:r>
          </w:p>
        </w:tc>
        <w:tc>
          <w:tcPr>
            <w:tcW w:w="310" w:type="pct"/>
            <w:vMerge w:val="restart"/>
            <w:shd w:val="clear" w:color="auto" w:fill="auto"/>
            <w:vAlign w:val="center"/>
          </w:tcPr>
          <w:p w:rsidR="002F336C" w:rsidRDefault="004D2499">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单价</w:t>
            </w:r>
          </w:p>
        </w:tc>
        <w:tc>
          <w:tcPr>
            <w:tcW w:w="2105" w:type="pct"/>
            <w:gridSpan w:val="7"/>
            <w:shd w:val="clear" w:color="auto" w:fill="auto"/>
            <w:vAlign w:val="center"/>
          </w:tcPr>
          <w:p w:rsidR="002F336C" w:rsidRDefault="004D2499">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政府采购金额</w:t>
            </w:r>
          </w:p>
        </w:tc>
      </w:tr>
      <w:tr w:rsidR="002F336C">
        <w:trPr>
          <w:tblHeader/>
          <w:jc w:val="center"/>
        </w:trPr>
        <w:tc>
          <w:tcPr>
            <w:tcW w:w="825" w:type="pct"/>
            <w:vMerge w:val="restart"/>
            <w:shd w:val="clear" w:color="auto" w:fill="auto"/>
            <w:vAlign w:val="center"/>
          </w:tcPr>
          <w:p w:rsidR="002F336C" w:rsidRDefault="004D2499">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项目名称</w:t>
            </w:r>
          </w:p>
        </w:tc>
        <w:tc>
          <w:tcPr>
            <w:tcW w:w="367" w:type="pct"/>
            <w:vMerge w:val="restart"/>
            <w:shd w:val="clear" w:color="auto" w:fill="auto"/>
            <w:vAlign w:val="center"/>
          </w:tcPr>
          <w:p w:rsidR="002F336C" w:rsidRDefault="004D2499">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预算资金</w:t>
            </w:r>
          </w:p>
        </w:tc>
        <w:tc>
          <w:tcPr>
            <w:tcW w:w="303" w:type="pct"/>
            <w:vMerge/>
            <w:shd w:val="clear" w:color="auto" w:fill="auto"/>
            <w:vAlign w:val="center"/>
          </w:tcPr>
          <w:p w:rsidR="002F336C" w:rsidRDefault="002F336C"/>
        </w:tc>
        <w:tc>
          <w:tcPr>
            <w:tcW w:w="482" w:type="pct"/>
            <w:vMerge/>
            <w:shd w:val="clear" w:color="auto" w:fill="auto"/>
            <w:vAlign w:val="center"/>
          </w:tcPr>
          <w:p w:rsidR="002F336C" w:rsidRDefault="002F336C"/>
        </w:tc>
        <w:tc>
          <w:tcPr>
            <w:tcW w:w="303" w:type="pct"/>
            <w:vMerge/>
            <w:shd w:val="clear" w:color="auto" w:fill="auto"/>
            <w:vAlign w:val="center"/>
          </w:tcPr>
          <w:p w:rsidR="002F336C" w:rsidRDefault="002F336C"/>
        </w:tc>
        <w:tc>
          <w:tcPr>
            <w:tcW w:w="303" w:type="pct"/>
            <w:vMerge/>
            <w:shd w:val="clear" w:color="auto" w:fill="auto"/>
            <w:vAlign w:val="center"/>
          </w:tcPr>
          <w:p w:rsidR="002F336C" w:rsidRDefault="002F336C"/>
        </w:tc>
        <w:tc>
          <w:tcPr>
            <w:tcW w:w="310" w:type="pct"/>
            <w:vMerge/>
            <w:shd w:val="clear" w:color="auto" w:fill="auto"/>
            <w:vAlign w:val="center"/>
          </w:tcPr>
          <w:p w:rsidR="002F336C" w:rsidRDefault="002F336C"/>
        </w:tc>
        <w:tc>
          <w:tcPr>
            <w:tcW w:w="310" w:type="pct"/>
            <w:vMerge w:val="restart"/>
            <w:shd w:val="clear" w:color="auto" w:fill="auto"/>
            <w:vAlign w:val="center"/>
          </w:tcPr>
          <w:p w:rsidR="002F336C" w:rsidRDefault="004D2499">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总计</w:t>
            </w:r>
          </w:p>
        </w:tc>
        <w:tc>
          <w:tcPr>
            <w:tcW w:w="1510" w:type="pct"/>
            <w:gridSpan w:val="5"/>
            <w:shd w:val="clear" w:color="auto" w:fill="auto"/>
            <w:vAlign w:val="center"/>
          </w:tcPr>
          <w:p w:rsidR="002F336C" w:rsidRDefault="004D2499">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当年部门预算安排资金</w:t>
            </w:r>
          </w:p>
        </w:tc>
        <w:tc>
          <w:tcPr>
            <w:tcW w:w="286" w:type="pct"/>
            <w:vMerge w:val="restart"/>
            <w:shd w:val="clear" w:color="auto" w:fill="auto"/>
            <w:vAlign w:val="center"/>
          </w:tcPr>
          <w:p w:rsidR="002F336C" w:rsidRDefault="004D2499">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其他渠道资金</w:t>
            </w:r>
          </w:p>
        </w:tc>
      </w:tr>
      <w:tr w:rsidR="002F336C">
        <w:trPr>
          <w:tblHeader/>
          <w:jc w:val="center"/>
        </w:trPr>
        <w:tc>
          <w:tcPr>
            <w:tcW w:w="825" w:type="pct"/>
            <w:vMerge/>
            <w:shd w:val="clear" w:color="auto" w:fill="auto"/>
            <w:vAlign w:val="center"/>
          </w:tcPr>
          <w:p w:rsidR="002F336C" w:rsidRDefault="002F336C"/>
        </w:tc>
        <w:tc>
          <w:tcPr>
            <w:tcW w:w="367" w:type="pct"/>
            <w:vMerge/>
            <w:shd w:val="clear" w:color="auto" w:fill="auto"/>
            <w:vAlign w:val="center"/>
          </w:tcPr>
          <w:p w:rsidR="002F336C" w:rsidRDefault="002F336C"/>
        </w:tc>
        <w:tc>
          <w:tcPr>
            <w:tcW w:w="303" w:type="pct"/>
            <w:vMerge/>
            <w:shd w:val="clear" w:color="auto" w:fill="auto"/>
            <w:vAlign w:val="center"/>
          </w:tcPr>
          <w:p w:rsidR="002F336C" w:rsidRDefault="002F336C"/>
        </w:tc>
        <w:tc>
          <w:tcPr>
            <w:tcW w:w="482" w:type="pct"/>
            <w:vMerge/>
            <w:shd w:val="clear" w:color="auto" w:fill="auto"/>
            <w:vAlign w:val="center"/>
          </w:tcPr>
          <w:p w:rsidR="002F336C" w:rsidRDefault="002F336C"/>
        </w:tc>
        <w:tc>
          <w:tcPr>
            <w:tcW w:w="303" w:type="pct"/>
            <w:vMerge/>
            <w:shd w:val="clear" w:color="auto" w:fill="auto"/>
            <w:vAlign w:val="center"/>
          </w:tcPr>
          <w:p w:rsidR="002F336C" w:rsidRDefault="002F336C"/>
        </w:tc>
        <w:tc>
          <w:tcPr>
            <w:tcW w:w="303" w:type="pct"/>
            <w:vMerge/>
            <w:shd w:val="clear" w:color="auto" w:fill="auto"/>
            <w:vAlign w:val="center"/>
          </w:tcPr>
          <w:p w:rsidR="002F336C" w:rsidRDefault="002F336C"/>
        </w:tc>
        <w:tc>
          <w:tcPr>
            <w:tcW w:w="310" w:type="pct"/>
            <w:vMerge/>
            <w:shd w:val="clear" w:color="auto" w:fill="auto"/>
            <w:vAlign w:val="center"/>
          </w:tcPr>
          <w:p w:rsidR="002F336C" w:rsidRDefault="002F336C"/>
        </w:tc>
        <w:tc>
          <w:tcPr>
            <w:tcW w:w="310" w:type="pct"/>
            <w:vMerge/>
            <w:shd w:val="clear" w:color="auto" w:fill="auto"/>
            <w:vAlign w:val="center"/>
          </w:tcPr>
          <w:p w:rsidR="002F336C" w:rsidRDefault="002F336C"/>
        </w:tc>
        <w:tc>
          <w:tcPr>
            <w:tcW w:w="310" w:type="pct"/>
            <w:shd w:val="clear" w:color="auto" w:fill="auto"/>
            <w:vAlign w:val="center"/>
          </w:tcPr>
          <w:p w:rsidR="002F336C" w:rsidRDefault="004D2499">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合计</w:t>
            </w:r>
          </w:p>
        </w:tc>
        <w:tc>
          <w:tcPr>
            <w:tcW w:w="310" w:type="pct"/>
            <w:shd w:val="clear" w:color="auto" w:fill="auto"/>
            <w:vAlign w:val="center"/>
          </w:tcPr>
          <w:p w:rsidR="002F336C" w:rsidRDefault="004D2499">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一般公共预算拨款</w:t>
            </w:r>
          </w:p>
        </w:tc>
        <w:tc>
          <w:tcPr>
            <w:tcW w:w="282" w:type="pct"/>
            <w:shd w:val="clear" w:color="auto" w:fill="auto"/>
            <w:vAlign w:val="center"/>
          </w:tcPr>
          <w:p w:rsidR="002F336C" w:rsidRDefault="004D2499">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基金预算拨款</w:t>
            </w:r>
          </w:p>
        </w:tc>
        <w:tc>
          <w:tcPr>
            <w:tcW w:w="304" w:type="pct"/>
            <w:shd w:val="clear" w:color="auto" w:fill="auto"/>
            <w:vAlign w:val="center"/>
          </w:tcPr>
          <w:p w:rsidR="002F336C" w:rsidRDefault="004D2499">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财政专户核拨</w:t>
            </w:r>
          </w:p>
        </w:tc>
        <w:tc>
          <w:tcPr>
            <w:tcW w:w="304" w:type="pct"/>
            <w:shd w:val="clear" w:color="auto" w:fill="auto"/>
            <w:vAlign w:val="center"/>
          </w:tcPr>
          <w:p w:rsidR="002F336C" w:rsidRDefault="004D2499">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其他来源收入</w:t>
            </w:r>
          </w:p>
        </w:tc>
        <w:tc>
          <w:tcPr>
            <w:tcW w:w="286" w:type="pct"/>
            <w:vMerge/>
            <w:shd w:val="clear" w:color="auto" w:fill="auto"/>
            <w:vAlign w:val="center"/>
          </w:tcPr>
          <w:p w:rsidR="002F336C" w:rsidRDefault="002F336C"/>
        </w:tc>
      </w:tr>
      <w:tr w:rsidR="002F336C">
        <w:trPr>
          <w:jc w:val="center"/>
        </w:trPr>
        <w:tc>
          <w:tcPr>
            <w:tcW w:w="825" w:type="pct"/>
            <w:shd w:val="clear" w:color="auto" w:fill="auto"/>
            <w:vAlign w:val="center"/>
          </w:tcPr>
          <w:p w:rsidR="002F336C" w:rsidRDefault="004D2499">
            <w:pPr>
              <w:spacing w:line="300" w:lineRule="exact"/>
              <w:jc w:val="center"/>
              <w:rPr>
                <w:rFonts w:ascii="仿宋_GB2312" w:eastAsia="仿宋_GB2312" w:cs="Times New Roman"/>
                <w:b/>
                <w:sz w:val="28"/>
                <w:szCs w:val="28"/>
              </w:rPr>
            </w:pPr>
            <w:r>
              <w:rPr>
                <w:rFonts w:ascii="仿宋_GB2312" w:eastAsia="仿宋_GB2312" w:cs="Times New Roman" w:hint="eastAsia"/>
                <w:b/>
                <w:sz w:val="28"/>
                <w:szCs w:val="28"/>
              </w:rPr>
              <w:t>合　计</w:t>
            </w:r>
          </w:p>
        </w:tc>
        <w:tc>
          <w:tcPr>
            <w:tcW w:w="367" w:type="pct"/>
            <w:shd w:val="clear" w:color="auto" w:fill="auto"/>
            <w:vAlign w:val="center"/>
          </w:tcPr>
          <w:p w:rsidR="002F336C" w:rsidRDefault="002F336C">
            <w:pPr>
              <w:spacing w:line="300" w:lineRule="exact"/>
              <w:jc w:val="right"/>
              <w:rPr>
                <w:rFonts w:ascii="仿宋_GB2312" w:eastAsia="仿宋_GB2312" w:cs="Times New Roman"/>
                <w:b/>
                <w:sz w:val="28"/>
                <w:szCs w:val="28"/>
              </w:rPr>
            </w:pPr>
          </w:p>
        </w:tc>
        <w:tc>
          <w:tcPr>
            <w:tcW w:w="303" w:type="pct"/>
            <w:shd w:val="clear" w:color="auto" w:fill="auto"/>
            <w:vAlign w:val="center"/>
          </w:tcPr>
          <w:p w:rsidR="002F336C" w:rsidRDefault="002F336C">
            <w:pPr>
              <w:spacing w:line="300" w:lineRule="exact"/>
              <w:jc w:val="left"/>
              <w:rPr>
                <w:rFonts w:ascii="仿宋_GB2312" w:eastAsia="仿宋_GB2312" w:cs="Times New Roman"/>
                <w:b/>
                <w:sz w:val="28"/>
                <w:szCs w:val="28"/>
              </w:rPr>
            </w:pPr>
          </w:p>
        </w:tc>
        <w:tc>
          <w:tcPr>
            <w:tcW w:w="482" w:type="pct"/>
            <w:shd w:val="clear" w:color="auto" w:fill="auto"/>
            <w:vAlign w:val="center"/>
          </w:tcPr>
          <w:p w:rsidR="002F336C" w:rsidRDefault="002F336C">
            <w:pPr>
              <w:spacing w:line="300" w:lineRule="exact"/>
              <w:jc w:val="left"/>
              <w:rPr>
                <w:rFonts w:ascii="仿宋_GB2312" w:eastAsia="仿宋_GB2312" w:cs="Times New Roman"/>
                <w:b/>
                <w:sz w:val="28"/>
                <w:szCs w:val="28"/>
              </w:rPr>
            </w:pPr>
          </w:p>
        </w:tc>
        <w:tc>
          <w:tcPr>
            <w:tcW w:w="303" w:type="pct"/>
            <w:shd w:val="clear" w:color="auto" w:fill="auto"/>
            <w:vAlign w:val="center"/>
          </w:tcPr>
          <w:p w:rsidR="002F336C" w:rsidRDefault="002F336C">
            <w:pPr>
              <w:spacing w:line="300" w:lineRule="exact"/>
              <w:jc w:val="left"/>
              <w:rPr>
                <w:rFonts w:ascii="仿宋_GB2312" w:eastAsia="仿宋_GB2312" w:cs="Times New Roman"/>
                <w:b/>
                <w:sz w:val="28"/>
                <w:szCs w:val="28"/>
              </w:rPr>
            </w:pPr>
          </w:p>
        </w:tc>
        <w:tc>
          <w:tcPr>
            <w:tcW w:w="303" w:type="pct"/>
            <w:shd w:val="clear" w:color="auto" w:fill="auto"/>
            <w:vAlign w:val="center"/>
          </w:tcPr>
          <w:p w:rsidR="002F336C" w:rsidRDefault="002F336C">
            <w:pPr>
              <w:spacing w:line="300" w:lineRule="exact"/>
              <w:jc w:val="right"/>
              <w:rPr>
                <w:rFonts w:ascii="仿宋_GB2312" w:eastAsia="仿宋_GB2312" w:cs="Times New Roman"/>
                <w:b/>
                <w:sz w:val="28"/>
                <w:szCs w:val="28"/>
              </w:rPr>
            </w:pPr>
          </w:p>
        </w:tc>
        <w:tc>
          <w:tcPr>
            <w:tcW w:w="310" w:type="pct"/>
            <w:shd w:val="clear" w:color="auto" w:fill="auto"/>
            <w:vAlign w:val="center"/>
          </w:tcPr>
          <w:p w:rsidR="002F336C" w:rsidRDefault="002F336C">
            <w:pPr>
              <w:spacing w:line="300" w:lineRule="exact"/>
              <w:jc w:val="right"/>
              <w:rPr>
                <w:rFonts w:ascii="仿宋_GB2312" w:eastAsia="仿宋_GB2312" w:cs="Times New Roman"/>
                <w:b/>
                <w:sz w:val="28"/>
                <w:szCs w:val="28"/>
              </w:rPr>
            </w:pPr>
          </w:p>
        </w:tc>
        <w:tc>
          <w:tcPr>
            <w:tcW w:w="310" w:type="pct"/>
            <w:shd w:val="clear" w:color="auto" w:fill="auto"/>
            <w:vAlign w:val="center"/>
          </w:tcPr>
          <w:p w:rsidR="002F336C" w:rsidRDefault="002F336C">
            <w:pPr>
              <w:spacing w:line="300" w:lineRule="exact"/>
              <w:jc w:val="right"/>
              <w:rPr>
                <w:rFonts w:ascii="仿宋_GB2312" w:eastAsia="仿宋_GB2312" w:cs="Times New Roman"/>
                <w:b/>
                <w:sz w:val="28"/>
                <w:szCs w:val="28"/>
              </w:rPr>
            </w:pPr>
          </w:p>
        </w:tc>
        <w:tc>
          <w:tcPr>
            <w:tcW w:w="310" w:type="pct"/>
            <w:shd w:val="clear" w:color="auto" w:fill="auto"/>
            <w:vAlign w:val="center"/>
          </w:tcPr>
          <w:p w:rsidR="002F336C" w:rsidRDefault="002F336C">
            <w:pPr>
              <w:spacing w:line="300" w:lineRule="exact"/>
              <w:jc w:val="right"/>
              <w:rPr>
                <w:rFonts w:ascii="仿宋_GB2312" w:eastAsia="仿宋_GB2312" w:cs="Times New Roman"/>
                <w:b/>
                <w:sz w:val="28"/>
                <w:szCs w:val="28"/>
              </w:rPr>
            </w:pPr>
          </w:p>
        </w:tc>
        <w:tc>
          <w:tcPr>
            <w:tcW w:w="310" w:type="pct"/>
            <w:shd w:val="clear" w:color="auto" w:fill="auto"/>
            <w:vAlign w:val="center"/>
          </w:tcPr>
          <w:p w:rsidR="002F336C" w:rsidRDefault="002F336C">
            <w:pPr>
              <w:spacing w:line="300" w:lineRule="exact"/>
              <w:jc w:val="right"/>
              <w:rPr>
                <w:rFonts w:ascii="仿宋_GB2312" w:eastAsia="仿宋_GB2312" w:cs="Times New Roman"/>
                <w:b/>
                <w:sz w:val="28"/>
                <w:szCs w:val="28"/>
              </w:rPr>
            </w:pPr>
          </w:p>
        </w:tc>
        <w:tc>
          <w:tcPr>
            <w:tcW w:w="282" w:type="pct"/>
            <w:shd w:val="clear" w:color="auto" w:fill="auto"/>
            <w:vAlign w:val="center"/>
          </w:tcPr>
          <w:p w:rsidR="002F336C" w:rsidRDefault="002F336C">
            <w:pPr>
              <w:spacing w:line="300" w:lineRule="exact"/>
              <w:jc w:val="right"/>
              <w:rPr>
                <w:rFonts w:ascii="仿宋_GB2312" w:eastAsia="仿宋_GB2312" w:cs="Times New Roman"/>
                <w:b/>
                <w:sz w:val="28"/>
                <w:szCs w:val="28"/>
              </w:rPr>
            </w:pPr>
          </w:p>
        </w:tc>
        <w:tc>
          <w:tcPr>
            <w:tcW w:w="304" w:type="pct"/>
            <w:shd w:val="clear" w:color="auto" w:fill="auto"/>
            <w:vAlign w:val="center"/>
          </w:tcPr>
          <w:p w:rsidR="002F336C" w:rsidRDefault="002F336C">
            <w:pPr>
              <w:spacing w:line="300" w:lineRule="exact"/>
              <w:jc w:val="right"/>
              <w:rPr>
                <w:rFonts w:ascii="仿宋_GB2312" w:eastAsia="仿宋_GB2312" w:cs="Times New Roman"/>
                <w:b/>
                <w:sz w:val="28"/>
                <w:szCs w:val="28"/>
              </w:rPr>
            </w:pPr>
          </w:p>
        </w:tc>
        <w:tc>
          <w:tcPr>
            <w:tcW w:w="304" w:type="pct"/>
            <w:shd w:val="clear" w:color="auto" w:fill="auto"/>
            <w:vAlign w:val="center"/>
          </w:tcPr>
          <w:p w:rsidR="002F336C" w:rsidRDefault="002F336C">
            <w:pPr>
              <w:spacing w:line="300" w:lineRule="exact"/>
              <w:jc w:val="right"/>
              <w:rPr>
                <w:rFonts w:ascii="仿宋_GB2312" w:eastAsia="仿宋_GB2312" w:cs="Times New Roman"/>
                <w:b/>
                <w:sz w:val="28"/>
                <w:szCs w:val="28"/>
              </w:rPr>
            </w:pPr>
          </w:p>
        </w:tc>
        <w:tc>
          <w:tcPr>
            <w:tcW w:w="286" w:type="pct"/>
            <w:shd w:val="clear" w:color="auto" w:fill="auto"/>
            <w:vAlign w:val="center"/>
          </w:tcPr>
          <w:p w:rsidR="002F336C" w:rsidRDefault="002F336C">
            <w:pPr>
              <w:spacing w:line="300" w:lineRule="exact"/>
              <w:jc w:val="right"/>
              <w:rPr>
                <w:rFonts w:ascii="仿宋_GB2312" w:eastAsia="仿宋_GB2312" w:cs="Times New Roman"/>
                <w:b/>
                <w:sz w:val="28"/>
                <w:szCs w:val="28"/>
              </w:rPr>
            </w:pPr>
          </w:p>
        </w:tc>
      </w:tr>
      <w:tr w:rsidR="002F336C">
        <w:trPr>
          <w:jc w:val="center"/>
        </w:trPr>
        <w:tc>
          <w:tcPr>
            <w:tcW w:w="825" w:type="pct"/>
            <w:shd w:val="clear" w:color="auto" w:fill="auto"/>
            <w:vAlign w:val="center"/>
          </w:tcPr>
          <w:p w:rsidR="002F336C" w:rsidRDefault="002F336C">
            <w:pPr>
              <w:spacing w:line="300" w:lineRule="exact"/>
              <w:jc w:val="center"/>
              <w:rPr>
                <w:rFonts w:ascii="仿宋_GB2312" w:eastAsia="仿宋_GB2312" w:cs="Times New Roman"/>
                <w:b/>
                <w:sz w:val="28"/>
                <w:szCs w:val="28"/>
              </w:rPr>
            </w:pPr>
          </w:p>
        </w:tc>
        <w:tc>
          <w:tcPr>
            <w:tcW w:w="367" w:type="pct"/>
            <w:shd w:val="clear" w:color="auto" w:fill="auto"/>
            <w:vAlign w:val="center"/>
          </w:tcPr>
          <w:p w:rsidR="002F336C" w:rsidRDefault="002F336C">
            <w:pPr>
              <w:spacing w:line="300" w:lineRule="exact"/>
              <w:jc w:val="right"/>
              <w:rPr>
                <w:rFonts w:ascii="仿宋_GB2312" w:eastAsia="仿宋_GB2312" w:cs="Times New Roman"/>
                <w:b/>
                <w:sz w:val="28"/>
                <w:szCs w:val="28"/>
              </w:rPr>
            </w:pPr>
          </w:p>
        </w:tc>
        <w:tc>
          <w:tcPr>
            <w:tcW w:w="303" w:type="pct"/>
            <w:shd w:val="clear" w:color="auto" w:fill="auto"/>
            <w:vAlign w:val="center"/>
          </w:tcPr>
          <w:p w:rsidR="002F336C" w:rsidRDefault="002F336C">
            <w:pPr>
              <w:spacing w:line="300" w:lineRule="exact"/>
              <w:jc w:val="left"/>
              <w:rPr>
                <w:rFonts w:ascii="仿宋_GB2312" w:eastAsia="仿宋_GB2312" w:cs="Times New Roman"/>
                <w:b/>
                <w:sz w:val="28"/>
                <w:szCs w:val="28"/>
              </w:rPr>
            </w:pPr>
          </w:p>
        </w:tc>
        <w:tc>
          <w:tcPr>
            <w:tcW w:w="482" w:type="pct"/>
            <w:shd w:val="clear" w:color="auto" w:fill="auto"/>
            <w:vAlign w:val="center"/>
          </w:tcPr>
          <w:p w:rsidR="002F336C" w:rsidRDefault="002F336C">
            <w:pPr>
              <w:spacing w:line="300" w:lineRule="exact"/>
              <w:jc w:val="left"/>
              <w:rPr>
                <w:rFonts w:ascii="仿宋_GB2312" w:eastAsia="仿宋_GB2312" w:cs="Times New Roman"/>
                <w:b/>
                <w:sz w:val="28"/>
                <w:szCs w:val="28"/>
              </w:rPr>
            </w:pPr>
          </w:p>
        </w:tc>
        <w:tc>
          <w:tcPr>
            <w:tcW w:w="303" w:type="pct"/>
            <w:shd w:val="clear" w:color="auto" w:fill="auto"/>
            <w:vAlign w:val="center"/>
          </w:tcPr>
          <w:p w:rsidR="002F336C" w:rsidRDefault="002F336C">
            <w:pPr>
              <w:spacing w:line="300" w:lineRule="exact"/>
              <w:jc w:val="left"/>
              <w:rPr>
                <w:rFonts w:ascii="仿宋_GB2312" w:eastAsia="仿宋_GB2312" w:cs="Times New Roman"/>
                <w:b/>
                <w:sz w:val="28"/>
                <w:szCs w:val="28"/>
              </w:rPr>
            </w:pPr>
          </w:p>
        </w:tc>
        <w:tc>
          <w:tcPr>
            <w:tcW w:w="303" w:type="pct"/>
            <w:shd w:val="clear" w:color="auto" w:fill="auto"/>
            <w:vAlign w:val="center"/>
          </w:tcPr>
          <w:p w:rsidR="002F336C" w:rsidRDefault="002F336C">
            <w:pPr>
              <w:spacing w:line="300" w:lineRule="exact"/>
              <w:jc w:val="right"/>
              <w:rPr>
                <w:rFonts w:ascii="仿宋_GB2312" w:eastAsia="仿宋_GB2312" w:cs="Times New Roman"/>
                <w:b/>
                <w:sz w:val="28"/>
                <w:szCs w:val="28"/>
              </w:rPr>
            </w:pPr>
          </w:p>
        </w:tc>
        <w:tc>
          <w:tcPr>
            <w:tcW w:w="310" w:type="pct"/>
            <w:shd w:val="clear" w:color="auto" w:fill="auto"/>
            <w:vAlign w:val="center"/>
          </w:tcPr>
          <w:p w:rsidR="002F336C" w:rsidRDefault="002F336C">
            <w:pPr>
              <w:spacing w:line="300" w:lineRule="exact"/>
              <w:jc w:val="right"/>
              <w:rPr>
                <w:rFonts w:ascii="仿宋_GB2312" w:eastAsia="仿宋_GB2312" w:cs="Times New Roman"/>
                <w:b/>
                <w:sz w:val="28"/>
                <w:szCs w:val="28"/>
              </w:rPr>
            </w:pPr>
          </w:p>
        </w:tc>
        <w:tc>
          <w:tcPr>
            <w:tcW w:w="310" w:type="pct"/>
            <w:shd w:val="clear" w:color="auto" w:fill="auto"/>
            <w:vAlign w:val="center"/>
          </w:tcPr>
          <w:p w:rsidR="002F336C" w:rsidRDefault="002F336C">
            <w:pPr>
              <w:spacing w:line="300" w:lineRule="exact"/>
              <w:jc w:val="right"/>
              <w:rPr>
                <w:rFonts w:ascii="仿宋_GB2312" w:eastAsia="仿宋_GB2312" w:cs="Times New Roman"/>
                <w:b/>
                <w:sz w:val="28"/>
                <w:szCs w:val="28"/>
              </w:rPr>
            </w:pPr>
          </w:p>
        </w:tc>
        <w:tc>
          <w:tcPr>
            <w:tcW w:w="310" w:type="pct"/>
            <w:shd w:val="clear" w:color="auto" w:fill="auto"/>
            <w:vAlign w:val="center"/>
          </w:tcPr>
          <w:p w:rsidR="002F336C" w:rsidRDefault="002F336C">
            <w:pPr>
              <w:spacing w:line="300" w:lineRule="exact"/>
              <w:jc w:val="right"/>
              <w:rPr>
                <w:rFonts w:ascii="仿宋_GB2312" w:eastAsia="仿宋_GB2312" w:cs="Times New Roman"/>
                <w:b/>
                <w:sz w:val="28"/>
                <w:szCs w:val="28"/>
              </w:rPr>
            </w:pPr>
          </w:p>
        </w:tc>
        <w:tc>
          <w:tcPr>
            <w:tcW w:w="310" w:type="pct"/>
            <w:shd w:val="clear" w:color="auto" w:fill="auto"/>
            <w:vAlign w:val="center"/>
          </w:tcPr>
          <w:p w:rsidR="002F336C" w:rsidRDefault="002F336C">
            <w:pPr>
              <w:spacing w:line="300" w:lineRule="exact"/>
              <w:jc w:val="right"/>
              <w:rPr>
                <w:rFonts w:ascii="仿宋_GB2312" w:eastAsia="仿宋_GB2312" w:cs="Times New Roman"/>
                <w:b/>
                <w:sz w:val="28"/>
                <w:szCs w:val="28"/>
              </w:rPr>
            </w:pPr>
          </w:p>
        </w:tc>
        <w:tc>
          <w:tcPr>
            <w:tcW w:w="282" w:type="pct"/>
            <w:shd w:val="clear" w:color="auto" w:fill="auto"/>
            <w:vAlign w:val="center"/>
          </w:tcPr>
          <w:p w:rsidR="002F336C" w:rsidRDefault="002F336C">
            <w:pPr>
              <w:spacing w:line="300" w:lineRule="exact"/>
              <w:jc w:val="right"/>
              <w:rPr>
                <w:rFonts w:ascii="仿宋_GB2312" w:eastAsia="仿宋_GB2312" w:cs="Times New Roman"/>
                <w:b/>
                <w:sz w:val="28"/>
                <w:szCs w:val="28"/>
              </w:rPr>
            </w:pPr>
          </w:p>
        </w:tc>
        <w:tc>
          <w:tcPr>
            <w:tcW w:w="304" w:type="pct"/>
            <w:shd w:val="clear" w:color="auto" w:fill="auto"/>
            <w:vAlign w:val="center"/>
          </w:tcPr>
          <w:p w:rsidR="002F336C" w:rsidRDefault="002F336C">
            <w:pPr>
              <w:spacing w:line="300" w:lineRule="exact"/>
              <w:jc w:val="right"/>
              <w:rPr>
                <w:rFonts w:ascii="仿宋_GB2312" w:eastAsia="仿宋_GB2312" w:cs="Times New Roman"/>
                <w:b/>
                <w:sz w:val="28"/>
                <w:szCs w:val="28"/>
              </w:rPr>
            </w:pPr>
          </w:p>
        </w:tc>
        <w:tc>
          <w:tcPr>
            <w:tcW w:w="304" w:type="pct"/>
            <w:shd w:val="clear" w:color="auto" w:fill="auto"/>
            <w:vAlign w:val="center"/>
          </w:tcPr>
          <w:p w:rsidR="002F336C" w:rsidRDefault="002F336C">
            <w:pPr>
              <w:spacing w:line="300" w:lineRule="exact"/>
              <w:jc w:val="right"/>
              <w:rPr>
                <w:rFonts w:ascii="仿宋_GB2312" w:eastAsia="仿宋_GB2312" w:cs="Times New Roman"/>
                <w:b/>
                <w:sz w:val="28"/>
                <w:szCs w:val="28"/>
              </w:rPr>
            </w:pPr>
          </w:p>
        </w:tc>
        <w:tc>
          <w:tcPr>
            <w:tcW w:w="286" w:type="pct"/>
            <w:shd w:val="clear" w:color="auto" w:fill="auto"/>
            <w:vAlign w:val="center"/>
          </w:tcPr>
          <w:p w:rsidR="002F336C" w:rsidRDefault="002F336C">
            <w:pPr>
              <w:spacing w:line="300" w:lineRule="exact"/>
              <w:jc w:val="right"/>
              <w:rPr>
                <w:rFonts w:ascii="仿宋_GB2312" w:eastAsia="仿宋_GB2312" w:cs="Times New Roman"/>
                <w:b/>
                <w:sz w:val="28"/>
                <w:szCs w:val="28"/>
              </w:rPr>
            </w:pPr>
          </w:p>
        </w:tc>
      </w:tr>
      <w:tr w:rsidR="002F336C">
        <w:trPr>
          <w:jc w:val="center"/>
        </w:trPr>
        <w:tc>
          <w:tcPr>
            <w:tcW w:w="825" w:type="pct"/>
            <w:shd w:val="clear" w:color="auto" w:fill="auto"/>
            <w:vAlign w:val="center"/>
          </w:tcPr>
          <w:p w:rsidR="002F336C" w:rsidRDefault="002F336C">
            <w:pPr>
              <w:spacing w:line="300" w:lineRule="exact"/>
              <w:jc w:val="left"/>
              <w:rPr>
                <w:rFonts w:ascii="仿宋_GB2312" w:eastAsia="仿宋_GB2312" w:cs="Times New Roman"/>
                <w:sz w:val="28"/>
                <w:szCs w:val="28"/>
              </w:rPr>
            </w:pPr>
          </w:p>
        </w:tc>
        <w:tc>
          <w:tcPr>
            <w:tcW w:w="367" w:type="pct"/>
            <w:shd w:val="clear" w:color="auto" w:fill="auto"/>
            <w:vAlign w:val="center"/>
          </w:tcPr>
          <w:p w:rsidR="002F336C" w:rsidRDefault="002F336C">
            <w:pPr>
              <w:spacing w:line="300" w:lineRule="exact"/>
              <w:jc w:val="right"/>
              <w:rPr>
                <w:rFonts w:ascii="仿宋_GB2312" w:eastAsia="仿宋_GB2312" w:cs="Times New Roman"/>
                <w:sz w:val="28"/>
                <w:szCs w:val="28"/>
              </w:rPr>
            </w:pPr>
          </w:p>
        </w:tc>
        <w:tc>
          <w:tcPr>
            <w:tcW w:w="303" w:type="pct"/>
            <w:shd w:val="clear" w:color="auto" w:fill="auto"/>
            <w:vAlign w:val="center"/>
          </w:tcPr>
          <w:p w:rsidR="002F336C" w:rsidRDefault="002F336C">
            <w:pPr>
              <w:spacing w:line="300" w:lineRule="exact"/>
              <w:jc w:val="left"/>
              <w:rPr>
                <w:rFonts w:ascii="仿宋_GB2312" w:eastAsia="仿宋_GB2312" w:cs="Times New Roman"/>
                <w:sz w:val="28"/>
                <w:szCs w:val="28"/>
              </w:rPr>
            </w:pPr>
          </w:p>
        </w:tc>
        <w:tc>
          <w:tcPr>
            <w:tcW w:w="482" w:type="pct"/>
            <w:shd w:val="clear" w:color="auto" w:fill="auto"/>
            <w:vAlign w:val="center"/>
          </w:tcPr>
          <w:p w:rsidR="002F336C" w:rsidRDefault="002F336C">
            <w:pPr>
              <w:spacing w:line="300" w:lineRule="exact"/>
              <w:jc w:val="left"/>
              <w:rPr>
                <w:rFonts w:ascii="仿宋_GB2312" w:eastAsia="仿宋_GB2312" w:cs="Times New Roman"/>
                <w:sz w:val="28"/>
                <w:szCs w:val="28"/>
              </w:rPr>
            </w:pPr>
          </w:p>
        </w:tc>
        <w:tc>
          <w:tcPr>
            <w:tcW w:w="303" w:type="pct"/>
            <w:shd w:val="clear" w:color="auto" w:fill="auto"/>
            <w:vAlign w:val="center"/>
          </w:tcPr>
          <w:p w:rsidR="002F336C" w:rsidRDefault="002F336C">
            <w:pPr>
              <w:spacing w:line="300" w:lineRule="exact"/>
              <w:jc w:val="left"/>
              <w:rPr>
                <w:rFonts w:ascii="仿宋_GB2312" w:eastAsia="仿宋_GB2312" w:cs="Times New Roman"/>
                <w:sz w:val="28"/>
                <w:szCs w:val="28"/>
              </w:rPr>
            </w:pPr>
          </w:p>
        </w:tc>
        <w:tc>
          <w:tcPr>
            <w:tcW w:w="303" w:type="pct"/>
            <w:shd w:val="clear" w:color="auto" w:fill="auto"/>
            <w:vAlign w:val="center"/>
          </w:tcPr>
          <w:p w:rsidR="002F336C" w:rsidRDefault="002F336C">
            <w:pPr>
              <w:spacing w:line="300" w:lineRule="exact"/>
              <w:jc w:val="right"/>
              <w:rPr>
                <w:rFonts w:ascii="仿宋_GB2312" w:eastAsia="仿宋_GB2312" w:cs="Times New Roman"/>
                <w:sz w:val="28"/>
                <w:szCs w:val="28"/>
              </w:rPr>
            </w:pPr>
          </w:p>
        </w:tc>
        <w:tc>
          <w:tcPr>
            <w:tcW w:w="310" w:type="pct"/>
            <w:shd w:val="clear" w:color="auto" w:fill="auto"/>
            <w:vAlign w:val="center"/>
          </w:tcPr>
          <w:p w:rsidR="002F336C" w:rsidRDefault="002F336C">
            <w:pPr>
              <w:spacing w:line="300" w:lineRule="exact"/>
              <w:jc w:val="right"/>
              <w:rPr>
                <w:rFonts w:ascii="仿宋_GB2312" w:eastAsia="仿宋_GB2312" w:cs="Times New Roman"/>
                <w:sz w:val="28"/>
                <w:szCs w:val="28"/>
              </w:rPr>
            </w:pPr>
          </w:p>
        </w:tc>
        <w:tc>
          <w:tcPr>
            <w:tcW w:w="310" w:type="pct"/>
            <w:shd w:val="clear" w:color="auto" w:fill="auto"/>
            <w:vAlign w:val="center"/>
          </w:tcPr>
          <w:p w:rsidR="002F336C" w:rsidRDefault="002F336C">
            <w:pPr>
              <w:spacing w:line="300" w:lineRule="exact"/>
              <w:jc w:val="right"/>
              <w:rPr>
                <w:rFonts w:ascii="仿宋_GB2312" w:eastAsia="仿宋_GB2312" w:cs="Times New Roman"/>
                <w:sz w:val="28"/>
                <w:szCs w:val="28"/>
              </w:rPr>
            </w:pPr>
          </w:p>
        </w:tc>
        <w:tc>
          <w:tcPr>
            <w:tcW w:w="310" w:type="pct"/>
            <w:shd w:val="clear" w:color="auto" w:fill="auto"/>
            <w:vAlign w:val="center"/>
          </w:tcPr>
          <w:p w:rsidR="002F336C" w:rsidRDefault="002F336C">
            <w:pPr>
              <w:spacing w:line="300" w:lineRule="exact"/>
              <w:jc w:val="right"/>
              <w:rPr>
                <w:rFonts w:ascii="仿宋_GB2312" w:eastAsia="仿宋_GB2312" w:cs="Times New Roman"/>
                <w:sz w:val="28"/>
                <w:szCs w:val="28"/>
              </w:rPr>
            </w:pPr>
          </w:p>
        </w:tc>
        <w:tc>
          <w:tcPr>
            <w:tcW w:w="310" w:type="pct"/>
            <w:shd w:val="clear" w:color="auto" w:fill="auto"/>
            <w:vAlign w:val="center"/>
          </w:tcPr>
          <w:p w:rsidR="002F336C" w:rsidRDefault="002F336C">
            <w:pPr>
              <w:spacing w:line="300" w:lineRule="exact"/>
              <w:jc w:val="right"/>
              <w:rPr>
                <w:rFonts w:ascii="仿宋_GB2312" w:eastAsia="仿宋_GB2312" w:cs="Times New Roman"/>
                <w:sz w:val="28"/>
                <w:szCs w:val="28"/>
              </w:rPr>
            </w:pPr>
          </w:p>
        </w:tc>
        <w:tc>
          <w:tcPr>
            <w:tcW w:w="282" w:type="pct"/>
            <w:shd w:val="clear" w:color="auto" w:fill="auto"/>
            <w:vAlign w:val="center"/>
          </w:tcPr>
          <w:p w:rsidR="002F336C" w:rsidRDefault="002F336C">
            <w:pPr>
              <w:spacing w:line="300" w:lineRule="exact"/>
              <w:jc w:val="right"/>
              <w:rPr>
                <w:rFonts w:ascii="仿宋_GB2312" w:eastAsia="仿宋_GB2312" w:cs="Times New Roman"/>
                <w:sz w:val="28"/>
                <w:szCs w:val="28"/>
              </w:rPr>
            </w:pPr>
          </w:p>
        </w:tc>
        <w:tc>
          <w:tcPr>
            <w:tcW w:w="304" w:type="pct"/>
            <w:shd w:val="clear" w:color="auto" w:fill="auto"/>
            <w:vAlign w:val="center"/>
          </w:tcPr>
          <w:p w:rsidR="002F336C" w:rsidRDefault="002F336C">
            <w:pPr>
              <w:spacing w:line="300" w:lineRule="exact"/>
              <w:jc w:val="right"/>
              <w:rPr>
                <w:rFonts w:ascii="仿宋_GB2312" w:eastAsia="仿宋_GB2312" w:cs="Times New Roman"/>
                <w:sz w:val="28"/>
                <w:szCs w:val="28"/>
              </w:rPr>
            </w:pPr>
          </w:p>
        </w:tc>
        <w:tc>
          <w:tcPr>
            <w:tcW w:w="304" w:type="pct"/>
            <w:shd w:val="clear" w:color="auto" w:fill="auto"/>
            <w:vAlign w:val="center"/>
          </w:tcPr>
          <w:p w:rsidR="002F336C" w:rsidRDefault="002F336C">
            <w:pPr>
              <w:spacing w:line="300" w:lineRule="exact"/>
              <w:jc w:val="right"/>
              <w:rPr>
                <w:rFonts w:ascii="仿宋_GB2312" w:eastAsia="仿宋_GB2312" w:cs="Times New Roman"/>
                <w:sz w:val="28"/>
                <w:szCs w:val="28"/>
              </w:rPr>
            </w:pPr>
          </w:p>
        </w:tc>
        <w:tc>
          <w:tcPr>
            <w:tcW w:w="286" w:type="pct"/>
            <w:shd w:val="clear" w:color="auto" w:fill="auto"/>
            <w:vAlign w:val="center"/>
          </w:tcPr>
          <w:p w:rsidR="002F336C" w:rsidRDefault="002F336C">
            <w:pPr>
              <w:spacing w:line="300" w:lineRule="exact"/>
              <w:jc w:val="right"/>
              <w:rPr>
                <w:rFonts w:ascii="仿宋_GB2312" w:eastAsia="仿宋_GB2312" w:cs="Times New Roman"/>
                <w:sz w:val="28"/>
                <w:szCs w:val="28"/>
              </w:rPr>
            </w:pPr>
          </w:p>
        </w:tc>
      </w:tr>
      <w:tr w:rsidR="002F336C">
        <w:trPr>
          <w:jc w:val="center"/>
        </w:trPr>
        <w:tc>
          <w:tcPr>
            <w:tcW w:w="825" w:type="pct"/>
            <w:shd w:val="clear" w:color="auto" w:fill="auto"/>
            <w:vAlign w:val="center"/>
          </w:tcPr>
          <w:p w:rsidR="002F336C" w:rsidRDefault="002F336C">
            <w:pPr>
              <w:spacing w:line="300" w:lineRule="exact"/>
              <w:jc w:val="left"/>
              <w:rPr>
                <w:rFonts w:ascii="仿宋_GB2312" w:eastAsia="仿宋_GB2312" w:cs="Times New Roman"/>
                <w:sz w:val="28"/>
                <w:szCs w:val="28"/>
              </w:rPr>
            </w:pPr>
          </w:p>
        </w:tc>
        <w:tc>
          <w:tcPr>
            <w:tcW w:w="367" w:type="pct"/>
            <w:shd w:val="clear" w:color="auto" w:fill="auto"/>
            <w:vAlign w:val="center"/>
          </w:tcPr>
          <w:p w:rsidR="002F336C" w:rsidRDefault="002F336C">
            <w:pPr>
              <w:spacing w:line="300" w:lineRule="exact"/>
              <w:jc w:val="right"/>
              <w:rPr>
                <w:rFonts w:ascii="仿宋_GB2312" w:eastAsia="仿宋_GB2312" w:cs="Times New Roman"/>
                <w:sz w:val="28"/>
                <w:szCs w:val="28"/>
              </w:rPr>
            </w:pPr>
          </w:p>
        </w:tc>
        <w:tc>
          <w:tcPr>
            <w:tcW w:w="303" w:type="pct"/>
            <w:shd w:val="clear" w:color="auto" w:fill="auto"/>
            <w:vAlign w:val="center"/>
          </w:tcPr>
          <w:p w:rsidR="002F336C" w:rsidRDefault="002F336C">
            <w:pPr>
              <w:spacing w:line="300" w:lineRule="exact"/>
              <w:jc w:val="left"/>
              <w:rPr>
                <w:rFonts w:ascii="仿宋_GB2312" w:eastAsia="仿宋_GB2312" w:cs="Times New Roman"/>
                <w:sz w:val="28"/>
                <w:szCs w:val="28"/>
              </w:rPr>
            </w:pPr>
          </w:p>
        </w:tc>
        <w:tc>
          <w:tcPr>
            <w:tcW w:w="482" w:type="pct"/>
            <w:shd w:val="clear" w:color="auto" w:fill="auto"/>
            <w:vAlign w:val="center"/>
          </w:tcPr>
          <w:p w:rsidR="002F336C" w:rsidRDefault="002F336C">
            <w:pPr>
              <w:spacing w:line="300" w:lineRule="exact"/>
              <w:jc w:val="left"/>
              <w:rPr>
                <w:rFonts w:ascii="仿宋_GB2312" w:eastAsia="仿宋_GB2312" w:cs="Times New Roman"/>
                <w:sz w:val="28"/>
                <w:szCs w:val="28"/>
              </w:rPr>
            </w:pPr>
          </w:p>
        </w:tc>
        <w:tc>
          <w:tcPr>
            <w:tcW w:w="303" w:type="pct"/>
            <w:shd w:val="clear" w:color="auto" w:fill="auto"/>
            <w:vAlign w:val="center"/>
          </w:tcPr>
          <w:p w:rsidR="002F336C" w:rsidRDefault="002F336C">
            <w:pPr>
              <w:spacing w:line="300" w:lineRule="exact"/>
              <w:jc w:val="left"/>
              <w:rPr>
                <w:rFonts w:ascii="仿宋_GB2312" w:eastAsia="仿宋_GB2312" w:cs="Times New Roman"/>
                <w:sz w:val="28"/>
                <w:szCs w:val="28"/>
              </w:rPr>
            </w:pPr>
          </w:p>
        </w:tc>
        <w:tc>
          <w:tcPr>
            <w:tcW w:w="303" w:type="pct"/>
            <w:shd w:val="clear" w:color="auto" w:fill="auto"/>
            <w:vAlign w:val="center"/>
          </w:tcPr>
          <w:p w:rsidR="002F336C" w:rsidRDefault="002F336C">
            <w:pPr>
              <w:spacing w:line="300" w:lineRule="exact"/>
              <w:jc w:val="right"/>
              <w:rPr>
                <w:rFonts w:ascii="仿宋_GB2312" w:eastAsia="仿宋_GB2312" w:cs="Times New Roman"/>
                <w:sz w:val="28"/>
                <w:szCs w:val="28"/>
              </w:rPr>
            </w:pPr>
          </w:p>
        </w:tc>
        <w:tc>
          <w:tcPr>
            <w:tcW w:w="310" w:type="pct"/>
            <w:shd w:val="clear" w:color="auto" w:fill="auto"/>
            <w:vAlign w:val="center"/>
          </w:tcPr>
          <w:p w:rsidR="002F336C" w:rsidRDefault="002F336C">
            <w:pPr>
              <w:spacing w:line="300" w:lineRule="exact"/>
              <w:jc w:val="right"/>
              <w:rPr>
                <w:rFonts w:ascii="仿宋_GB2312" w:eastAsia="仿宋_GB2312" w:cs="Times New Roman"/>
                <w:sz w:val="28"/>
                <w:szCs w:val="28"/>
              </w:rPr>
            </w:pPr>
          </w:p>
        </w:tc>
        <w:tc>
          <w:tcPr>
            <w:tcW w:w="310" w:type="pct"/>
            <w:shd w:val="clear" w:color="auto" w:fill="auto"/>
            <w:vAlign w:val="center"/>
          </w:tcPr>
          <w:p w:rsidR="002F336C" w:rsidRDefault="002F336C">
            <w:pPr>
              <w:spacing w:line="300" w:lineRule="exact"/>
              <w:jc w:val="right"/>
              <w:rPr>
                <w:rFonts w:ascii="仿宋_GB2312" w:eastAsia="仿宋_GB2312" w:cs="Times New Roman"/>
                <w:sz w:val="28"/>
                <w:szCs w:val="28"/>
              </w:rPr>
            </w:pPr>
          </w:p>
        </w:tc>
        <w:tc>
          <w:tcPr>
            <w:tcW w:w="310" w:type="pct"/>
            <w:shd w:val="clear" w:color="auto" w:fill="auto"/>
            <w:vAlign w:val="center"/>
          </w:tcPr>
          <w:p w:rsidR="002F336C" w:rsidRDefault="002F336C">
            <w:pPr>
              <w:spacing w:line="300" w:lineRule="exact"/>
              <w:jc w:val="right"/>
              <w:rPr>
                <w:rFonts w:ascii="仿宋_GB2312" w:eastAsia="仿宋_GB2312" w:cs="Times New Roman"/>
                <w:sz w:val="28"/>
                <w:szCs w:val="28"/>
              </w:rPr>
            </w:pPr>
          </w:p>
        </w:tc>
        <w:tc>
          <w:tcPr>
            <w:tcW w:w="310" w:type="pct"/>
            <w:shd w:val="clear" w:color="auto" w:fill="auto"/>
            <w:vAlign w:val="center"/>
          </w:tcPr>
          <w:p w:rsidR="002F336C" w:rsidRDefault="002F336C">
            <w:pPr>
              <w:spacing w:line="300" w:lineRule="exact"/>
              <w:jc w:val="right"/>
              <w:rPr>
                <w:rFonts w:ascii="仿宋_GB2312" w:eastAsia="仿宋_GB2312" w:cs="Times New Roman"/>
                <w:sz w:val="28"/>
                <w:szCs w:val="28"/>
              </w:rPr>
            </w:pPr>
          </w:p>
        </w:tc>
        <w:tc>
          <w:tcPr>
            <w:tcW w:w="282" w:type="pct"/>
            <w:shd w:val="clear" w:color="auto" w:fill="auto"/>
            <w:vAlign w:val="center"/>
          </w:tcPr>
          <w:p w:rsidR="002F336C" w:rsidRDefault="002F336C">
            <w:pPr>
              <w:spacing w:line="300" w:lineRule="exact"/>
              <w:jc w:val="right"/>
              <w:rPr>
                <w:rFonts w:ascii="仿宋_GB2312" w:eastAsia="仿宋_GB2312" w:cs="Times New Roman"/>
                <w:sz w:val="28"/>
                <w:szCs w:val="28"/>
              </w:rPr>
            </w:pPr>
          </w:p>
        </w:tc>
        <w:tc>
          <w:tcPr>
            <w:tcW w:w="304" w:type="pct"/>
            <w:shd w:val="clear" w:color="auto" w:fill="auto"/>
            <w:vAlign w:val="center"/>
          </w:tcPr>
          <w:p w:rsidR="002F336C" w:rsidRDefault="002F336C">
            <w:pPr>
              <w:spacing w:line="300" w:lineRule="exact"/>
              <w:jc w:val="right"/>
              <w:rPr>
                <w:rFonts w:ascii="仿宋_GB2312" w:eastAsia="仿宋_GB2312" w:cs="Times New Roman"/>
                <w:sz w:val="28"/>
                <w:szCs w:val="28"/>
              </w:rPr>
            </w:pPr>
          </w:p>
        </w:tc>
        <w:tc>
          <w:tcPr>
            <w:tcW w:w="304" w:type="pct"/>
            <w:shd w:val="clear" w:color="auto" w:fill="auto"/>
            <w:vAlign w:val="center"/>
          </w:tcPr>
          <w:p w:rsidR="002F336C" w:rsidRDefault="002F336C">
            <w:pPr>
              <w:spacing w:line="300" w:lineRule="exact"/>
              <w:jc w:val="right"/>
              <w:rPr>
                <w:rFonts w:ascii="仿宋_GB2312" w:eastAsia="仿宋_GB2312" w:cs="Times New Roman"/>
                <w:sz w:val="28"/>
                <w:szCs w:val="28"/>
              </w:rPr>
            </w:pPr>
          </w:p>
        </w:tc>
        <w:tc>
          <w:tcPr>
            <w:tcW w:w="286" w:type="pct"/>
            <w:shd w:val="clear" w:color="auto" w:fill="auto"/>
            <w:vAlign w:val="center"/>
          </w:tcPr>
          <w:p w:rsidR="002F336C" w:rsidRDefault="002F336C">
            <w:pPr>
              <w:spacing w:line="300" w:lineRule="exact"/>
              <w:jc w:val="right"/>
              <w:rPr>
                <w:rFonts w:ascii="仿宋_GB2312" w:eastAsia="仿宋_GB2312" w:cs="Times New Roman"/>
                <w:sz w:val="28"/>
                <w:szCs w:val="28"/>
              </w:rPr>
            </w:pPr>
          </w:p>
        </w:tc>
      </w:tr>
    </w:tbl>
    <w:p w:rsidR="002F336C" w:rsidRDefault="002F336C">
      <w:pPr>
        <w:widowControl/>
        <w:spacing w:line="360" w:lineRule="atLeast"/>
        <w:jc w:val="left"/>
        <w:rPr>
          <w:rFonts w:ascii="仿宋_GB2312" w:eastAsia="仿宋_GB2312" w:cs="宋体"/>
          <w:b/>
          <w:bCs/>
          <w:color w:val="000000"/>
          <w:kern w:val="0"/>
          <w:sz w:val="32"/>
          <w:szCs w:val="32"/>
        </w:rPr>
      </w:pPr>
    </w:p>
    <w:p w:rsidR="002F336C" w:rsidRDefault="004D2499">
      <w:pPr>
        <w:widowControl/>
        <w:spacing w:line="360" w:lineRule="atLeast"/>
        <w:jc w:val="left"/>
        <w:rPr>
          <w:rFonts w:ascii="仿宋_GB2312" w:eastAsia="仿宋_GB2312" w:cs="宋体"/>
          <w:color w:val="000000"/>
          <w:kern w:val="0"/>
          <w:sz w:val="32"/>
          <w:szCs w:val="32"/>
        </w:rPr>
      </w:pPr>
      <w:r>
        <w:rPr>
          <w:rFonts w:ascii="仿宋_GB2312" w:eastAsia="仿宋_GB2312" w:cs="宋体"/>
          <w:b/>
          <w:bCs/>
          <w:color w:val="000000"/>
          <w:kern w:val="0"/>
          <w:sz w:val="32"/>
          <w:szCs w:val="32"/>
        </w:rPr>
        <w:br w:type="page"/>
      </w:r>
      <w:r>
        <w:rPr>
          <w:rFonts w:ascii="黑体" w:eastAsia="黑体" w:cs="宋体" w:hint="eastAsia"/>
          <w:b/>
          <w:bCs/>
          <w:color w:val="000000"/>
          <w:kern w:val="0"/>
          <w:sz w:val="32"/>
          <w:szCs w:val="32"/>
        </w:rPr>
        <w:lastRenderedPageBreak/>
        <w:t>七、国有</w:t>
      </w:r>
      <w:r>
        <w:rPr>
          <w:rFonts w:ascii="黑体" w:eastAsia="黑体" w:cs="宋体" w:hint="eastAsia"/>
          <w:b/>
          <w:bCs/>
          <w:color w:val="000000"/>
          <w:kern w:val="0"/>
          <w:sz w:val="32"/>
          <w:szCs w:val="32"/>
        </w:rPr>
        <w:t>资产信息</w:t>
      </w:r>
      <w:r>
        <w:rPr>
          <w:rFonts w:ascii="黑体" w:eastAsia="黑体"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我部门（含所属单位）上年末无固定资产，我部门本年度无拟购置固定资产，</w:t>
      </w:r>
    </w:p>
    <w:p w:rsidR="002F336C" w:rsidRDefault="004D2499">
      <w:pPr>
        <w:widowControl/>
        <w:spacing w:line="360" w:lineRule="atLeast"/>
        <w:jc w:val="left"/>
        <w:rPr>
          <w:rFonts w:ascii="宋体" w:eastAsia="仿宋_GB2312" w:hAnsi="宋体" w:cs="宋体"/>
          <w:color w:val="000000"/>
          <w:kern w:val="0"/>
          <w:sz w:val="32"/>
          <w:szCs w:val="32"/>
        </w:rPr>
      </w:pPr>
      <w:r>
        <w:rPr>
          <w:rFonts w:ascii="仿宋_GB2312" w:eastAsia="仿宋_GB2312" w:cs="宋体" w:hint="eastAsia"/>
          <w:color w:val="000000"/>
          <w:kern w:val="0"/>
          <w:sz w:val="32"/>
          <w:szCs w:val="32"/>
        </w:rPr>
        <w:t>详见下表。</w:t>
      </w:r>
      <w:r>
        <w:rPr>
          <w:rFonts w:ascii="宋体" w:eastAsia="仿宋_GB2312" w:hAnsi="宋体" w:cs="宋体" w:hint="eastAsia"/>
          <w:color w:val="000000"/>
          <w:kern w:val="0"/>
          <w:sz w:val="32"/>
          <w:szCs w:val="32"/>
        </w:rPr>
        <w:t> </w:t>
      </w:r>
    </w:p>
    <w:tbl>
      <w:tblPr>
        <w:tblW w:w="10175" w:type="dxa"/>
        <w:jc w:val="center"/>
        <w:tblCellSpacing w:w="0" w:type="dxa"/>
        <w:tblCellMar>
          <w:left w:w="0" w:type="dxa"/>
          <w:right w:w="0" w:type="dxa"/>
        </w:tblCellMar>
        <w:tblLook w:val="0000"/>
      </w:tblPr>
      <w:tblGrid>
        <w:gridCol w:w="3940"/>
        <w:gridCol w:w="2700"/>
        <w:gridCol w:w="3655"/>
      </w:tblGrid>
      <w:tr w:rsidR="002F336C">
        <w:trPr>
          <w:trHeight w:val="705"/>
          <w:tblCellSpacing w:w="0" w:type="dxa"/>
          <w:jc w:val="center"/>
        </w:trPr>
        <w:tc>
          <w:tcPr>
            <w:tcW w:w="10205" w:type="dxa"/>
            <w:gridSpan w:val="3"/>
            <w:noWrap/>
            <w:vAlign w:val="center"/>
          </w:tcPr>
          <w:p w:rsidR="002F336C" w:rsidRDefault="004D2499">
            <w:pPr>
              <w:widowControl/>
              <w:jc w:val="center"/>
              <w:rPr>
                <w:rFonts w:ascii="仿宋_GB2312" w:eastAsia="仿宋_GB2312" w:cs="宋体"/>
                <w:kern w:val="0"/>
                <w:sz w:val="28"/>
                <w:szCs w:val="28"/>
              </w:rPr>
            </w:pPr>
            <w:r>
              <w:rPr>
                <w:rFonts w:ascii="宋体" w:eastAsia="仿宋_GB2312" w:hAnsi="宋体" w:cs="宋体"/>
                <w:kern w:val="0"/>
                <w:sz w:val="28"/>
                <w:szCs w:val="28"/>
              </w:rPr>
              <w:t> </w:t>
            </w:r>
            <w:r>
              <w:rPr>
                <w:rFonts w:ascii="仿宋_GB2312" w:eastAsia="仿宋_GB2312" w:cs="宋体" w:hint="eastAsia"/>
                <w:b/>
                <w:bCs/>
                <w:kern w:val="0"/>
                <w:sz w:val="28"/>
                <w:szCs w:val="28"/>
              </w:rPr>
              <w:t>廊坊市广阳区预算部门固定资产占用情况表</w:t>
            </w:r>
          </w:p>
        </w:tc>
      </w:tr>
      <w:tr w:rsidR="002F336C">
        <w:trPr>
          <w:trHeight w:val="510"/>
          <w:tblCellSpacing w:w="0" w:type="dxa"/>
          <w:jc w:val="center"/>
        </w:trPr>
        <w:tc>
          <w:tcPr>
            <w:tcW w:w="6585" w:type="dxa"/>
            <w:gridSpan w:val="2"/>
            <w:noWrap/>
            <w:vAlign w:val="center"/>
          </w:tcPr>
          <w:p w:rsidR="002F336C" w:rsidRDefault="004D2499">
            <w:pPr>
              <w:widowControl/>
              <w:jc w:val="left"/>
              <w:rPr>
                <w:rFonts w:ascii="仿宋_GB2312" w:eastAsia="仿宋_GB2312" w:cs="宋体"/>
                <w:kern w:val="0"/>
                <w:sz w:val="28"/>
                <w:szCs w:val="28"/>
              </w:rPr>
            </w:pPr>
            <w:r>
              <w:rPr>
                <w:rFonts w:ascii="仿宋_GB2312" w:eastAsia="仿宋_GB2312" w:cs="宋体" w:hint="eastAsia"/>
                <w:kern w:val="0"/>
                <w:sz w:val="28"/>
                <w:szCs w:val="28"/>
              </w:rPr>
              <w:t>编制部门：</w:t>
            </w:r>
            <w:r>
              <w:rPr>
                <w:rFonts w:ascii="仿宋_GB2312" w:eastAsia="仿宋_GB2312" w:cs="宋体" w:hint="eastAsia"/>
                <w:b/>
                <w:bCs/>
                <w:kern w:val="0"/>
                <w:sz w:val="28"/>
                <w:szCs w:val="28"/>
              </w:rPr>
              <w:t>廊坊市广阳区供销合作社联合社</w:t>
            </w:r>
          </w:p>
        </w:tc>
        <w:tc>
          <w:tcPr>
            <w:tcW w:w="3635" w:type="dxa"/>
            <w:noWrap/>
            <w:vAlign w:val="center"/>
          </w:tcPr>
          <w:p w:rsidR="002F336C" w:rsidRDefault="004D2499">
            <w:pPr>
              <w:widowControl/>
              <w:jc w:val="left"/>
              <w:rPr>
                <w:rFonts w:ascii="宋体" w:eastAsia="仿宋_GB2312" w:hAnsi="宋体" w:cs="宋体"/>
                <w:kern w:val="0"/>
                <w:sz w:val="28"/>
                <w:szCs w:val="28"/>
              </w:rPr>
            </w:pPr>
            <w:r>
              <w:rPr>
                <w:rFonts w:ascii="仿宋_GB2312" w:eastAsia="仿宋_GB2312" w:cs="宋体" w:hint="eastAsia"/>
                <w:kern w:val="0"/>
                <w:sz w:val="28"/>
                <w:szCs w:val="28"/>
              </w:rPr>
              <w:t>截止时间：</w:t>
            </w:r>
            <w:r>
              <w:rPr>
                <w:rFonts w:ascii="仿宋_GB2312" w:eastAsia="仿宋_GB2312" w:cs="宋体" w:hint="eastAsia"/>
                <w:kern w:val="0"/>
                <w:sz w:val="28"/>
                <w:szCs w:val="28"/>
              </w:rPr>
              <w:t>2016</w:t>
            </w:r>
            <w:r>
              <w:rPr>
                <w:rFonts w:ascii="仿宋_GB2312" w:eastAsia="仿宋_GB2312" w:cs="宋体" w:hint="eastAsia"/>
                <w:kern w:val="0"/>
                <w:sz w:val="28"/>
                <w:szCs w:val="28"/>
              </w:rPr>
              <w:t>年</w:t>
            </w:r>
            <w:r>
              <w:rPr>
                <w:rFonts w:ascii="仿宋_GB2312" w:eastAsia="仿宋_GB2312" w:cs="宋体" w:hint="eastAsia"/>
                <w:kern w:val="0"/>
                <w:sz w:val="28"/>
                <w:szCs w:val="28"/>
              </w:rPr>
              <w:t>12</w:t>
            </w:r>
            <w:r>
              <w:rPr>
                <w:rFonts w:ascii="仿宋_GB2312" w:eastAsia="仿宋_GB2312" w:cs="宋体" w:hint="eastAsia"/>
                <w:kern w:val="0"/>
                <w:sz w:val="28"/>
                <w:szCs w:val="28"/>
              </w:rPr>
              <w:t>月</w:t>
            </w:r>
            <w:r>
              <w:rPr>
                <w:rFonts w:ascii="仿宋_GB2312" w:eastAsia="仿宋_GB2312" w:cs="宋体" w:hint="eastAsia"/>
                <w:kern w:val="0"/>
                <w:sz w:val="28"/>
                <w:szCs w:val="28"/>
              </w:rPr>
              <w:t>31</w:t>
            </w:r>
            <w:r>
              <w:rPr>
                <w:rFonts w:ascii="仿宋_GB2312" w:eastAsia="仿宋_GB2312" w:cs="宋体" w:hint="eastAsia"/>
                <w:kern w:val="0"/>
                <w:sz w:val="28"/>
                <w:szCs w:val="28"/>
              </w:rPr>
              <w:t>日</w:t>
            </w:r>
            <w:r>
              <w:rPr>
                <w:rFonts w:ascii="宋体" w:eastAsia="仿宋_GB2312" w:hAnsi="宋体" w:cs="宋体"/>
                <w:kern w:val="0"/>
                <w:sz w:val="28"/>
                <w:szCs w:val="28"/>
              </w:rPr>
              <w:t> </w:t>
            </w:r>
          </w:p>
        </w:tc>
      </w:tr>
      <w:tr w:rsidR="002F336C">
        <w:trPr>
          <w:trHeight w:val="645"/>
          <w:tblCellSpacing w:w="0" w:type="dxa"/>
          <w:jc w:val="center"/>
        </w:trPr>
        <w:tc>
          <w:tcPr>
            <w:tcW w:w="3920" w:type="dxa"/>
            <w:tcBorders>
              <w:top w:val="single" w:sz="4" w:space="0" w:color="auto"/>
              <w:left w:val="single" w:sz="4" w:space="0" w:color="auto"/>
              <w:bottom w:val="single" w:sz="4" w:space="0" w:color="auto"/>
              <w:right w:val="single" w:sz="4" w:space="0" w:color="auto"/>
            </w:tcBorders>
            <w:noWrap/>
            <w:vAlign w:val="center"/>
          </w:tcPr>
          <w:p w:rsidR="002F336C" w:rsidRDefault="004D2499">
            <w:pPr>
              <w:widowControl/>
              <w:jc w:val="center"/>
              <w:rPr>
                <w:rFonts w:ascii="仿宋_GB2312" w:eastAsia="仿宋_GB2312" w:cs="宋体"/>
                <w:kern w:val="0"/>
                <w:sz w:val="28"/>
                <w:szCs w:val="28"/>
              </w:rPr>
            </w:pPr>
            <w:r>
              <w:rPr>
                <w:rFonts w:ascii="仿宋_GB2312" w:eastAsia="仿宋_GB2312" w:cs="宋体" w:hint="eastAsia"/>
                <w:b/>
                <w:bCs/>
                <w:kern w:val="0"/>
                <w:sz w:val="28"/>
                <w:szCs w:val="28"/>
              </w:rPr>
              <w:t>项</w:t>
            </w:r>
            <w:r>
              <w:rPr>
                <w:rFonts w:ascii="宋体" w:eastAsia="仿宋_GB2312" w:hAnsi="宋体" w:cs="宋体"/>
                <w:b/>
                <w:bCs/>
                <w:kern w:val="0"/>
                <w:sz w:val="28"/>
                <w:szCs w:val="28"/>
              </w:rPr>
              <w:t xml:space="preserve">   </w:t>
            </w:r>
            <w:r>
              <w:rPr>
                <w:rFonts w:ascii="仿宋_GB2312" w:eastAsia="仿宋_GB2312" w:cs="宋体" w:hint="eastAsia"/>
                <w:b/>
                <w:bCs/>
                <w:kern w:val="0"/>
                <w:sz w:val="28"/>
                <w:szCs w:val="28"/>
              </w:rPr>
              <w:t>目</w:t>
            </w:r>
          </w:p>
        </w:tc>
        <w:tc>
          <w:tcPr>
            <w:tcW w:w="2680" w:type="dxa"/>
            <w:tcBorders>
              <w:top w:val="single" w:sz="4" w:space="0" w:color="auto"/>
              <w:left w:val="single" w:sz="4" w:space="0" w:color="auto"/>
              <w:bottom w:val="single" w:sz="4" w:space="0" w:color="auto"/>
              <w:right w:val="single" w:sz="4" w:space="0" w:color="auto"/>
            </w:tcBorders>
            <w:noWrap/>
            <w:vAlign w:val="center"/>
          </w:tcPr>
          <w:p w:rsidR="002F336C" w:rsidRDefault="004D2499">
            <w:pPr>
              <w:widowControl/>
              <w:jc w:val="center"/>
              <w:rPr>
                <w:rFonts w:ascii="仿宋_GB2312" w:eastAsia="仿宋_GB2312" w:cs="宋体"/>
                <w:kern w:val="0"/>
                <w:sz w:val="28"/>
                <w:szCs w:val="28"/>
              </w:rPr>
            </w:pPr>
            <w:r>
              <w:rPr>
                <w:rFonts w:ascii="仿宋_GB2312" w:eastAsia="仿宋_GB2312" w:cs="宋体" w:hint="eastAsia"/>
                <w:b/>
                <w:bCs/>
                <w:kern w:val="0"/>
                <w:sz w:val="28"/>
                <w:szCs w:val="28"/>
              </w:rPr>
              <w:t>数量</w:t>
            </w:r>
          </w:p>
        </w:tc>
        <w:tc>
          <w:tcPr>
            <w:tcW w:w="3635" w:type="dxa"/>
            <w:tcBorders>
              <w:top w:val="single" w:sz="4" w:space="0" w:color="auto"/>
              <w:left w:val="single" w:sz="4" w:space="0" w:color="auto"/>
              <w:bottom w:val="single" w:sz="4" w:space="0" w:color="auto"/>
              <w:right w:val="single" w:sz="4" w:space="0" w:color="auto"/>
            </w:tcBorders>
            <w:noWrap/>
            <w:vAlign w:val="center"/>
          </w:tcPr>
          <w:p w:rsidR="002F336C" w:rsidRDefault="004D2499">
            <w:pPr>
              <w:widowControl/>
              <w:jc w:val="center"/>
              <w:rPr>
                <w:rFonts w:ascii="仿宋_GB2312" w:eastAsia="仿宋_GB2312" w:cs="宋体"/>
                <w:kern w:val="0"/>
                <w:sz w:val="28"/>
                <w:szCs w:val="28"/>
              </w:rPr>
            </w:pPr>
            <w:r>
              <w:rPr>
                <w:rFonts w:ascii="仿宋_GB2312" w:eastAsia="仿宋_GB2312" w:cs="宋体" w:hint="eastAsia"/>
                <w:b/>
                <w:bCs/>
                <w:kern w:val="0"/>
                <w:sz w:val="28"/>
                <w:szCs w:val="28"/>
              </w:rPr>
              <w:t>价值（金额单位：万元）</w:t>
            </w:r>
          </w:p>
        </w:tc>
      </w:tr>
      <w:tr w:rsidR="002F336C">
        <w:trPr>
          <w:trHeight w:val="645"/>
          <w:tblCellSpacing w:w="0" w:type="dxa"/>
          <w:jc w:val="center"/>
        </w:trPr>
        <w:tc>
          <w:tcPr>
            <w:tcW w:w="3920" w:type="dxa"/>
            <w:tcBorders>
              <w:top w:val="single" w:sz="4" w:space="0" w:color="auto"/>
              <w:left w:val="single" w:sz="4" w:space="0" w:color="auto"/>
              <w:bottom w:val="single" w:sz="4" w:space="0" w:color="auto"/>
              <w:right w:val="single" w:sz="4" w:space="0" w:color="auto"/>
            </w:tcBorders>
            <w:noWrap/>
            <w:vAlign w:val="center"/>
          </w:tcPr>
          <w:p w:rsidR="002F336C" w:rsidRDefault="004D2499">
            <w:pPr>
              <w:widowControl/>
              <w:jc w:val="center"/>
              <w:rPr>
                <w:rFonts w:ascii="仿宋_GB2312" w:eastAsia="仿宋_GB2312" w:cs="宋体"/>
                <w:kern w:val="0"/>
                <w:sz w:val="28"/>
                <w:szCs w:val="28"/>
              </w:rPr>
            </w:pPr>
            <w:r>
              <w:rPr>
                <w:rFonts w:ascii="仿宋_GB2312" w:eastAsia="仿宋_GB2312" w:cs="宋体" w:hint="eastAsia"/>
                <w:kern w:val="0"/>
                <w:sz w:val="28"/>
                <w:szCs w:val="28"/>
              </w:rPr>
              <w:t>资产总额</w:t>
            </w:r>
          </w:p>
        </w:tc>
        <w:tc>
          <w:tcPr>
            <w:tcW w:w="2680" w:type="dxa"/>
            <w:tcBorders>
              <w:top w:val="single" w:sz="4" w:space="0" w:color="auto"/>
              <w:left w:val="single" w:sz="4" w:space="0" w:color="auto"/>
              <w:bottom w:val="single" w:sz="4" w:space="0" w:color="auto"/>
              <w:right w:val="single" w:sz="4" w:space="0" w:color="auto"/>
            </w:tcBorders>
            <w:noWrap/>
            <w:vAlign w:val="center"/>
          </w:tcPr>
          <w:p w:rsidR="002F336C" w:rsidRDefault="004D2499">
            <w:pPr>
              <w:widowControl/>
              <w:jc w:val="center"/>
              <w:rPr>
                <w:rFonts w:ascii="仿宋_GB2312" w:eastAsia="仿宋_GB2312" w:cs="宋体"/>
                <w:kern w:val="0"/>
                <w:sz w:val="28"/>
                <w:szCs w:val="28"/>
              </w:rPr>
            </w:pPr>
            <w:r>
              <w:rPr>
                <w:rFonts w:ascii="仿宋_GB2312" w:eastAsia="仿宋_GB2312" w:cs="宋体" w:hint="eastAsia"/>
                <w:kern w:val="0"/>
                <w:sz w:val="28"/>
                <w:szCs w:val="28"/>
              </w:rPr>
              <w:t>——</w:t>
            </w:r>
          </w:p>
        </w:tc>
        <w:tc>
          <w:tcPr>
            <w:tcW w:w="3635" w:type="dxa"/>
            <w:tcBorders>
              <w:top w:val="single" w:sz="4" w:space="0" w:color="auto"/>
              <w:left w:val="single" w:sz="4" w:space="0" w:color="auto"/>
              <w:bottom w:val="single" w:sz="4" w:space="0" w:color="auto"/>
              <w:right w:val="single" w:sz="4" w:space="0" w:color="auto"/>
            </w:tcBorders>
            <w:noWrap/>
            <w:vAlign w:val="center"/>
          </w:tcPr>
          <w:p w:rsidR="002F336C" w:rsidRDefault="004D2499">
            <w:pPr>
              <w:widowControl/>
              <w:jc w:val="center"/>
              <w:rPr>
                <w:rFonts w:ascii="仿宋_GB2312" w:eastAsia="仿宋_GB2312" w:cs="宋体"/>
                <w:kern w:val="0"/>
                <w:sz w:val="28"/>
                <w:szCs w:val="28"/>
              </w:rPr>
            </w:pPr>
            <w:r>
              <w:rPr>
                <w:rFonts w:ascii="仿宋_GB2312" w:eastAsia="仿宋_GB2312" w:cs="宋体" w:hint="eastAsia"/>
                <w:kern w:val="0"/>
                <w:sz w:val="28"/>
                <w:szCs w:val="28"/>
              </w:rPr>
              <w:t>0.00</w:t>
            </w:r>
          </w:p>
        </w:tc>
      </w:tr>
      <w:tr w:rsidR="002F336C">
        <w:trPr>
          <w:trHeight w:val="645"/>
          <w:tblCellSpacing w:w="0" w:type="dxa"/>
          <w:jc w:val="center"/>
        </w:trPr>
        <w:tc>
          <w:tcPr>
            <w:tcW w:w="3920" w:type="dxa"/>
            <w:tcBorders>
              <w:top w:val="single" w:sz="4" w:space="0" w:color="auto"/>
              <w:left w:val="single" w:sz="4" w:space="0" w:color="auto"/>
              <w:bottom w:val="single" w:sz="4" w:space="0" w:color="auto"/>
              <w:right w:val="single" w:sz="4" w:space="0" w:color="auto"/>
            </w:tcBorders>
            <w:noWrap/>
            <w:vAlign w:val="center"/>
          </w:tcPr>
          <w:p w:rsidR="002F336C" w:rsidRDefault="004D2499">
            <w:pPr>
              <w:widowControl/>
              <w:jc w:val="center"/>
              <w:rPr>
                <w:rFonts w:ascii="仿宋_GB2312" w:eastAsia="仿宋_GB2312" w:cs="宋体"/>
                <w:kern w:val="0"/>
                <w:sz w:val="28"/>
                <w:szCs w:val="28"/>
              </w:rPr>
            </w:pPr>
            <w:r>
              <w:rPr>
                <w:rFonts w:ascii="仿宋_GB2312" w:eastAsia="仿宋_GB2312" w:cs="宋体" w:hint="eastAsia"/>
                <w:kern w:val="0"/>
                <w:sz w:val="28"/>
                <w:szCs w:val="28"/>
              </w:rPr>
              <w:t>1</w:t>
            </w:r>
            <w:r>
              <w:rPr>
                <w:rFonts w:ascii="仿宋_GB2312" w:eastAsia="仿宋_GB2312" w:cs="宋体" w:hint="eastAsia"/>
                <w:kern w:val="0"/>
                <w:sz w:val="28"/>
                <w:szCs w:val="28"/>
              </w:rPr>
              <w:t>、房屋（平方米）</w:t>
            </w:r>
          </w:p>
        </w:tc>
        <w:tc>
          <w:tcPr>
            <w:tcW w:w="2680" w:type="dxa"/>
            <w:tcBorders>
              <w:top w:val="single" w:sz="4" w:space="0" w:color="auto"/>
              <w:left w:val="single" w:sz="4" w:space="0" w:color="auto"/>
              <w:bottom w:val="single" w:sz="4" w:space="0" w:color="auto"/>
              <w:right w:val="single" w:sz="4" w:space="0" w:color="auto"/>
            </w:tcBorders>
            <w:noWrap/>
            <w:vAlign w:val="center"/>
          </w:tcPr>
          <w:p w:rsidR="002F336C" w:rsidRDefault="004D2499">
            <w:pPr>
              <w:widowControl/>
              <w:jc w:val="center"/>
              <w:rPr>
                <w:rFonts w:ascii="仿宋_GB2312" w:eastAsia="仿宋_GB2312" w:cs="宋体"/>
                <w:kern w:val="0"/>
                <w:sz w:val="28"/>
                <w:szCs w:val="28"/>
              </w:rPr>
            </w:pPr>
            <w:r>
              <w:rPr>
                <w:rFonts w:ascii="仿宋_GB2312" w:eastAsia="仿宋_GB2312" w:cs="宋体" w:hint="eastAsia"/>
                <w:kern w:val="0"/>
                <w:sz w:val="28"/>
                <w:szCs w:val="28"/>
              </w:rPr>
              <w:t>0</w:t>
            </w:r>
          </w:p>
        </w:tc>
        <w:tc>
          <w:tcPr>
            <w:tcW w:w="3635" w:type="dxa"/>
            <w:tcBorders>
              <w:top w:val="single" w:sz="4" w:space="0" w:color="auto"/>
              <w:left w:val="single" w:sz="4" w:space="0" w:color="auto"/>
              <w:bottom w:val="single" w:sz="4" w:space="0" w:color="auto"/>
              <w:right w:val="single" w:sz="4" w:space="0" w:color="auto"/>
            </w:tcBorders>
            <w:noWrap/>
            <w:vAlign w:val="center"/>
          </w:tcPr>
          <w:p w:rsidR="002F336C" w:rsidRDefault="004D2499">
            <w:pPr>
              <w:widowControl/>
              <w:jc w:val="center"/>
              <w:rPr>
                <w:rFonts w:ascii="仿宋_GB2312" w:eastAsia="仿宋_GB2312" w:cs="宋体"/>
                <w:kern w:val="0"/>
                <w:sz w:val="28"/>
                <w:szCs w:val="28"/>
              </w:rPr>
            </w:pPr>
            <w:r>
              <w:rPr>
                <w:rFonts w:ascii="仿宋_GB2312" w:eastAsia="仿宋_GB2312" w:cs="宋体" w:hint="eastAsia"/>
                <w:kern w:val="0"/>
                <w:sz w:val="28"/>
                <w:szCs w:val="28"/>
              </w:rPr>
              <w:t>0.00</w:t>
            </w:r>
          </w:p>
        </w:tc>
      </w:tr>
      <w:tr w:rsidR="002F336C">
        <w:trPr>
          <w:trHeight w:val="645"/>
          <w:tblCellSpacing w:w="0" w:type="dxa"/>
          <w:jc w:val="center"/>
        </w:trPr>
        <w:tc>
          <w:tcPr>
            <w:tcW w:w="3920" w:type="dxa"/>
            <w:tcBorders>
              <w:top w:val="single" w:sz="4" w:space="0" w:color="auto"/>
              <w:left w:val="single" w:sz="4" w:space="0" w:color="auto"/>
              <w:bottom w:val="single" w:sz="4" w:space="0" w:color="auto"/>
              <w:right w:val="single" w:sz="4" w:space="0" w:color="auto"/>
            </w:tcBorders>
            <w:noWrap/>
            <w:vAlign w:val="center"/>
          </w:tcPr>
          <w:p w:rsidR="002F336C" w:rsidRDefault="004D2499">
            <w:pPr>
              <w:widowControl/>
              <w:jc w:val="center"/>
              <w:rPr>
                <w:rFonts w:ascii="仿宋_GB2312" w:eastAsia="仿宋_GB2312" w:cs="宋体"/>
                <w:kern w:val="0"/>
                <w:sz w:val="28"/>
                <w:szCs w:val="28"/>
              </w:rPr>
            </w:pPr>
            <w:r>
              <w:rPr>
                <w:rFonts w:ascii="宋体" w:eastAsia="仿宋_GB2312" w:hAnsi="宋体" w:cs="宋体"/>
                <w:kern w:val="0"/>
                <w:sz w:val="28"/>
                <w:szCs w:val="28"/>
              </w:rPr>
              <w:t xml:space="preserve">   </w:t>
            </w:r>
            <w:r>
              <w:rPr>
                <w:rFonts w:ascii="仿宋_GB2312" w:eastAsia="仿宋_GB2312" w:cs="宋体" w:hint="eastAsia"/>
                <w:kern w:val="0"/>
                <w:sz w:val="28"/>
                <w:szCs w:val="28"/>
              </w:rPr>
              <w:t>其中：办公用房（平方米）</w:t>
            </w:r>
          </w:p>
        </w:tc>
        <w:tc>
          <w:tcPr>
            <w:tcW w:w="2680" w:type="dxa"/>
            <w:tcBorders>
              <w:top w:val="single" w:sz="4" w:space="0" w:color="auto"/>
              <w:left w:val="single" w:sz="4" w:space="0" w:color="auto"/>
              <w:bottom w:val="single" w:sz="4" w:space="0" w:color="auto"/>
              <w:right w:val="single" w:sz="4" w:space="0" w:color="auto"/>
            </w:tcBorders>
            <w:noWrap/>
            <w:vAlign w:val="center"/>
          </w:tcPr>
          <w:p w:rsidR="002F336C" w:rsidRDefault="004D2499">
            <w:pPr>
              <w:widowControl/>
              <w:jc w:val="center"/>
              <w:rPr>
                <w:rFonts w:ascii="仿宋_GB2312" w:eastAsia="仿宋_GB2312" w:cs="宋体"/>
                <w:kern w:val="0"/>
                <w:sz w:val="28"/>
                <w:szCs w:val="28"/>
              </w:rPr>
            </w:pPr>
            <w:r>
              <w:rPr>
                <w:rFonts w:ascii="仿宋_GB2312" w:eastAsia="仿宋_GB2312" w:cs="宋体" w:hint="eastAsia"/>
                <w:kern w:val="0"/>
                <w:sz w:val="28"/>
                <w:szCs w:val="28"/>
              </w:rPr>
              <w:t>0</w:t>
            </w:r>
          </w:p>
        </w:tc>
        <w:tc>
          <w:tcPr>
            <w:tcW w:w="3635" w:type="dxa"/>
            <w:tcBorders>
              <w:top w:val="single" w:sz="4" w:space="0" w:color="auto"/>
              <w:left w:val="single" w:sz="4" w:space="0" w:color="auto"/>
              <w:bottom w:val="single" w:sz="4" w:space="0" w:color="auto"/>
              <w:right w:val="single" w:sz="4" w:space="0" w:color="auto"/>
            </w:tcBorders>
            <w:noWrap/>
            <w:vAlign w:val="center"/>
          </w:tcPr>
          <w:p w:rsidR="002F336C" w:rsidRDefault="004D2499">
            <w:pPr>
              <w:widowControl/>
              <w:jc w:val="center"/>
              <w:rPr>
                <w:rFonts w:ascii="仿宋_GB2312" w:eastAsia="仿宋_GB2312" w:cs="宋体"/>
                <w:kern w:val="0"/>
                <w:sz w:val="28"/>
                <w:szCs w:val="28"/>
              </w:rPr>
            </w:pPr>
            <w:r>
              <w:rPr>
                <w:rFonts w:ascii="仿宋_GB2312" w:eastAsia="仿宋_GB2312" w:cs="宋体" w:hint="eastAsia"/>
                <w:kern w:val="0"/>
                <w:sz w:val="28"/>
                <w:szCs w:val="28"/>
              </w:rPr>
              <w:t>0.00</w:t>
            </w:r>
          </w:p>
        </w:tc>
      </w:tr>
      <w:tr w:rsidR="002F336C">
        <w:trPr>
          <w:trHeight w:val="645"/>
          <w:tblCellSpacing w:w="0" w:type="dxa"/>
          <w:jc w:val="center"/>
        </w:trPr>
        <w:tc>
          <w:tcPr>
            <w:tcW w:w="3920" w:type="dxa"/>
            <w:tcBorders>
              <w:top w:val="single" w:sz="4" w:space="0" w:color="auto"/>
              <w:left w:val="single" w:sz="4" w:space="0" w:color="auto"/>
              <w:bottom w:val="single" w:sz="4" w:space="0" w:color="auto"/>
              <w:right w:val="single" w:sz="4" w:space="0" w:color="auto"/>
            </w:tcBorders>
            <w:noWrap/>
            <w:vAlign w:val="center"/>
          </w:tcPr>
          <w:p w:rsidR="002F336C" w:rsidRDefault="004D2499">
            <w:pPr>
              <w:widowControl/>
              <w:jc w:val="center"/>
              <w:rPr>
                <w:rFonts w:ascii="仿宋_GB2312" w:eastAsia="仿宋_GB2312" w:cs="宋体"/>
                <w:kern w:val="0"/>
                <w:sz w:val="28"/>
                <w:szCs w:val="28"/>
              </w:rPr>
            </w:pPr>
            <w:r>
              <w:rPr>
                <w:rFonts w:ascii="仿宋_GB2312" w:eastAsia="仿宋_GB2312" w:cs="宋体" w:hint="eastAsia"/>
                <w:kern w:val="0"/>
                <w:sz w:val="28"/>
                <w:szCs w:val="28"/>
              </w:rPr>
              <w:t>2</w:t>
            </w:r>
            <w:r>
              <w:rPr>
                <w:rFonts w:ascii="仿宋_GB2312" w:eastAsia="仿宋_GB2312" w:cs="宋体" w:hint="eastAsia"/>
                <w:kern w:val="0"/>
                <w:sz w:val="28"/>
                <w:szCs w:val="28"/>
              </w:rPr>
              <w:t>、车辆（台、辆）</w:t>
            </w:r>
          </w:p>
        </w:tc>
        <w:tc>
          <w:tcPr>
            <w:tcW w:w="2680" w:type="dxa"/>
            <w:tcBorders>
              <w:top w:val="single" w:sz="4" w:space="0" w:color="auto"/>
              <w:left w:val="single" w:sz="4" w:space="0" w:color="auto"/>
              <w:bottom w:val="single" w:sz="4" w:space="0" w:color="auto"/>
              <w:right w:val="single" w:sz="4" w:space="0" w:color="auto"/>
            </w:tcBorders>
            <w:noWrap/>
            <w:vAlign w:val="center"/>
          </w:tcPr>
          <w:p w:rsidR="002F336C" w:rsidRDefault="004D2499">
            <w:pPr>
              <w:widowControl/>
              <w:jc w:val="center"/>
              <w:rPr>
                <w:rFonts w:ascii="仿宋_GB2312" w:eastAsia="仿宋_GB2312" w:cs="宋体"/>
                <w:kern w:val="0"/>
                <w:sz w:val="28"/>
                <w:szCs w:val="28"/>
              </w:rPr>
            </w:pPr>
            <w:r>
              <w:rPr>
                <w:rFonts w:ascii="仿宋_GB2312" w:eastAsia="仿宋_GB2312" w:cs="宋体" w:hint="eastAsia"/>
                <w:kern w:val="0"/>
                <w:sz w:val="28"/>
                <w:szCs w:val="28"/>
              </w:rPr>
              <w:t>0</w:t>
            </w:r>
          </w:p>
        </w:tc>
        <w:tc>
          <w:tcPr>
            <w:tcW w:w="3635" w:type="dxa"/>
            <w:tcBorders>
              <w:top w:val="single" w:sz="4" w:space="0" w:color="auto"/>
              <w:left w:val="single" w:sz="4" w:space="0" w:color="auto"/>
              <w:bottom w:val="single" w:sz="4" w:space="0" w:color="auto"/>
              <w:right w:val="single" w:sz="4" w:space="0" w:color="auto"/>
            </w:tcBorders>
            <w:noWrap/>
            <w:vAlign w:val="center"/>
          </w:tcPr>
          <w:p w:rsidR="002F336C" w:rsidRDefault="004D2499">
            <w:pPr>
              <w:widowControl/>
              <w:jc w:val="center"/>
              <w:rPr>
                <w:rFonts w:ascii="仿宋_GB2312" w:eastAsia="仿宋_GB2312" w:cs="宋体"/>
                <w:kern w:val="0"/>
                <w:sz w:val="28"/>
                <w:szCs w:val="28"/>
              </w:rPr>
            </w:pPr>
            <w:r>
              <w:rPr>
                <w:rFonts w:ascii="仿宋_GB2312" w:eastAsia="仿宋_GB2312" w:cs="宋体" w:hint="eastAsia"/>
                <w:kern w:val="0"/>
                <w:sz w:val="28"/>
                <w:szCs w:val="28"/>
              </w:rPr>
              <w:t>0.00</w:t>
            </w:r>
          </w:p>
        </w:tc>
      </w:tr>
      <w:tr w:rsidR="002F336C">
        <w:trPr>
          <w:trHeight w:val="645"/>
          <w:tblCellSpacing w:w="0" w:type="dxa"/>
          <w:jc w:val="center"/>
        </w:trPr>
        <w:tc>
          <w:tcPr>
            <w:tcW w:w="3920" w:type="dxa"/>
            <w:tcBorders>
              <w:top w:val="single" w:sz="4" w:space="0" w:color="auto"/>
              <w:left w:val="single" w:sz="4" w:space="0" w:color="auto"/>
              <w:bottom w:val="single" w:sz="4" w:space="0" w:color="auto"/>
              <w:right w:val="single" w:sz="4" w:space="0" w:color="auto"/>
            </w:tcBorders>
            <w:vAlign w:val="center"/>
          </w:tcPr>
          <w:p w:rsidR="002F336C" w:rsidRDefault="004D2499">
            <w:pPr>
              <w:widowControl/>
              <w:jc w:val="center"/>
              <w:rPr>
                <w:rFonts w:ascii="仿宋_GB2312" w:eastAsia="仿宋_GB2312" w:cs="宋体"/>
                <w:kern w:val="0"/>
                <w:sz w:val="28"/>
                <w:szCs w:val="28"/>
              </w:rPr>
            </w:pPr>
            <w:r>
              <w:rPr>
                <w:rFonts w:ascii="仿宋_GB2312" w:eastAsia="仿宋_GB2312" w:cs="宋体" w:hint="eastAsia"/>
                <w:kern w:val="0"/>
                <w:sz w:val="28"/>
                <w:szCs w:val="28"/>
              </w:rPr>
              <w:t>3</w:t>
            </w:r>
            <w:r>
              <w:rPr>
                <w:rFonts w:ascii="仿宋_GB2312" w:eastAsia="仿宋_GB2312" w:cs="宋体" w:hint="eastAsia"/>
                <w:kern w:val="0"/>
                <w:sz w:val="28"/>
                <w:szCs w:val="28"/>
              </w:rPr>
              <w:t>、单价在</w:t>
            </w:r>
            <w:r>
              <w:rPr>
                <w:rFonts w:ascii="仿宋_GB2312" w:eastAsia="仿宋_GB2312" w:cs="宋体" w:hint="eastAsia"/>
                <w:kern w:val="0"/>
                <w:sz w:val="28"/>
                <w:szCs w:val="28"/>
              </w:rPr>
              <w:t>50</w:t>
            </w:r>
            <w:r>
              <w:rPr>
                <w:rFonts w:ascii="仿宋_GB2312" w:eastAsia="仿宋_GB2312" w:cs="宋体" w:hint="eastAsia"/>
                <w:kern w:val="0"/>
                <w:sz w:val="28"/>
                <w:szCs w:val="28"/>
              </w:rPr>
              <w:t>万元以上的设备</w:t>
            </w:r>
          </w:p>
        </w:tc>
        <w:tc>
          <w:tcPr>
            <w:tcW w:w="2680" w:type="dxa"/>
            <w:tcBorders>
              <w:top w:val="single" w:sz="4" w:space="0" w:color="auto"/>
              <w:left w:val="single" w:sz="4" w:space="0" w:color="auto"/>
              <w:bottom w:val="single" w:sz="4" w:space="0" w:color="auto"/>
              <w:right w:val="single" w:sz="4" w:space="0" w:color="auto"/>
            </w:tcBorders>
            <w:noWrap/>
            <w:vAlign w:val="center"/>
          </w:tcPr>
          <w:p w:rsidR="002F336C" w:rsidRDefault="004D2499">
            <w:pPr>
              <w:widowControl/>
              <w:jc w:val="center"/>
              <w:rPr>
                <w:rFonts w:ascii="仿宋_GB2312" w:eastAsia="仿宋_GB2312" w:cs="宋体"/>
                <w:kern w:val="0"/>
                <w:sz w:val="28"/>
                <w:szCs w:val="28"/>
              </w:rPr>
            </w:pPr>
            <w:r>
              <w:rPr>
                <w:rFonts w:ascii="仿宋_GB2312" w:eastAsia="仿宋_GB2312" w:cs="宋体" w:hint="eastAsia"/>
                <w:kern w:val="0"/>
                <w:sz w:val="28"/>
                <w:szCs w:val="28"/>
              </w:rPr>
              <w:t>0</w:t>
            </w:r>
          </w:p>
        </w:tc>
        <w:tc>
          <w:tcPr>
            <w:tcW w:w="3635" w:type="dxa"/>
            <w:tcBorders>
              <w:top w:val="single" w:sz="4" w:space="0" w:color="auto"/>
              <w:left w:val="single" w:sz="4" w:space="0" w:color="auto"/>
              <w:bottom w:val="single" w:sz="4" w:space="0" w:color="auto"/>
              <w:right w:val="single" w:sz="4" w:space="0" w:color="auto"/>
            </w:tcBorders>
            <w:noWrap/>
            <w:vAlign w:val="center"/>
          </w:tcPr>
          <w:p w:rsidR="002F336C" w:rsidRDefault="004D2499">
            <w:pPr>
              <w:widowControl/>
              <w:jc w:val="center"/>
              <w:rPr>
                <w:rFonts w:ascii="仿宋_GB2312" w:eastAsia="仿宋_GB2312" w:cs="宋体"/>
                <w:kern w:val="0"/>
                <w:sz w:val="28"/>
                <w:szCs w:val="28"/>
              </w:rPr>
            </w:pPr>
            <w:r>
              <w:rPr>
                <w:rFonts w:ascii="仿宋_GB2312" w:eastAsia="仿宋_GB2312" w:cs="宋体" w:hint="eastAsia"/>
                <w:kern w:val="0"/>
                <w:sz w:val="28"/>
                <w:szCs w:val="28"/>
              </w:rPr>
              <w:t>0.00</w:t>
            </w:r>
          </w:p>
        </w:tc>
      </w:tr>
      <w:tr w:rsidR="002F336C">
        <w:trPr>
          <w:trHeight w:val="645"/>
          <w:tblCellSpacing w:w="0" w:type="dxa"/>
          <w:jc w:val="center"/>
        </w:trPr>
        <w:tc>
          <w:tcPr>
            <w:tcW w:w="3920" w:type="dxa"/>
            <w:tcBorders>
              <w:top w:val="single" w:sz="4" w:space="0" w:color="auto"/>
              <w:left w:val="single" w:sz="4" w:space="0" w:color="auto"/>
              <w:bottom w:val="single" w:sz="4" w:space="0" w:color="auto"/>
              <w:right w:val="single" w:sz="4" w:space="0" w:color="auto"/>
            </w:tcBorders>
            <w:noWrap/>
            <w:vAlign w:val="center"/>
          </w:tcPr>
          <w:p w:rsidR="002F336C" w:rsidRDefault="004D2499">
            <w:pPr>
              <w:widowControl/>
              <w:jc w:val="center"/>
              <w:rPr>
                <w:rFonts w:ascii="仿宋_GB2312" w:eastAsia="仿宋_GB2312" w:cs="宋体"/>
                <w:kern w:val="0"/>
                <w:sz w:val="28"/>
                <w:szCs w:val="28"/>
              </w:rPr>
            </w:pPr>
            <w:r>
              <w:rPr>
                <w:rFonts w:ascii="仿宋_GB2312" w:eastAsia="仿宋_GB2312" w:cs="宋体" w:hint="eastAsia"/>
                <w:kern w:val="0"/>
                <w:sz w:val="28"/>
                <w:szCs w:val="28"/>
              </w:rPr>
              <w:t>4</w:t>
            </w:r>
            <w:r>
              <w:rPr>
                <w:rFonts w:ascii="仿宋_GB2312" w:eastAsia="仿宋_GB2312" w:cs="宋体" w:hint="eastAsia"/>
                <w:kern w:val="0"/>
                <w:sz w:val="28"/>
                <w:szCs w:val="28"/>
              </w:rPr>
              <w:t>、其他固定资产</w:t>
            </w:r>
          </w:p>
        </w:tc>
        <w:tc>
          <w:tcPr>
            <w:tcW w:w="2680" w:type="dxa"/>
            <w:tcBorders>
              <w:top w:val="single" w:sz="4" w:space="0" w:color="auto"/>
              <w:left w:val="single" w:sz="4" w:space="0" w:color="auto"/>
              <w:bottom w:val="single" w:sz="4" w:space="0" w:color="auto"/>
              <w:right w:val="single" w:sz="4" w:space="0" w:color="auto"/>
            </w:tcBorders>
            <w:noWrap/>
            <w:vAlign w:val="center"/>
          </w:tcPr>
          <w:p w:rsidR="002F336C" w:rsidRDefault="004D2499">
            <w:pPr>
              <w:widowControl/>
              <w:jc w:val="center"/>
              <w:rPr>
                <w:rFonts w:ascii="宋体" w:eastAsia="仿宋_GB2312" w:hAnsi="宋体" w:cs="宋体"/>
                <w:kern w:val="0"/>
                <w:sz w:val="28"/>
                <w:szCs w:val="28"/>
              </w:rPr>
            </w:pPr>
            <w:r>
              <w:rPr>
                <w:rFonts w:ascii="宋体" w:eastAsia="仿宋_GB2312" w:hAnsi="宋体" w:cs="宋体"/>
                <w:kern w:val="0"/>
                <w:sz w:val="28"/>
                <w:szCs w:val="28"/>
              </w:rPr>
              <w:t> </w:t>
            </w:r>
          </w:p>
        </w:tc>
        <w:tc>
          <w:tcPr>
            <w:tcW w:w="3635" w:type="dxa"/>
            <w:tcBorders>
              <w:top w:val="single" w:sz="4" w:space="0" w:color="auto"/>
              <w:left w:val="single" w:sz="4" w:space="0" w:color="auto"/>
              <w:bottom w:val="single" w:sz="4" w:space="0" w:color="auto"/>
              <w:right w:val="single" w:sz="4" w:space="0" w:color="auto"/>
            </w:tcBorders>
            <w:noWrap/>
            <w:vAlign w:val="center"/>
          </w:tcPr>
          <w:p w:rsidR="002F336C" w:rsidRDefault="004D2499">
            <w:pPr>
              <w:widowControl/>
              <w:jc w:val="center"/>
              <w:rPr>
                <w:rFonts w:ascii="仿宋_GB2312" w:eastAsia="仿宋_GB2312" w:cs="宋体"/>
                <w:kern w:val="0"/>
                <w:sz w:val="28"/>
                <w:szCs w:val="28"/>
              </w:rPr>
            </w:pPr>
            <w:r>
              <w:rPr>
                <w:rFonts w:ascii="仿宋_GB2312" w:eastAsia="仿宋_GB2312" w:cs="宋体" w:hint="eastAsia"/>
                <w:kern w:val="0"/>
                <w:sz w:val="28"/>
                <w:szCs w:val="28"/>
              </w:rPr>
              <w:t>0.00</w:t>
            </w:r>
          </w:p>
        </w:tc>
      </w:tr>
    </w:tbl>
    <w:p w:rsidR="002F336C" w:rsidRDefault="002F336C">
      <w:pPr>
        <w:pStyle w:val="Default"/>
        <w:rPr>
          <w:rFonts w:ascii="黑体" w:eastAsia="黑体" w:cs="宋体"/>
          <w:b/>
          <w:bCs/>
          <w:sz w:val="32"/>
          <w:szCs w:val="32"/>
        </w:rPr>
      </w:pPr>
    </w:p>
    <w:p w:rsidR="002F336C" w:rsidRDefault="004D2499">
      <w:pPr>
        <w:pStyle w:val="Default"/>
        <w:rPr>
          <w:rFonts w:ascii="仿宋_GB2312" w:eastAsia="仿宋_GB2312"/>
          <w:b/>
          <w:bCs/>
          <w:sz w:val="32"/>
          <w:szCs w:val="32"/>
        </w:rPr>
      </w:pPr>
      <w:r>
        <w:rPr>
          <w:rFonts w:ascii="黑体" w:eastAsia="黑体" w:cs="宋体" w:hint="eastAsia"/>
          <w:b/>
          <w:bCs/>
          <w:sz w:val="32"/>
          <w:szCs w:val="32"/>
        </w:rPr>
        <w:lastRenderedPageBreak/>
        <w:t>八、名词解释</w:t>
      </w:r>
      <w:r>
        <w:rPr>
          <w:rFonts w:ascii="黑体" w:eastAsia="黑体" w:cs="宋体" w:hint="eastAsia"/>
          <w:sz w:val="32"/>
          <w:szCs w:val="32"/>
        </w:rPr>
        <w:br/>
      </w:r>
      <w:r>
        <w:rPr>
          <w:rFonts w:hint="eastAsia"/>
          <w:b/>
          <w:bCs/>
          <w:sz w:val="32"/>
          <w:szCs w:val="32"/>
        </w:rPr>
        <w:t xml:space="preserve"> </w:t>
      </w:r>
      <w:r>
        <w:rPr>
          <w:b/>
          <w:bCs/>
          <w:sz w:val="32"/>
          <w:szCs w:val="32"/>
        </w:rPr>
        <w:t xml:space="preserve">   </w:t>
      </w:r>
      <w:r>
        <w:rPr>
          <w:rFonts w:ascii="仿宋_GB2312" w:eastAsia="仿宋_GB2312" w:hint="eastAsia"/>
          <w:b/>
          <w:bCs/>
          <w:sz w:val="32"/>
          <w:szCs w:val="32"/>
        </w:rPr>
        <w:t>1</w:t>
      </w:r>
      <w:r>
        <w:rPr>
          <w:rFonts w:ascii="仿宋_GB2312" w:eastAsia="仿宋_GB2312" w:cs="FZFangSong-Z02" w:hint="eastAsia"/>
          <w:sz w:val="32"/>
          <w:szCs w:val="32"/>
        </w:rPr>
        <w:t>、一般公共预算拨款收入：指市级财政当年拨付的资金。</w:t>
      </w:r>
    </w:p>
    <w:p w:rsidR="002F336C" w:rsidRDefault="004D2499">
      <w:pPr>
        <w:pStyle w:val="Default"/>
        <w:rPr>
          <w:rFonts w:ascii="仿宋_GB2312" w:eastAsia="仿宋_GB2312" w:cs="FZFangSong-Z02"/>
          <w:sz w:val="32"/>
          <w:szCs w:val="32"/>
        </w:rPr>
      </w:pPr>
      <w:r>
        <w:rPr>
          <w:rFonts w:ascii="仿宋_GB2312" w:eastAsia="仿宋_GB2312" w:hint="eastAsia"/>
          <w:b/>
          <w:bCs/>
          <w:sz w:val="32"/>
          <w:szCs w:val="32"/>
        </w:rPr>
        <w:t xml:space="preserve">    2</w:t>
      </w:r>
      <w:r>
        <w:rPr>
          <w:rFonts w:ascii="仿宋_GB2312" w:eastAsia="仿宋_GB2312" w:cs="FZFangSong-Z02" w:hint="eastAsia"/>
          <w:sz w:val="32"/>
          <w:szCs w:val="32"/>
        </w:rPr>
        <w:t>、事业收入：指事业单位开展专业业务活动及辅助活动所取得的收入。</w:t>
      </w:r>
    </w:p>
    <w:p w:rsidR="002F336C" w:rsidRDefault="004D2499">
      <w:pPr>
        <w:pStyle w:val="Default"/>
        <w:rPr>
          <w:rFonts w:ascii="仿宋_GB2312" w:eastAsia="仿宋_GB2312" w:cs="FZFangSong-Z02"/>
          <w:sz w:val="32"/>
          <w:szCs w:val="32"/>
        </w:rPr>
      </w:pPr>
      <w:r>
        <w:rPr>
          <w:rFonts w:ascii="仿宋_GB2312" w:eastAsia="仿宋_GB2312" w:hint="eastAsia"/>
          <w:b/>
          <w:bCs/>
          <w:sz w:val="32"/>
          <w:szCs w:val="32"/>
        </w:rPr>
        <w:t xml:space="preserve">    3</w:t>
      </w:r>
      <w:r>
        <w:rPr>
          <w:rFonts w:ascii="仿宋_GB2312" w:eastAsia="仿宋_GB2312" w:cs="FZFangSong-Z02" w:hint="eastAsia"/>
          <w:sz w:val="32"/>
          <w:szCs w:val="32"/>
        </w:rPr>
        <w:t>、其他收入：指除上述</w:t>
      </w:r>
      <w:r>
        <w:rPr>
          <w:rFonts w:ascii="仿宋_GB2312" w:eastAsia="仿宋_GB2312" w:hint="eastAsia"/>
          <w:sz w:val="32"/>
          <w:szCs w:val="32"/>
        </w:rPr>
        <w:t>“</w:t>
      </w:r>
      <w:r>
        <w:rPr>
          <w:rFonts w:ascii="仿宋_GB2312" w:eastAsia="仿宋_GB2312" w:cs="FZFangSong-Z02" w:hint="eastAsia"/>
          <w:sz w:val="32"/>
          <w:szCs w:val="32"/>
        </w:rPr>
        <w:t>财政拨款收入</w:t>
      </w:r>
      <w:r>
        <w:rPr>
          <w:rFonts w:ascii="仿宋_GB2312" w:eastAsia="仿宋_GB2312" w:hint="eastAsia"/>
          <w:sz w:val="32"/>
          <w:szCs w:val="32"/>
        </w:rPr>
        <w:t>”</w:t>
      </w:r>
      <w:r>
        <w:rPr>
          <w:rFonts w:ascii="仿宋_GB2312" w:eastAsia="仿宋_GB2312" w:cs="FZFangSong-Z02" w:hint="eastAsia"/>
          <w:sz w:val="32"/>
          <w:szCs w:val="32"/>
        </w:rPr>
        <w:t>、</w:t>
      </w:r>
      <w:r>
        <w:rPr>
          <w:rFonts w:ascii="仿宋_GB2312" w:eastAsia="仿宋_GB2312" w:hint="eastAsia"/>
          <w:sz w:val="32"/>
          <w:szCs w:val="32"/>
        </w:rPr>
        <w:t>“</w:t>
      </w:r>
      <w:r>
        <w:rPr>
          <w:rFonts w:ascii="仿宋_GB2312" w:eastAsia="仿宋_GB2312" w:cs="FZFangSong-Z02" w:hint="eastAsia"/>
          <w:sz w:val="32"/>
          <w:szCs w:val="32"/>
        </w:rPr>
        <w:t>事业收入</w:t>
      </w:r>
      <w:r>
        <w:rPr>
          <w:rFonts w:ascii="仿宋_GB2312" w:eastAsia="仿宋_GB2312" w:hint="eastAsia"/>
          <w:sz w:val="32"/>
          <w:szCs w:val="32"/>
        </w:rPr>
        <w:t>”</w:t>
      </w:r>
      <w:r>
        <w:rPr>
          <w:rFonts w:ascii="仿宋_GB2312" w:eastAsia="仿宋_GB2312" w:cs="FZFangSong-Z02" w:hint="eastAsia"/>
          <w:sz w:val="32"/>
          <w:szCs w:val="32"/>
        </w:rPr>
        <w:t>等以外的收入。主要是按规定动用的租房收入、存款利息收入等。</w:t>
      </w:r>
    </w:p>
    <w:p w:rsidR="002F336C" w:rsidRDefault="004D2499">
      <w:pPr>
        <w:pStyle w:val="Default"/>
        <w:rPr>
          <w:rFonts w:ascii="仿宋_GB2312" w:eastAsia="仿宋_GB2312" w:cs="FZFangSong-Z02"/>
          <w:sz w:val="32"/>
          <w:szCs w:val="32"/>
        </w:rPr>
      </w:pPr>
      <w:r>
        <w:rPr>
          <w:rFonts w:ascii="仿宋_GB2312" w:eastAsia="仿宋_GB2312" w:hint="eastAsia"/>
          <w:b/>
          <w:bCs/>
          <w:sz w:val="32"/>
          <w:szCs w:val="32"/>
        </w:rPr>
        <w:t xml:space="preserve">    4</w:t>
      </w:r>
      <w:r>
        <w:rPr>
          <w:rFonts w:ascii="仿宋_GB2312" w:eastAsia="仿宋_GB2312" w:cs="FZFangSong-Z02" w:hint="eastAsia"/>
          <w:sz w:val="32"/>
          <w:szCs w:val="32"/>
        </w:rPr>
        <w:t>、基本支出：</w:t>
      </w:r>
      <w:r>
        <w:rPr>
          <w:rFonts w:ascii="仿宋_GB2312" w:eastAsia="仿宋_GB2312" w:hint="eastAsia"/>
          <w:sz w:val="32"/>
          <w:szCs w:val="32"/>
        </w:rPr>
        <w:t>指为保障机构正常运转、完成日常工作任务而发生的人员支出和公用支出。</w:t>
      </w:r>
    </w:p>
    <w:p w:rsidR="002F336C" w:rsidRDefault="004D2499">
      <w:pPr>
        <w:rPr>
          <w:rFonts w:ascii="仿宋_GB2312" w:eastAsia="仿宋_GB2312"/>
          <w:sz w:val="32"/>
          <w:szCs w:val="32"/>
        </w:rPr>
      </w:pPr>
      <w:r>
        <w:rPr>
          <w:rFonts w:ascii="仿宋_GB2312" w:eastAsia="仿宋_GB2312" w:hint="eastAsia"/>
          <w:b/>
          <w:bCs/>
          <w:sz w:val="32"/>
          <w:szCs w:val="32"/>
        </w:rPr>
        <w:t xml:space="preserve">    5</w:t>
      </w:r>
      <w:r>
        <w:rPr>
          <w:rFonts w:ascii="仿宋_GB2312" w:eastAsia="仿宋_GB2312" w:cs="FZFangSong-Z02" w:hint="eastAsia"/>
          <w:sz w:val="32"/>
          <w:szCs w:val="32"/>
        </w:rPr>
        <w:t>、项目支出：</w:t>
      </w:r>
      <w:r>
        <w:rPr>
          <w:rFonts w:ascii="仿宋_GB2312" w:eastAsia="仿宋_GB2312" w:hint="eastAsia"/>
          <w:sz w:val="32"/>
          <w:szCs w:val="32"/>
        </w:rPr>
        <w:t>指在基本支出之外为完成特定行政任务和事业发展目标所发生的支出。</w:t>
      </w:r>
    </w:p>
    <w:p w:rsidR="002F336C" w:rsidRDefault="004D2499">
      <w:pPr>
        <w:pStyle w:val="Default"/>
        <w:rPr>
          <w:rFonts w:ascii="仿宋_GB2312" w:eastAsia="仿宋_GB2312"/>
          <w:sz w:val="32"/>
          <w:szCs w:val="32"/>
        </w:rPr>
      </w:pPr>
      <w:r>
        <w:rPr>
          <w:rFonts w:ascii="仿宋_GB2312" w:eastAsia="仿宋_GB2312" w:hint="eastAsia"/>
          <w:b/>
          <w:bCs/>
          <w:sz w:val="32"/>
          <w:szCs w:val="32"/>
        </w:rPr>
        <w:t xml:space="preserve">    6</w:t>
      </w:r>
      <w:r>
        <w:rPr>
          <w:rFonts w:ascii="仿宋_GB2312" w:eastAsia="仿宋_GB2312" w:cs="FZFangSong-Z02" w:hint="eastAsia"/>
          <w:sz w:val="32"/>
          <w:szCs w:val="32"/>
        </w:rPr>
        <w:t>、上缴上级支出：</w:t>
      </w:r>
      <w:r>
        <w:rPr>
          <w:rFonts w:ascii="仿宋_GB2312" w:eastAsia="仿宋_GB2312" w:hint="eastAsia"/>
          <w:sz w:val="32"/>
          <w:szCs w:val="32"/>
        </w:rPr>
        <w:t>指下级单位上缴上级的支出。</w:t>
      </w:r>
    </w:p>
    <w:p w:rsidR="002F336C" w:rsidRDefault="004D2499">
      <w:pPr>
        <w:pStyle w:val="Default"/>
        <w:rPr>
          <w:rFonts w:ascii="仿宋_GB2312" w:eastAsia="仿宋_GB2312" w:cs="FZFangSong-Z02"/>
          <w:sz w:val="32"/>
          <w:szCs w:val="32"/>
        </w:rPr>
      </w:pPr>
      <w:r>
        <w:rPr>
          <w:rFonts w:ascii="仿宋_GB2312" w:eastAsia="仿宋_GB2312" w:hint="eastAsia"/>
          <w:b/>
          <w:bCs/>
          <w:sz w:val="32"/>
          <w:szCs w:val="32"/>
        </w:rPr>
        <w:t xml:space="preserve">    7</w:t>
      </w:r>
      <w:r>
        <w:rPr>
          <w:rFonts w:ascii="仿宋_GB2312" w:eastAsia="仿宋_GB2312" w:cs="FZFangSong-Z02" w:hint="eastAsia"/>
          <w:sz w:val="32"/>
          <w:szCs w:val="32"/>
        </w:rPr>
        <w:t>、</w:t>
      </w:r>
      <w:r>
        <w:rPr>
          <w:rFonts w:ascii="仿宋_GB2312" w:eastAsia="仿宋_GB2312" w:hint="eastAsia"/>
          <w:b/>
          <w:bCs/>
          <w:sz w:val="32"/>
          <w:szCs w:val="32"/>
        </w:rPr>
        <w:t>“</w:t>
      </w:r>
      <w:r>
        <w:rPr>
          <w:rFonts w:ascii="仿宋_GB2312" w:eastAsia="仿宋_GB2312" w:cs="FZFangSong-Z02" w:hint="eastAsia"/>
          <w:sz w:val="32"/>
          <w:szCs w:val="32"/>
        </w:rPr>
        <w:t>三公</w:t>
      </w:r>
      <w:r>
        <w:rPr>
          <w:rFonts w:ascii="仿宋_GB2312" w:eastAsia="仿宋_GB2312" w:hint="eastAsia"/>
          <w:b/>
          <w:bCs/>
          <w:sz w:val="32"/>
          <w:szCs w:val="32"/>
        </w:rPr>
        <w:t>”</w:t>
      </w:r>
      <w:r>
        <w:rPr>
          <w:rFonts w:ascii="仿宋_GB2312" w:eastAsia="仿宋_GB2312" w:cs="FZFangSong-Z02" w:hint="eastAsia"/>
          <w:sz w:val="32"/>
          <w:szCs w:val="32"/>
        </w:rPr>
        <w:t>经费：纳入市级财政预算管理的</w:t>
      </w:r>
      <w:r>
        <w:rPr>
          <w:rFonts w:ascii="仿宋_GB2312" w:eastAsia="仿宋_GB2312" w:hint="eastAsia"/>
          <w:sz w:val="32"/>
          <w:szCs w:val="32"/>
        </w:rPr>
        <w:t>“</w:t>
      </w:r>
      <w:r>
        <w:rPr>
          <w:rFonts w:ascii="仿宋_GB2312" w:eastAsia="仿宋_GB2312" w:cs="FZFangSong-Z02" w:hint="eastAsia"/>
          <w:sz w:val="32"/>
          <w:szCs w:val="32"/>
        </w:rPr>
        <w:t>三公</w:t>
      </w:r>
      <w:r>
        <w:rPr>
          <w:rFonts w:ascii="仿宋_GB2312" w:eastAsia="仿宋_GB2312" w:hint="eastAsia"/>
          <w:sz w:val="32"/>
          <w:szCs w:val="32"/>
        </w:rPr>
        <w:t>”</w:t>
      </w:r>
      <w:r>
        <w:rPr>
          <w:rFonts w:ascii="仿宋_GB2312" w:eastAsia="仿宋_GB2312" w:cs="FZFangSong-Z02" w:hint="eastAsia"/>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2F336C" w:rsidRDefault="004D2499">
      <w:pPr>
        <w:rPr>
          <w:rFonts w:ascii="仿宋_GB2312" w:eastAsia="仿宋_GB2312" w:cs="FZFangSong-Z02"/>
          <w:sz w:val="32"/>
          <w:szCs w:val="32"/>
        </w:rPr>
      </w:pPr>
      <w:r>
        <w:rPr>
          <w:rFonts w:ascii="仿宋_GB2312" w:eastAsia="仿宋_GB2312" w:hint="eastAsia"/>
          <w:b/>
          <w:bCs/>
          <w:sz w:val="32"/>
          <w:szCs w:val="32"/>
        </w:rPr>
        <w:t xml:space="preserve">    8</w:t>
      </w:r>
      <w:r>
        <w:rPr>
          <w:rFonts w:ascii="仿宋_GB2312" w:eastAsia="仿宋_GB2312" w:cs="FZFangSong-Z02" w:hint="eastAsia"/>
          <w:sz w:val="32"/>
          <w:szCs w:val="32"/>
        </w:rPr>
        <w:t>、机关运行费：为保障行政单位（包括参照公务员法管理的事业单位）运行用于购买货物</w:t>
      </w:r>
      <w:r>
        <w:rPr>
          <w:rFonts w:ascii="仿宋_GB2312" w:eastAsia="仿宋_GB2312" w:cs="FZFangSong-Z02" w:hint="eastAsia"/>
          <w:sz w:val="32"/>
          <w:szCs w:val="32"/>
        </w:rPr>
        <w:lastRenderedPageBreak/>
        <w:t>和服务的各项资金，包括办公及印刷费、邮</w:t>
      </w:r>
      <w:r>
        <w:rPr>
          <w:rFonts w:ascii="仿宋_GB2312" w:eastAsia="仿宋_GB2312" w:cs="FZFangSong-Z02" w:hint="eastAsia"/>
          <w:sz w:val="32"/>
          <w:szCs w:val="32"/>
        </w:rPr>
        <w:t>电费、差旅费、会议费、福利费、日常维修费、专用材料及一般设备购置费、办公用房水电费、办公用房取暖费、办公用房物业管理费、公务用车运行维护费以及</w:t>
      </w:r>
      <w:r>
        <w:rPr>
          <w:rFonts w:ascii="仿宋_GB2312" w:eastAsia="仿宋_GB2312" w:hint="eastAsia"/>
          <w:sz w:val="32"/>
          <w:szCs w:val="32"/>
        </w:rPr>
        <w:t>其他费用。</w:t>
      </w:r>
    </w:p>
    <w:p w:rsidR="002F336C" w:rsidRDefault="004D2499">
      <w:pPr>
        <w:widowControl/>
        <w:spacing w:line="360" w:lineRule="atLeast"/>
        <w:jc w:val="left"/>
        <w:rPr>
          <w:rFonts w:ascii="仿宋_GB2312" w:eastAsia="仿宋_GB2312" w:cs="宋体"/>
          <w:color w:val="000000"/>
          <w:kern w:val="0"/>
          <w:sz w:val="32"/>
          <w:szCs w:val="32"/>
        </w:rPr>
      </w:pPr>
      <w:r>
        <w:rPr>
          <w:rFonts w:ascii="黑体" w:eastAsia="黑体" w:cs="宋体" w:hint="eastAsia"/>
          <w:b/>
          <w:bCs/>
          <w:color w:val="000000"/>
          <w:kern w:val="0"/>
          <w:sz w:val="32"/>
          <w:szCs w:val="32"/>
        </w:rPr>
        <w:t>九、其它需要说明的事项</w:t>
      </w:r>
      <w:r>
        <w:rPr>
          <w:rFonts w:ascii="黑体" w:eastAsia="黑体"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cs="宋体" w:hint="eastAsia"/>
          <w:color w:val="000000"/>
          <w:kern w:val="0"/>
          <w:sz w:val="32"/>
          <w:szCs w:val="32"/>
        </w:rPr>
        <w:t>无其它需要说明的事项。</w:t>
      </w:r>
    </w:p>
    <w:p w:rsidR="002F336C" w:rsidRDefault="002F336C">
      <w:pPr>
        <w:rPr>
          <w:rFonts w:ascii="仿宋_GB2312" w:eastAsia="仿宋_GB2312"/>
          <w:sz w:val="32"/>
          <w:szCs w:val="32"/>
        </w:rPr>
      </w:pPr>
    </w:p>
    <w:sectPr w:rsidR="002F336C" w:rsidSect="002F336C">
      <w:pgSz w:w="16838" w:h="11906" w:orient="landscape"/>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499" w:rsidRDefault="004D2499" w:rsidP="00241B35">
      <w:r>
        <w:separator/>
      </w:r>
    </w:p>
  </w:endnote>
  <w:endnote w:type="continuationSeparator" w:id="1">
    <w:p w:rsidR="004D2499" w:rsidRDefault="004D2499" w:rsidP="00241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00" w:usb3="00000000" w:csb0="00040000" w:csb1="00000000"/>
  </w:font>
  <w:font w:name="仿宋_GB2312">
    <w:altName w:val="Arial Unicode MS"/>
    <w:charset w:val="86"/>
    <w:family w:val="auto"/>
    <w:pitch w:val="variable"/>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variable"/>
    <w:sig w:usb0="00000000" w:usb1="080E0000" w:usb2="00000000" w:usb3="00000000" w:csb0="00040000" w:csb1="00000000"/>
  </w:font>
  <w:font w:name="FZFangSong-Z02">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499" w:rsidRDefault="004D2499" w:rsidP="00241B35">
      <w:r>
        <w:separator/>
      </w:r>
    </w:p>
  </w:footnote>
  <w:footnote w:type="continuationSeparator" w:id="1">
    <w:p w:rsidR="004D2499" w:rsidRDefault="004D2499" w:rsidP="00241B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2F336C"/>
    <w:rsid w:val="00241B35"/>
    <w:rsid w:val="002F336C"/>
    <w:rsid w:val="004D24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336C"/>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336C"/>
    <w:pPr>
      <w:pBdr>
        <w:bottom w:val="single" w:sz="6" w:space="1" w:color="auto"/>
      </w:pBdr>
      <w:tabs>
        <w:tab w:val="center" w:pos="4153"/>
        <w:tab w:val="right" w:pos="8306"/>
      </w:tabs>
      <w:snapToGrid w:val="0"/>
      <w:jc w:val="center"/>
    </w:pPr>
    <w:rPr>
      <w:sz w:val="18"/>
      <w:szCs w:val="18"/>
    </w:rPr>
  </w:style>
  <w:style w:type="paragraph" w:styleId="a4">
    <w:name w:val="footer"/>
    <w:basedOn w:val="a"/>
    <w:rsid w:val="002F336C"/>
    <w:pPr>
      <w:tabs>
        <w:tab w:val="center" w:pos="4153"/>
        <w:tab w:val="right" w:pos="8306"/>
      </w:tabs>
      <w:snapToGrid w:val="0"/>
      <w:jc w:val="left"/>
    </w:pPr>
    <w:rPr>
      <w:sz w:val="18"/>
      <w:szCs w:val="18"/>
    </w:rPr>
  </w:style>
  <w:style w:type="character" w:styleId="a5">
    <w:name w:val="Strong"/>
    <w:basedOn w:val="a0"/>
    <w:rsid w:val="002F336C"/>
    <w:rPr>
      <w:b/>
      <w:bCs/>
    </w:rPr>
  </w:style>
  <w:style w:type="character" w:customStyle="1" w:styleId="apple-converted-space">
    <w:name w:val="apple-converted-space"/>
    <w:basedOn w:val="a0"/>
    <w:rsid w:val="002F336C"/>
  </w:style>
  <w:style w:type="paragraph" w:customStyle="1" w:styleId="Default">
    <w:name w:val="Default"/>
    <w:next w:val="a3"/>
    <w:rsid w:val="002F336C"/>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1166</Words>
  <Characters>6647</Characters>
  <Application>Microsoft Office Word</Application>
  <DocSecurity>0</DocSecurity>
  <Lines>55</Lines>
  <Paragraphs>15</Paragraphs>
  <ScaleCrop>false</ScaleCrop>
  <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2017-10-27T09:49:00Z</dcterms:created>
  <dcterms:modified xsi:type="dcterms:W3CDTF">2017-03-14T06:38:00Z</dcterms:modified>
</cp:coreProperties>
</file>