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5E" w:rsidRDefault="00DA26BF">
      <w:pPr>
        <w:widowControl/>
        <w:spacing w:line="360" w:lineRule="atLeast"/>
        <w:jc w:val="center"/>
        <w:rPr>
          <w:rFonts w:ascii="方正小标宋简体" w:eastAsia="方正小标宋简体" w:cs="宋体"/>
          <w:color w:val="000000"/>
          <w:kern w:val="0"/>
          <w:sz w:val="44"/>
          <w:szCs w:val="44"/>
        </w:rPr>
      </w:pPr>
      <w:r>
        <w:rPr>
          <w:rFonts w:ascii="方正小标宋简体" w:eastAsia="方正小标宋简体" w:cs="宋体" w:hint="eastAsia"/>
          <w:color w:val="000000"/>
          <w:kern w:val="0"/>
          <w:sz w:val="44"/>
          <w:szCs w:val="44"/>
        </w:rPr>
        <w:t>廊坊市广阳区人民检察院</w:t>
      </w:r>
      <w:r>
        <w:rPr>
          <w:rFonts w:ascii="方正小标宋简体" w:eastAsia="方正小标宋简体" w:cs="宋体" w:hint="eastAsia"/>
          <w:color w:val="000000"/>
          <w:kern w:val="0"/>
          <w:sz w:val="44"/>
          <w:szCs w:val="44"/>
        </w:rPr>
        <w:t>2017</w:t>
      </w:r>
      <w:r>
        <w:rPr>
          <w:rFonts w:ascii="方正小标宋简体" w:eastAsia="方正小标宋简体" w:cs="宋体" w:hint="eastAsia"/>
          <w:color w:val="000000"/>
          <w:kern w:val="0"/>
          <w:sz w:val="44"/>
          <w:szCs w:val="44"/>
        </w:rPr>
        <w:t>年部门预算</w:t>
      </w:r>
      <w:r>
        <w:rPr>
          <w:rFonts w:ascii="方正小标宋简体" w:eastAsia="方正小标宋简体" w:cs="宋体"/>
          <w:color w:val="000000"/>
          <w:kern w:val="0"/>
          <w:sz w:val="44"/>
          <w:szCs w:val="44"/>
        </w:rPr>
        <w:t>信息</w:t>
      </w:r>
      <w:r>
        <w:rPr>
          <w:rFonts w:ascii="方正小标宋简体" w:eastAsia="方正小标宋简体" w:cs="宋体" w:hint="eastAsia"/>
          <w:color w:val="000000"/>
          <w:kern w:val="0"/>
          <w:sz w:val="44"/>
          <w:szCs w:val="44"/>
        </w:rPr>
        <w:t>公开</w:t>
      </w:r>
    </w:p>
    <w:p w:rsidR="00C2325E" w:rsidRDefault="00C2325E">
      <w:pPr>
        <w:widowControl/>
        <w:spacing w:line="360" w:lineRule="atLeast"/>
        <w:jc w:val="center"/>
        <w:rPr>
          <w:rFonts w:ascii="方正小标宋简体" w:eastAsia="方正小标宋简体" w:cs="宋体"/>
          <w:color w:val="000000"/>
          <w:kern w:val="0"/>
          <w:sz w:val="44"/>
          <w:szCs w:val="44"/>
        </w:rPr>
      </w:pPr>
    </w:p>
    <w:p w:rsidR="00C2325E" w:rsidRDefault="00DA26BF">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按照《预算法》、《地方预决算公开操作规程》和《河北省省级预算公开办法》规定，现将廊坊市广阳区人民检察院</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年部门预算公开如下：</w:t>
      </w:r>
    </w:p>
    <w:p w:rsidR="00C2325E" w:rsidRDefault="00DA26BF">
      <w:pPr>
        <w:widowControl/>
        <w:numPr>
          <w:ilvl w:val="0"/>
          <w:numId w:val="1"/>
        </w:numPr>
        <w:jc w:val="left"/>
        <w:rPr>
          <w:rFonts w:ascii="黑体" w:eastAsia="黑体" w:cs="宋体"/>
          <w:color w:val="000000"/>
          <w:kern w:val="0"/>
          <w:sz w:val="32"/>
          <w:szCs w:val="32"/>
        </w:rPr>
      </w:pPr>
      <w:r>
        <w:rPr>
          <w:rFonts w:ascii="黑体" w:eastAsia="黑体" w:cs="宋体" w:hint="eastAsia"/>
          <w:color w:val="000000"/>
          <w:kern w:val="0"/>
          <w:sz w:val="32"/>
          <w:szCs w:val="32"/>
        </w:rPr>
        <w:t>部门职责及机构设置情况</w:t>
      </w:r>
      <w:r w:rsidR="001A0E2A">
        <w:rPr>
          <w:rFonts w:ascii="黑体" w:eastAsia="黑体" w:cs="宋体" w:hint="eastAsia"/>
          <w:color w:val="000000"/>
          <w:kern w:val="0"/>
          <w:sz w:val="32"/>
          <w:szCs w:val="32"/>
        </w:rPr>
        <w:t xml:space="preserve">  </w:t>
      </w:r>
    </w:p>
    <w:p w:rsidR="00C2325E" w:rsidRDefault="00DA26BF">
      <w:pPr>
        <w:widowControl/>
        <w:ind w:left="540"/>
        <w:jc w:val="left"/>
        <w:rPr>
          <w:rFonts w:ascii="仿宋_GB2312" w:eastAsia="仿宋_GB2312" w:cs="宋体"/>
          <w:color w:val="000000"/>
          <w:kern w:val="0"/>
          <w:sz w:val="32"/>
          <w:szCs w:val="32"/>
        </w:rPr>
      </w:pPr>
      <w:r>
        <w:rPr>
          <w:rFonts w:ascii="仿宋_GB2312" w:eastAsia="仿宋_GB2312" w:cs="宋体" w:hint="eastAsia"/>
          <w:b/>
          <w:bCs/>
          <w:color w:val="000000"/>
          <w:kern w:val="0"/>
          <w:sz w:val="32"/>
          <w:szCs w:val="32"/>
        </w:rPr>
        <w:t>部门职责：</w:t>
      </w:r>
    </w:p>
    <w:p w:rsidR="00C2325E" w:rsidRDefault="00DA26BF">
      <w:pPr>
        <w:widowControl/>
        <w:ind w:left="5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、依法向广阳区人民代表大会及其常务委员提出议案。</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、认真贯彻执行上级检察院的工作部署，结合本区实际，采取相关措施，完成本区检察工作任务。</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3</w:t>
      </w:r>
      <w:r>
        <w:rPr>
          <w:rFonts w:ascii="仿宋_GB2312" w:eastAsia="仿宋_GB2312" w:cs="宋体" w:hint="eastAsia"/>
          <w:color w:val="000000"/>
          <w:kern w:val="0"/>
          <w:sz w:val="32"/>
          <w:szCs w:val="32"/>
        </w:rPr>
        <w:t>、依法对辖区内的贪污贿赂犯罪、国家工作人员渎职犯罪和国家机关工作人员利用职权实施的非法拘禁、刑讯逼供、报复陷害、非法搜查等侵犯公民人身权利与侵犯公民民主权利的犯罪以及国家机关工作人员利用职权实施的其他犯罪案件进行侦查。</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4</w:t>
      </w:r>
      <w:r>
        <w:rPr>
          <w:rFonts w:ascii="仿宋_GB2312" w:eastAsia="仿宋_GB2312" w:cs="宋体" w:hint="eastAsia"/>
          <w:color w:val="000000"/>
          <w:kern w:val="0"/>
          <w:sz w:val="32"/>
          <w:szCs w:val="32"/>
        </w:rPr>
        <w:t>、对辖区内刑事犯罪案件依法审查批捕、提起公诉，依法对公安机关的立案侦查活动实行法律监督，并对本区同级人民法院开庭审理的案件依法派员出席法庭，履行法律监督职责。掌握社会治安动态，参与社会治安综合治理。</w:t>
      </w:r>
      <w:r>
        <w:rPr>
          <w:rFonts w:ascii="仿宋_GB2312" w:eastAsia="仿宋_GB2312" w:cs="宋体" w:hint="eastAsia"/>
          <w:color w:val="000000"/>
          <w:kern w:val="0"/>
          <w:sz w:val="32"/>
          <w:szCs w:val="32"/>
        </w:rPr>
        <w:br/>
        <w:t>5</w:t>
      </w:r>
      <w:r>
        <w:rPr>
          <w:rFonts w:ascii="仿宋_GB2312" w:eastAsia="仿宋_GB2312" w:cs="宋体" w:hint="eastAsia"/>
          <w:color w:val="000000"/>
          <w:kern w:val="0"/>
          <w:sz w:val="32"/>
          <w:szCs w:val="32"/>
        </w:rPr>
        <w:t>、依法对刑事审判实行法律监督，对确有错误的刑事判决、裁定，依法提请上级人民检察院抗诉。</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6</w:t>
      </w:r>
      <w:r>
        <w:rPr>
          <w:rFonts w:ascii="仿宋_GB2312" w:eastAsia="仿宋_GB2312" w:cs="宋体" w:hint="eastAsia"/>
          <w:color w:val="000000"/>
          <w:kern w:val="0"/>
          <w:sz w:val="32"/>
          <w:szCs w:val="32"/>
        </w:rPr>
        <w:t>、依法对民事、行政审判实行法律监督，受理审查单位、公民不服人民法院已经发生法律效力的民事、经济、行政判决、裁定的案件，对确错误的判决和裁定，依法建议、提请上级院抗诉。</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7</w:t>
      </w:r>
      <w:r>
        <w:rPr>
          <w:rFonts w:ascii="仿宋_GB2312" w:eastAsia="仿宋_GB2312" w:cs="宋体" w:hint="eastAsia"/>
          <w:color w:val="000000"/>
          <w:kern w:val="0"/>
          <w:sz w:val="32"/>
          <w:szCs w:val="32"/>
        </w:rPr>
        <w:t>、依法对执行机关执行刑罚的活动是否合法实行监督。依法对看守所、劳教所的监管活动进行监督，并负责本辖区内监外服刑罪犯的考察工作。</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8</w:t>
      </w:r>
      <w:r>
        <w:rPr>
          <w:rFonts w:ascii="仿宋_GB2312" w:eastAsia="仿宋_GB2312" w:cs="宋体" w:hint="eastAsia"/>
          <w:color w:val="000000"/>
          <w:kern w:val="0"/>
          <w:sz w:val="32"/>
          <w:szCs w:val="32"/>
        </w:rPr>
        <w:t>、受理单位和个人的报案、控告、申诉和举报以及犯罪嫌疑人的自首，办理举报案件、刑事赔偿工作。</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9</w:t>
      </w:r>
      <w:r>
        <w:rPr>
          <w:rFonts w:ascii="仿宋_GB2312" w:eastAsia="仿宋_GB2312" w:cs="宋体" w:hint="eastAsia"/>
          <w:color w:val="000000"/>
          <w:kern w:val="0"/>
          <w:sz w:val="32"/>
          <w:szCs w:val="32"/>
        </w:rPr>
        <w:t>、对国家机关工作人员职务犯罪预防工作进行研究并提出职务犯罪的预防对策，负责职务犯罪预防工作的法制宣传。</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10</w:t>
      </w:r>
      <w:r>
        <w:rPr>
          <w:rFonts w:ascii="仿宋_GB2312" w:eastAsia="仿宋_GB2312" w:cs="宋体" w:hint="eastAsia"/>
          <w:color w:val="000000"/>
          <w:kern w:val="0"/>
          <w:sz w:val="32"/>
          <w:szCs w:val="32"/>
        </w:rPr>
        <w:t>、办理</w:t>
      </w:r>
      <w:r>
        <w:rPr>
          <w:rFonts w:ascii="仿宋_GB2312" w:eastAsia="仿宋_GB2312" w:cs="宋体" w:hint="eastAsia"/>
          <w:color w:val="000000"/>
          <w:kern w:val="0"/>
          <w:sz w:val="32"/>
          <w:szCs w:val="32"/>
        </w:rPr>
        <w:t>检察技术工作和物证检验、鉴定、审核工作；负责本院计算机网络的建设和管理。</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11</w:t>
      </w:r>
      <w:r>
        <w:rPr>
          <w:rFonts w:ascii="仿宋_GB2312" w:eastAsia="仿宋_GB2312" w:cs="宋体" w:hint="eastAsia"/>
          <w:color w:val="000000"/>
          <w:kern w:val="0"/>
          <w:sz w:val="32"/>
          <w:szCs w:val="32"/>
        </w:rPr>
        <w:t>、对检察工作中具体应用法律的问题进行研究，适时提出立法和司法建议，为领导机关决策提供科学依据。制定本院检察工作的规定、办法和实施细则。</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12</w:t>
      </w:r>
      <w:r>
        <w:rPr>
          <w:rFonts w:ascii="仿宋_GB2312" w:eastAsia="仿宋_GB2312" w:cs="宋体" w:hint="eastAsia"/>
          <w:color w:val="000000"/>
          <w:kern w:val="0"/>
          <w:sz w:val="32"/>
          <w:szCs w:val="32"/>
        </w:rPr>
        <w:t>、负责队伍建设和思想政治工作，依法管理检察官和其他检察人员，提请广阳区人民代表大会常务委员会决定任免本院的副检察长、检察委员会委员、检察员，依法任免助理检察员、书记员和司法警察。</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13</w:t>
      </w:r>
      <w:r>
        <w:rPr>
          <w:rFonts w:ascii="仿宋_GB2312" w:eastAsia="仿宋_GB2312" w:cs="宋体" w:hint="eastAsia"/>
          <w:color w:val="000000"/>
          <w:kern w:val="0"/>
          <w:sz w:val="32"/>
          <w:szCs w:val="32"/>
        </w:rPr>
        <w:t>、协助区主管部门办理本院的机构设置、人员编制工作。</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14</w:t>
      </w:r>
      <w:r>
        <w:rPr>
          <w:rFonts w:ascii="仿宋_GB2312" w:eastAsia="仿宋_GB2312" w:cs="宋体" w:hint="eastAsia"/>
          <w:color w:val="000000"/>
          <w:kern w:val="0"/>
          <w:sz w:val="32"/>
          <w:szCs w:val="32"/>
        </w:rPr>
        <w:t>、办理本院检察人员的教育培训工作。</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15</w:t>
      </w:r>
      <w:r>
        <w:rPr>
          <w:rFonts w:ascii="仿宋_GB2312" w:eastAsia="仿宋_GB2312" w:cs="宋体" w:hint="eastAsia"/>
          <w:color w:val="000000"/>
          <w:kern w:val="0"/>
          <w:sz w:val="32"/>
          <w:szCs w:val="32"/>
        </w:rPr>
        <w:t>、办理本院的计</w:t>
      </w:r>
      <w:r>
        <w:rPr>
          <w:rFonts w:ascii="仿宋_GB2312" w:eastAsia="仿宋_GB2312" w:cs="宋体" w:hint="eastAsia"/>
          <w:color w:val="000000"/>
          <w:kern w:val="0"/>
          <w:sz w:val="32"/>
          <w:szCs w:val="32"/>
        </w:rPr>
        <w:t>划财务装备工作。</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16</w:t>
      </w:r>
      <w:r>
        <w:rPr>
          <w:rFonts w:ascii="仿宋_GB2312" w:eastAsia="仿宋_GB2312" w:cs="宋体" w:hint="eastAsia"/>
          <w:color w:val="000000"/>
          <w:kern w:val="0"/>
          <w:sz w:val="32"/>
          <w:szCs w:val="32"/>
        </w:rPr>
        <w:t>、负责其他应当由广阳区人民检察院承办的事项。</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b/>
          <w:bCs/>
          <w:color w:val="000000"/>
          <w:kern w:val="0"/>
          <w:sz w:val="32"/>
          <w:szCs w:val="32"/>
        </w:rPr>
        <w:t>机构设置：</w:t>
      </w:r>
    </w:p>
    <w:p w:rsidR="00C2325E" w:rsidRDefault="00DA26BF">
      <w:pPr>
        <w:widowControl/>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部门机构设置情况</w:t>
      </w:r>
    </w:p>
    <w:tbl>
      <w:tblPr>
        <w:tblW w:w="975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58"/>
        <w:gridCol w:w="1544"/>
        <w:gridCol w:w="1586"/>
        <w:gridCol w:w="2366"/>
      </w:tblGrid>
      <w:tr w:rsidR="00C2325E">
        <w:trPr>
          <w:trHeight w:val="578"/>
          <w:tblHeader/>
          <w:tblCellSpacing w:w="0" w:type="dxa"/>
          <w:jc w:val="center"/>
        </w:trPr>
        <w:tc>
          <w:tcPr>
            <w:tcW w:w="4294"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单位名称</w:t>
            </w:r>
          </w:p>
        </w:tc>
        <w:tc>
          <w:tcPr>
            <w:tcW w:w="155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单位性质</w:t>
            </w:r>
          </w:p>
        </w:tc>
        <w:tc>
          <w:tcPr>
            <w:tcW w:w="1597"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单位规格</w:t>
            </w:r>
          </w:p>
        </w:tc>
        <w:tc>
          <w:tcPr>
            <w:tcW w:w="2384"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经费保障形式</w:t>
            </w:r>
          </w:p>
        </w:tc>
      </w:tr>
      <w:tr w:rsidR="00C2325E">
        <w:trPr>
          <w:trHeight w:val="225"/>
          <w:tblCellSpacing w:w="0" w:type="dxa"/>
          <w:jc w:val="center"/>
        </w:trPr>
        <w:tc>
          <w:tcPr>
            <w:tcW w:w="4294"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225" w:lineRule="atLeast"/>
              <w:jc w:val="left"/>
              <w:rPr>
                <w:rFonts w:ascii="仿宋_GB2312" w:eastAsia="仿宋_GB2312" w:cs="宋体"/>
                <w:kern w:val="0"/>
                <w:sz w:val="32"/>
                <w:szCs w:val="32"/>
              </w:rPr>
            </w:pPr>
            <w:r>
              <w:rPr>
                <w:rFonts w:ascii="仿宋_GB2312" w:eastAsia="仿宋_GB2312" w:cs="宋体" w:hint="eastAsia"/>
                <w:b/>
                <w:bCs/>
                <w:kern w:val="0"/>
                <w:sz w:val="32"/>
                <w:szCs w:val="32"/>
              </w:rPr>
              <w:t>廊坊市广阳区人民检察院</w:t>
            </w:r>
          </w:p>
        </w:tc>
        <w:tc>
          <w:tcPr>
            <w:tcW w:w="155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225" w:lineRule="atLeast"/>
              <w:jc w:val="left"/>
              <w:rPr>
                <w:rFonts w:ascii="仿宋_GB2312" w:eastAsia="仿宋_GB2312" w:cs="宋体"/>
                <w:kern w:val="0"/>
                <w:sz w:val="32"/>
                <w:szCs w:val="32"/>
              </w:rPr>
            </w:pPr>
            <w:r>
              <w:rPr>
                <w:rFonts w:ascii="仿宋_GB2312" w:eastAsia="仿宋_GB2312" w:cs="宋体" w:hint="eastAsia"/>
                <w:kern w:val="0"/>
                <w:sz w:val="32"/>
                <w:szCs w:val="32"/>
              </w:rPr>
              <w:t>行政机关</w:t>
            </w:r>
          </w:p>
        </w:tc>
        <w:tc>
          <w:tcPr>
            <w:tcW w:w="1597"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225" w:lineRule="atLeast"/>
              <w:jc w:val="left"/>
              <w:rPr>
                <w:rFonts w:ascii="仿宋_GB2312" w:eastAsia="仿宋_GB2312" w:cs="宋体"/>
                <w:kern w:val="0"/>
                <w:sz w:val="32"/>
                <w:szCs w:val="32"/>
              </w:rPr>
            </w:pPr>
            <w:r>
              <w:rPr>
                <w:rFonts w:ascii="仿宋_GB2312" w:eastAsia="仿宋_GB2312" w:cs="宋体" w:hint="eastAsia"/>
                <w:kern w:val="0"/>
                <w:sz w:val="32"/>
                <w:szCs w:val="32"/>
              </w:rPr>
              <w:t>副处级</w:t>
            </w:r>
          </w:p>
        </w:tc>
        <w:tc>
          <w:tcPr>
            <w:tcW w:w="2384"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225" w:lineRule="atLeast"/>
              <w:jc w:val="left"/>
              <w:rPr>
                <w:rFonts w:ascii="仿宋_GB2312" w:eastAsia="仿宋_GB2312" w:cs="宋体"/>
                <w:kern w:val="0"/>
                <w:sz w:val="32"/>
                <w:szCs w:val="32"/>
              </w:rPr>
            </w:pPr>
            <w:r>
              <w:rPr>
                <w:rFonts w:ascii="仿宋_GB2312" w:eastAsia="仿宋_GB2312" w:cs="宋体" w:hint="eastAsia"/>
                <w:kern w:val="0"/>
                <w:sz w:val="32"/>
                <w:szCs w:val="32"/>
              </w:rPr>
              <w:t>财政拨款</w:t>
            </w:r>
          </w:p>
        </w:tc>
      </w:tr>
    </w:tbl>
    <w:p w:rsidR="00C2325E" w:rsidRDefault="00DA26BF">
      <w:pPr>
        <w:widowControl/>
        <w:jc w:val="left"/>
        <w:rPr>
          <w:rFonts w:ascii="仿宋_GB2312" w:eastAsia="仿宋_GB2312" w:cs="宋体"/>
          <w:color w:val="000000"/>
          <w:kern w:val="0"/>
          <w:sz w:val="32"/>
          <w:szCs w:val="32"/>
        </w:rPr>
      </w:pPr>
      <w:r>
        <w:rPr>
          <w:rFonts w:ascii="黑体" w:eastAsia="黑体" w:cs="宋体" w:hint="eastAsia"/>
          <w:color w:val="000000"/>
          <w:kern w:val="0"/>
          <w:sz w:val="32"/>
          <w:szCs w:val="32"/>
        </w:rPr>
        <w:lastRenderedPageBreak/>
        <w:t>二、部门预算安排的总体情况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按照预算管理有关规定，目前我区部门预算的编制实行综合预算制度，即全部收入和支出都反映在预算中。</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xml:space="preserve">    </w:t>
      </w:r>
      <w:r>
        <w:rPr>
          <w:rFonts w:ascii="仿宋_GB2312" w:eastAsia="仿宋_GB2312" w:cs="宋体" w:hint="eastAsia"/>
          <w:b/>
          <w:bCs/>
          <w:color w:val="000000"/>
          <w:kern w:val="0"/>
          <w:sz w:val="32"/>
          <w:szCs w:val="32"/>
        </w:rPr>
        <w:t>1</w:t>
      </w:r>
      <w:r>
        <w:rPr>
          <w:rFonts w:ascii="仿宋_GB2312" w:eastAsia="仿宋_GB2312" w:cs="宋体" w:hint="eastAsia"/>
          <w:b/>
          <w:bCs/>
          <w:color w:val="000000"/>
          <w:kern w:val="0"/>
          <w:sz w:val="32"/>
          <w:szCs w:val="32"/>
        </w:rPr>
        <w:t>、收入说明</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年预算收入</w:t>
      </w:r>
      <w:r>
        <w:rPr>
          <w:rFonts w:ascii="仿宋_GB2312" w:eastAsia="仿宋_GB2312" w:cs="宋体" w:hint="eastAsia"/>
          <w:color w:val="000000"/>
          <w:kern w:val="0"/>
          <w:sz w:val="32"/>
          <w:szCs w:val="32"/>
        </w:rPr>
        <w:t>1455.83</w:t>
      </w:r>
      <w:r>
        <w:rPr>
          <w:rFonts w:ascii="仿宋_GB2312" w:eastAsia="仿宋_GB2312" w:cs="宋体" w:hint="eastAsia"/>
          <w:color w:val="000000"/>
          <w:kern w:val="0"/>
          <w:sz w:val="32"/>
          <w:szCs w:val="32"/>
        </w:rPr>
        <w:t>万元，其中：一般公共预算收入</w:t>
      </w:r>
      <w:r>
        <w:rPr>
          <w:rFonts w:ascii="仿宋_GB2312" w:eastAsia="仿宋_GB2312" w:cs="宋体" w:hint="eastAsia"/>
          <w:color w:val="000000"/>
          <w:kern w:val="0"/>
          <w:sz w:val="32"/>
          <w:szCs w:val="32"/>
        </w:rPr>
        <w:t>1455.83</w:t>
      </w:r>
      <w:r>
        <w:rPr>
          <w:rFonts w:ascii="仿宋_GB2312" w:eastAsia="仿宋_GB2312" w:cs="宋体" w:hint="eastAsia"/>
          <w:color w:val="000000"/>
          <w:kern w:val="0"/>
          <w:sz w:val="32"/>
          <w:szCs w:val="32"/>
        </w:rPr>
        <w:t>万元，政府性基金收入</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xml:space="preserve">    </w:t>
      </w:r>
      <w:r>
        <w:rPr>
          <w:rFonts w:ascii="仿宋_GB2312" w:eastAsia="仿宋_GB2312" w:cs="宋体" w:hint="eastAsia"/>
          <w:b/>
          <w:bCs/>
          <w:color w:val="000000"/>
          <w:kern w:val="0"/>
          <w:sz w:val="32"/>
          <w:szCs w:val="32"/>
        </w:rPr>
        <w:t>2</w:t>
      </w:r>
      <w:r>
        <w:rPr>
          <w:rFonts w:ascii="仿宋_GB2312" w:eastAsia="仿宋_GB2312" w:cs="宋体" w:hint="eastAsia"/>
          <w:b/>
          <w:bCs/>
          <w:color w:val="000000"/>
          <w:kern w:val="0"/>
          <w:sz w:val="32"/>
          <w:szCs w:val="32"/>
        </w:rPr>
        <w:t>、支出说明</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年支出预算</w:t>
      </w:r>
      <w:r>
        <w:rPr>
          <w:rFonts w:ascii="仿宋_GB2312" w:eastAsia="仿宋_GB2312" w:cs="宋体" w:hint="eastAsia"/>
          <w:color w:val="000000"/>
          <w:kern w:val="0"/>
          <w:sz w:val="32"/>
          <w:szCs w:val="32"/>
        </w:rPr>
        <w:t>1455.83</w:t>
      </w:r>
      <w:r>
        <w:rPr>
          <w:rFonts w:ascii="仿宋_GB2312" w:eastAsia="仿宋_GB2312" w:cs="宋体" w:hint="eastAsia"/>
          <w:color w:val="000000"/>
          <w:kern w:val="0"/>
          <w:sz w:val="32"/>
          <w:szCs w:val="32"/>
        </w:rPr>
        <w:t>万元，其中基本支出</w:t>
      </w:r>
      <w:r>
        <w:rPr>
          <w:rFonts w:ascii="仿宋_GB2312" w:eastAsia="仿宋_GB2312" w:cs="宋体" w:hint="eastAsia"/>
          <w:color w:val="000000"/>
          <w:kern w:val="0"/>
          <w:sz w:val="32"/>
          <w:szCs w:val="32"/>
        </w:rPr>
        <w:t>1269.18</w:t>
      </w:r>
      <w:r>
        <w:rPr>
          <w:rFonts w:ascii="仿宋_GB2312" w:eastAsia="仿宋_GB2312" w:cs="宋体" w:hint="eastAsia"/>
          <w:color w:val="000000"/>
          <w:kern w:val="0"/>
          <w:sz w:val="32"/>
          <w:szCs w:val="32"/>
        </w:rPr>
        <w:t>万元，包括人员经费和日常公用经费；项目支出</w:t>
      </w:r>
      <w:r>
        <w:rPr>
          <w:rFonts w:ascii="仿宋_GB2312" w:eastAsia="仿宋_GB2312" w:cs="宋体" w:hint="eastAsia"/>
          <w:color w:val="000000"/>
          <w:kern w:val="0"/>
          <w:sz w:val="32"/>
          <w:szCs w:val="32"/>
        </w:rPr>
        <w:t>186.65</w:t>
      </w:r>
      <w:r>
        <w:rPr>
          <w:rFonts w:ascii="仿宋_GB2312" w:eastAsia="仿宋_GB2312" w:cs="宋体" w:hint="eastAsia"/>
          <w:color w:val="000000"/>
          <w:kern w:val="0"/>
          <w:sz w:val="32"/>
          <w:szCs w:val="32"/>
        </w:rPr>
        <w:t>万元，主要为中央政法转移支付和省级基层公检法司转移支付资金。</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xml:space="preserve">    </w:t>
      </w:r>
      <w:r>
        <w:rPr>
          <w:rFonts w:ascii="仿宋_GB2312" w:eastAsia="仿宋_GB2312" w:cs="宋体" w:hint="eastAsia"/>
          <w:b/>
          <w:bCs/>
          <w:color w:val="000000"/>
          <w:kern w:val="0"/>
          <w:sz w:val="32"/>
          <w:szCs w:val="32"/>
        </w:rPr>
        <w:t>3</w:t>
      </w:r>
      <w:r>
        <w:rPr>
          <w:rFonts w:ascii="仿宋_GB2312" w:eastAsia="仿宋_GB2312" w:cs="宋体" w:hint="eastAsia"/>
          <w:b/>
          <w:bCs/>
          <w:color w:val="000000"/>
          <w:kern w:val="0"/>
          <w:sz w:val="32"/>
          <w:szCs w:val="32"/>
        </w:rPr>
        <w:t>、比上年增减情况睡</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年预算收支安排</w:t>
      </w:r>
      <w:r>
        <w:rPr>
          <w:rFonts w:ascii="仿宋_GB2312" w:eastAsia="仿宋_GB2312" w:cs="宋体" w:hint="eastAsia"/>
          <w:color w:val="000000"/>
          <w:kern w:val="0"/>
          <w:sz w:val="32"/>
          <w:szCs w:val="32"/>
        </w:rPr>
        <w:t>1455.83</w:t>
      </w:r>
      <w:r>
        <w:rPr>
          <w:rFonts w:ascii="仿宋_GB2312" w:eastAsia="仿宋_GB2312" w:cs="宋体" w:hint="eastAsia"/>
          <w:color w:val="000000"/>
          <w:kern w:val="0"/>
          <w:sz w:val="32"/>
          <w:szCs w:val="32"/>
        </w:rPr>
        <w:t>万元，较</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年预算增加</w:t>
      </w:r>
      <w:r>
        <w:rPr>
          <w:rFonts w:ascii="仿宋_GB2312" w:eastAsia="仿宋_GB2312" w:cs="宋体" w:hint="eastAsia"/>
          <w:color w:val="000000"/>
          <w:kern w:val="0"/>
          <w:sz w:val="32"/>
          <w:szCs w:val="32"/>
        </w:rPr>
        <w:t>217.51</w:t>
      </w:r>
      <w:r>
        <w:rPr>
          <w:rFonts w:ascii="仿宋_GB2312" w:eastAsia="仿宋_GB2312" w:cs="宋体" w:hint="eastAsia"/>
          <w:color w:val="000000"/>
          <w:kern w:val="0"/>
          <w:sz w:val="32"/>
          <w:szCs w:val="32"/>
        </w:rPr>
        <w:t>万元，其中：基本支出增加</w:t>
      </w:r>
      <w:r>
        <w:rPr>
          <w:rFonts w:ascii="仿宋_GB2312" w:eastAsia="仿宋_GB2312" w:cs="宋体" w:hint="eastAsia"/>
          <w:color w:val="000000"/>
          <w:kern w:val="0"/>
          <w:sz w:val="32"/>
          <w:szCs w:val="32"/>
        </w:rPr>
        <w:t>257.66</w:t>
      </w:r>
      <w:r>
        <w:rPr>
          <w:rFonts w:ascii="仿宋_GB2312" w:eastAsia="仿宋_GB2312" w:cs="宋体" w:hint="eastAsia"/>
          <w:color w:val="000000"/>
          <w:kern w:val="0"/>
          <w:sz w:val="32"/>
          <w:szCs w:val="32"/>
        </w:rPr>
        <w:t>万元，主要为增加人员经费支出；项目支出减少</w:t>
      </w:r>
      <w:r>
        <w:rPr>
          <w:rFonts w:ascii="仿宋_GB2312" w:eastAsia="仿宋_GB2312" w:cs="宋体" w:hint="eastAsia"/>
          <w:color w:val="000000"/>
          <w:kern w:val="0"/>
          <w:sz w:val="32"/>
          <w:szCs w:val="32"/>
        </w:rPr>
        <w:t>40.15</w:t>
      </w:r>
      <w:r>
        <w:rPr>
          <w:rFonts w:ascii="仿宋_GB2312" w:eastAsia="仿宋_GB2312" w:cs="宋体" w:hint="eastAsia"/>
          <w:color w:val="000000"/>
          <w:kern w:val="0"/>
          <w:sz w:val="32"/>
          <w:szCs w:val="32"/>
        </w:rPr>
        <w:t>万元，主要为财力紧张预算未安排</w:t>
      </w:r>
      <w:r>
        <w:rPr>
          <w:rFonts w:ascii="仿宋_GB2312" w:eastAsia="仿宋_GB2312" w:cs="宋体" w:hint="eastAsia"/>
          <w:color w:val="000000"/>
          <w:kern w:val="0"/>
          <w:sz w:val="32"/>
          <w:szCs w:val="32"/>
        </w:rPr>
        <w:t>.</w:t>
      </w:r>
    </w:p>
    <w:p w:rsidR="00C2325E" w:rsidRDefault="00DA26BF">
      <w:pPr>
        <w:widowControl/>
        <w:ind w:firstLineChars="150" w:firstLine="480"/>
        <w:jc w:val="left"/>
        <w:rPr>
          <w:rFonts w:ascii="仿宋_GB2312" w:eastAsia="仿宋_GB2312" w:cs="宋体"/>
          <w:color w:val="000000"/>
          <w:kern w:val="0"/>
          <w:sz w:val="32"/>
          <w:szCs w:val="32"/>
        </w:rPr>
      </w:pPr>
      <w:r>
        <w:rPr>
          <w:rFonts w:ascii="黑体" w:eastAsia="黑体" w:cs="宋体" w:hint="eastAsia"/>
          <w:color w:val="000000"/>
          <w:kern w:val="0"/>
          <w:sz w:val="32"/>
          <w:szCs w:val="32"/>
        </w:rPr>
        <w:lastRenderedPageBreak/>
        <w:t>三、机关运行经费安排情况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年预算安排我部门机关运行经费</w:t>
      </w:r>
      <w:r>
        <w:rPr>
          <w:rFonts w:ascii="仿宋_GB2312" w:eastAsia="仿宋_GB2312" w:cs="宋体" w:hint="eastAsia"/>
          <w:color w:val="000000"/>
          <w:kern w:val="0"/>
          <w:sz w:val="32"/>
          <w:szCs w:val="32"/>
        </w:rPr>
        <w:t>55.97</w:t>
      </w:r>
      <w:r>
        <w:rPr>
          <w:rFonts w:ascii="仿宋_GB2312" w:eastAsia="仿宋_GB2312" w:cs="宋体" w:hint="eastAsia"/>
          <w:color w:val="000000"/>
          <w:kern w:val="0"/>
          <w:sz w:val="32"/>
          <w:szCs w:val="32"/>
        </w:rPr>
        <w:t>万元，其中办公经费</w:t>
      </w:r>
      <w:r>
        <w:rPr>
          <w:rFonts w:ascii="仿宋_GB2312" w:eastAsia="仿宋_GB2312" w:cs="宋体" w:hint="eastAsia"/>
          <w:color w:val="000000"/>
          <w:kern w:val="0"/>
          <w:sz w:val="32"/>
          <w:szCs w:val="32"/>
        </w:rPr>
        <w:t>3.83</w:t>
      </w:r>
      <w:r>
        <w:rPr>
          <w:rFonts w:ascii="仿宋_GB2312" w:eastAsia="仿宋_GB2312" w:cs="宋体" w:hint="eastAsia"/>
          <w:color w:val="000000"/>
          <w:kern w:val="0"/>
          <w:sz w:val="32"/>
          <w:szCs w:val="32"/>
        </w:rPr>
        <w:t>万元，其他业务费</w:t>
      </w:r>
      <w:r>
        <w:rPr>
          <w:rFonts w:ascii="仿宋_GB2312" w:eastAsia="仿宋_GB2312" w:cs="宋体" w:hint="eastAsia"/>
          <w:color w:val="000000"/>
          <w:kern w:val="0"/>
          <w:sz w:val="32"/>
          <w:szCs w:val="32"/>
        </w:rPr>
        <w:t>52.14</w:t>
      </w:r>
      <w:r>
        <w:rPr>
          <w:rFonts w:ascii="仿宋_GB2312" w:eastAsia="仿宋_GB2312" w:cs="宋体" w:hint="eastAsia"/>
          <w:color w:val="000000"/>
          <w:kern w:val="0"/>
          <w:sz w:val="32"/>
          <w:szCs w:val="32"/>
        </w:rPr>
        <w:t>万元。</w:t>
      </w:r>
    </w:p>
    <w:p w:rsidR="00C2325E" w:rsidRDefault="00DA26BF">
      <w:pPr>
        <w:widowControl/>
        <w:ind w:firstLineChars="150" w:firstLine="480"/>
        <w:jc w:val="left"/>
        <w:rPr>
          <w:rFonts w:ascii="黑体" w:eastAsia="黑体" w:cs="宋体"/>
          <w:color w:val="000000"/>
          <w:kern w:val="0"/>
          <w:sz w:val="32"/>
          <w:szCs w:val="32"/>
        </w:rPr>
      </w:pPr>
      <w:r>
        <w:rPr>
          <w:rFonts w:ascii="黑体" w:eastAsia="黑体" w:cs="宋体" w:hint="eastAsia"/>
          <w:color w:val="000000"/>
          <w:kern w:val="0"/>
          <w:sz w:val="32"/>
          <w:szCs w:val="32"/>
        </w:rPr>
        <w:t>四、财政拨款“三公”经费预算情况及增减变化原因</w:t>
      </w:r>
    </w:p>
    <w:p w:rsidR="00C2325E" w:rsidRDefault="00DA26BF">
      <w:pPr>
        <w:widowControl/>
        <w:ind w:firstLineChars="150" w:firstLine="48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年，我部门“三公”经费预算安排</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万元，其中因公出国（境）费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万元；公务用车购置及运维费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万元（其中：公务用车购置费为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万元，公务用车运行费为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；公务接待费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万元。与</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年持平、无增减变化。</w:t>
      </w:r>
    </w:p>
    <w:p w:rsidR="00C2325E" w:rsidRDefault="00DA26BF">
      <w:pPr>
        <w:widowControl/>
        <w:ind w:firstLineChars="100" w:firstLine="320"/>
        <w:jc w:val="left"/>
        <w:rPr>
          <w:rFonts w:ascii="黑体" w:eastAsia="黑体" w:cs="宋体"/>
          <w:color w:val="000000"/>
          <w:kern w:val="0"/>
          <w:sz w:val="32"/>
          <w:szCs w:val="32"/>
        </w:rPr>
      </w:pPr>
      <w:r>
        <w:rPr>
          <w:rFonts w:ascii="黑体" w:eastAsia="黑体" w:cs="宋体" w:hint="eastAsia"/>
          <w:color w:val="000000"/>
          <w:kern w:val="0"/>
          <w:sz w:val="32"/>
          <w:szCs w:val="32"/>
        </w:rPr>
        <w:t>五、绩效预算信息</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b/>
          <w:bCs/>
          <w:color w:val="000000"/>
          <w:kern w:val="0"/>
          <w:sz w:val="32"/>
          <w:szCs w:val="32"/>
        </w:rPr>
        <w:t>总体绩效目标：</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（一）</w:t>
      </w:r>
      <w:r>
        <w:rPr>
          <w:rFonts w:ascii="仿宋_GB2312" w:eastAsia="仿宋_GB2312" w:cs="宋体" w:hint="eastAsia"/>
          <w:color w:val="000000"/>
          <w:kern w:val="0"/>
          <w:sz w:val="32"/>
          <w:szCs w:val="32"/>
        </w:rPr>
        <w:t xml:space="preserve"> </w:t>
      </w:r>
      <w:r>
        <w:rPr>
          <w:rFonts w:ascii="仿宋_GB2312" w:eastAsia="仿宋_GB2312" w:cs="宋体" w:hint="eastAsia"/>
          <w:color w:val="000000"/>
          <w:kern w:val="0"/>
          <w:sz w:val="32"/>
          <w:szCs w:val="32"/>
        </w:rPr>
        <w:t>依法向广阳区人民代表大会及其常务委员提出议案。</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（二）认真贯彻执行上级检察院的工作部署，结合本区实际，采取相关措施，完成本区检察工作任务。</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（三）依法对辖区内的贪污贿赂犯罪</w:t>
      </w:r>
      <w:r>
        <w:rPr>
          <w:rFonts w:ascii="仿宋_GB2312" w:eastAsia="仿宋_GB2312" w:cs="宋体" w:hint="eastAsia"/>
          <w:color w:val="000000"/>
          <w:kern w:val="0"/>
          <w:sz w:val="32"/>
          <w:szCs w:val="32"/>
        </w:rPr>
        <w:t>、国家工作人员渎职犯罪和国家机关工作人员利用职权实施的非法拘禁、刑讯逼供、报复陷害、非法搜查等侵犯公民人身权利与侵犯公民民主权利的犯罪以及国家机关工作人员利用职权实施的其他犯罪案件进行侦查。</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四）对辖区内刑事犯罪案件依法审查批捕、提起公诉，依法对公安机关的立案侦查活动实行法律监督，并对本区同级人民法院开庭审理的案件依法派员出席法庭，履行法律监督职责。掌握社会治安动态，参与社会治安综合治理。</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（五）依法对刑事审判实行法律监督，对确有错误的刑事判决、裁定，依法提请上级人民检察院抗诉。</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（六）依法对民事、行政审判实行法律监督，受理审查单位、公民不服人民法院已经发生法律效力的民事、经济、行政判决、裁定的案件，对确错误的判决和裁定，依法建议、提请上级院抗诉。</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（七）依法对执行机关执行刑罚的活动是否合法实行监督。依法对看守所、劳教所的监管活动进行监督，并负责本辖区内监外服刑罪犯的考察工作。</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（八）受理单位和个人的报案、控告、申诉和举报以及犯罪嫌疑人的自首，办理举报案件、刑事赔偿工作。</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（九）对国家机关工作人员职务犯罪预防工作进行研究并提出职务犯罪的预防对策，负责职务犯罪预防工作的法制宣传。</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（十）办理检察技术工作和物证检验、鉴定、审核工作；负责本院计算机网络的建设和管理。</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（十一）对检察工作中具体应用法律的问题进行研究，适时提出立法和司法建议，为领导机关决策提供科学依据。制定本院检察工作的规定、办法和实施细则。</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（十二）负责队伍建设和思想政治工作，依法管理检察官和其他检察人员，提请广阳区人民代表大会常务委员会决定任免本院的副检察长、检察委员会委员、检察员，依法任免助理检察员、书记员和司法警察。</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（十三）协助区主管部门办理本院的机构设置、人员编制工作。</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（十四）办理本院检察人员的教育培训工作。</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（十五）办理本院的计划财务装备工作。</w:t>
      </w:r>
    </w:p>
    <w:p w:rsidR="00C2325E" w:rsidRDefault="00DA26BF">
      <w:pPr>
        <w:widowControl/>
        <w:ind w:firstLineChars="100" w:firstLine="32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（十六）负责其他应当由广阳区人民检察院承办的事项。</w:t>
      </w:r>
    </w:p>
    <w:p w:rsidR="00C2325E" w:rsidRDefault="00DA26BF">
      <w:pPr>
        <w:widowControl/>
        <w:ind w:firstLineChars="100" w:firstLine="320"/>
        <w:jc w:val="left"/>
        <w:rPr>
          <w:rFonts w:ascii="仿宋_GB2312" w:eastAsia="仿宋_GB2312" w:cs="宋体"/>
          <w:kern w:val="0"/>
          <w:sz w:val="32"/>
          <w:szCs w:val="32"/>
        </w:rPr>
      </w:pPr>
      <w:r>
        <w:rPr>
          <w:rFonts w:ascii="宋体" w:eastAsia="仿宋_GB2312" w:hAnsi="宋体" w:cs="宋体" w:hint="eastAsia"/>
          <w:color w:val="000000"/>
          <w:kern w:val="0"/>
          <w:sz w:val="32"/>
          <w:szCs w:val="32"/>
        </w:rPr>
        <w:lastRenderedPageBreak/>
        <w:t>    </w:t>
      </w:r>
      <w:r>
        <w:rPr>
          <w:rFonts w:ascii="仿宋_GB2312" w:eastAsia="仿宋_GB2312" w:cs="宋体" w:hint="eastAsia"/>
          <w:b/>
          <w:bCs/>
          <w:color w:val="000000"/>
          <w:kern w:val="0"/>
          <w:sz w:val="32"/>
          <w:szCs w:val="32"/>
        </w:rPr>
        <w:t>职责分类绩效目标：</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86"/>
        <w:gridCol w:w="6664"/>
      </w:tblGrid>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查办大要案比率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查办大要案件数占立案数比率</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案件起诉率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案件起诉数占查办案件比例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立案有罪判决率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有罪判决案件占立案数量比率</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警示教育基地建设</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警示教育基地建设</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开展职务犯罪预防调查次数</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开展职务犯罪预防调查次数</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党员干部职务犯罪预防知识普及率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通过抽查问卷等方式，对党员干部职务犯罪预防知识普及情况开展调查，达到合格程度的比例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举办联合预防专项行动次数</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举办联合预防专项行动次数</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举办职务犯罪预防警示教育次数</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举办职务犯罪预防警示教育次数</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行贿犯罪档案查询次数</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通过行贿犯罪档案查询系统进行行贿记录查询次数</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批准立案错误率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错误立安案数量占实际立案数量比例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批延准确率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准确审批延期羁押申请占全部申请的比例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侦查监督完成率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实际监督侦查事项占应监督侦查事项比率</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批捕错误率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错误批捕人数占实际批捕人数比例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公诉案件有罪判决率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公诉案件有罪判决率</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公诉抗诉案件再审改变率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提起公诉抗诉案件再审改变原判决案件数量占提起公诉抗诉案件数量比例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出庭意见采纳率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被法院采纳出庭意见数量占全部公诉意见比例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提起公诉完成率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已提起公诉案件占应提起公诉案件比例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公诉案件审结率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审结公诉案件数量占提起公诉案件数比例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检察建议采纳率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被法院采纳检查建议占全部检察建议比例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抗诉案件再审改变率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提起公诉抗诉案件再审改变原判决案件数量占提起公</w:t>
            </w:r>
            <w:r>
              <w:rPr>
                <w:rFonts w:ascii="仿宋_GB2312" w:eastAsia="仿宋_GB2312" w:cs="宋体" w:hint="eastAsia"/>
                <w:color w:val="000000"/>
                <w:kern w:val="0"/>
                <w:sz w:val="28"/>
                <w:szCs w:val="28"/>
              </w:rPr>
              <w:lastRenderedPageBreak/>
              <w:t>诉抗诉案件数量比例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全市排名</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监督纠正刑事执行过程中发现的各类不当情形数量在全市排名</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出庭意见采纳率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被法院采纳出庭意见数量占全部公诉意见比例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公诉抗诉案件再审改变率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提起公诉抗诉案件再审改变原判决案件数量占提起公诉抗诉案件数量比例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批准立案错误率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错误立安案数量占实际立案数量比例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侦查监督完成率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完成监督侦查事项占全部监督侦查事项比例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批捕错误率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错误批捕人数占实际批捕人数比例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工作完成率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完成检查技术工作和物证检验、鉴定、审核工作数量占申请协助、配合检查案件数量比例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有效化解涉检信访矛盾率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通过抽查，对举报人和上访人进行调查，表示满意的比例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涉检信访案件办结率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已按程序处理信访案件占全年受理信访案件比例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国家赔偿案件办结率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已按程序处理国家赔偿案件占全年受理国家赔偿案件比例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息诉罢访率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已承诺息诉罢访案件与全部上访案件比例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举报线索处置率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已处置举报线索占全部举报线索的比例</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各项检察综合业务管理工作完成率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各项检察综合业务管理工作完成情况</w:t>
            </w:r>
          </w:p>
        </w:tc>
      </w:tr>
      <w:tr w:rsidR="00C2325E">
        <w:trPr>
          <w:trHeight w:val="330"/>
          <w:tblCellSpacing w:w="0" w:type="dxa"/>
          <w:jc w:val="center"/>
        </w:trPr>
        <w:tc>
          <w:tcPr>
            <w:tcW w:w="318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各项检务保障工作完成率</w:t>
            </w:r>
          </w:p>
        </w:tc>
        <w:tc>
          <w:tcPr>
            <w:tcW w:w="687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各项检务保障工作完成情况</w:t>
            </w:r>
          </w:p>
        </w:tc>
      </w:tr>
    </w:tbl>
    <w:p w:rsidR="00C2325E" w:rsidRDefault="00DA26BF">
      <w:pPr>
        <w:widowControl/>
        <w:jc w:val="left"/>
        <w:rPr>
          <w:rFonts w:ascii="仿宋_GB2312" w:eastAsia="仿宋_GB2312" w:cs="宋体"/>
          <w:kern w:val="0"/>
          <w:sz w:val="32"/>
          <w:szCs w:val="32"/>
        </w:rPr>
      </w:pPr>
      <w:r>
        <w:rPr>
          <w:rFonts w:ascii="仿宋_GB2312" w:eastAsia="仿宋_GB2312" w:cs="宋体" w:hint="eastAsia"/>
          <w:color w:val="000000"/>
          <w:kern w:val="0"/>
          <w:sz w:val="32"/>
          <w:szCs w:val="32"/>
        </w:rPr>
        <w:t>部门职责</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工作活动绩效目标</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23"/>
        <w:gridCol w:w="1109"/>
        <w:gridCol w:w="1714"/>
        <w:gridCol w:w="1714"/>
        <w:gridCol w:w="839"/>
        <w:gridCol w:w="779"/>
        <w:gridCol w:w="724"/>
        <w:gridCol w:w="724"/>
        <w:gridCol w:w="724"/>
      </w:tblGrid>
      <w:tr w:rsidR="00C2325E">
        <w:trPr>
          <w:trHeight w:val="255"/>
          <w:tblHeader/>
          <w:tblCellSpacing w:w="0" w:type="dxa"/>
          <w:jc w:val="center"/>
        </w:trPr>
        <w:tc>
          <w:tcPr>
            <w:tcW w:w="12255" w:type="dxa"/>
            <w:gridSpan w:val="5"/>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360</w:t>
            </w:r>
            <w:r>
              <w:rPr>
                <w:rFonts w:ascii="仿宋_GB2312" w:eastAsia="仿宋_GB2312" w:cs="宋体" w:hint="eastAsia"/>
                <w:b/>
                <w:bCs/>
                <w:color w:val="000000"/>
                <w:kern w:val="0"/>
                <w:sz w:val="28"/>
                <w:szCs w:val="28"/>
              </w:rPr>
              <w:t>廊坊市广阳区人民检察院</w:t>
            </w:r>
          </w:p>
        </w:tc>
        <w:tc>
          <w:tcPr>
            <w:tcW w:w="3300" w:type="dxa"/>
            <w:gridSpan w:val="4"/>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单位：万元</w:t>
            </w:r>
          </w:p>
        </w:tc>
      </w:tr>
      <w:tr w:rsidR="00C2325E">
        <w:trPr>
          <w:trHeight w:val="255"/>
          <w:tblHeader/>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职责活动</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年度预算数</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内容描述</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绩效目标</w:t>
            </w:r>
          </w:p>
        </w:tc>
        <w:tc>
          <w:tcPr>
            <w:tcW w:w="157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绩效指标</w:t>
            </w:r>
          </w:p>
        </w:tc>
        <w:tc>
          <w:tcPr>
            <w:tcW w:w="3300" w:type="dxa"/>
            <w:gridSpan w:val="4"/>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评价标准</w:t>
            </w:r>
          </w:p>
        </w:tc>
      </w:tr>
      <w:tr w:rsidR="00C2325E">
        <w:trPr>
          <w:trHeight w:val="25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优</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良</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中</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center"/>
              <w:rPr>
                <w:rFonts w:ascii="仿宋_GB2312" w:eastAsia="仿宋_GB2312" w:cs="宋体"/>
                <w:b/>
                <w:bCs/>
                <w:color w:val="000000"/>
                <w:kern w:val="0"/>
                <w:sz w:val="28"/>
                <w:szCs w:val="28"/>
              </w:rPr>
            </w:pPr>
            <w:r>
              <w:rPr>
                <w:rFonts w:ascii="仿宋_GB2312" w:eastAsia="仿宋_GB2312" w:cs="宋体" w:hint="eastAsia"/>
                <w:b/>
                <w:bCs/>
                <w:color w:val="000000"/>
                <w:kern w:val="0"/>
                <w:sz w:val="28"/>
                <w:szCs w:val="28"/>
              </w:rPr>
              <w:t>差</w:t>
            </w:r>
          </w:p>
        </w:tc>
      </w:tr>
      <w:tr w:rsidR="00C2325E">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lastRenderedPageBreak/>
              <w:t>查办和预防职务犯罪</w:t>
            </w:r>
          </w:p>
        </w:tc>
        <w:tc>
          <w:tcPr>
            <w:tcW w:w="14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通过查办和预防职务犯罪案件，促进国家工作人员依法行使职权。</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有效预防和依法严惩职务犯罪</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r>
      <w:tr w:rsidR="00C2325E">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t xml:space="preserve">　　查办职务犯罪</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参与办理重大职务犯罪案件的侦查及个案协查工作；指导全县在逃职务犯罪案件追</w:t>
            </w:r>
            <w:r>
              <w:rPr>
                <w:rFonts w:ascii="仿宋_GB2312" w:eastAsia="仿宋_GB2312" w:cs="宋体" w:hint="eastAsia"/>
                <w:color w:val="000000"/>
                <w:kern w:val="0"/>
                <w:sz w:val="28"/>
                <w:szCs w:val="28"/>
              </w:rPr>
              <w:lastRenderedPageBreak/>
              <w:t>逃追赃工作，推进全县侦查信息化和装备现代化建设。</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完成指挥或办理职务犯罪案件工作，提高案件起诉率、判决率；完成追逃、追赃任</w:t>
            </w:r>
            <w:r>
              <w:rPr>
                <w:rFonts w:ascii="仿宋_GB2312" w:eastAsia="仿宋_GB2312" w:cs="宋体" w:hint="eastAsia"/>
                <w:color w:val="000000"/>
                <w:kern w:val="0"/>
                <w:sz w:val="28"/>
                <w:szCs w:val="28"/>
              </w:rPr>
              <w:lastRenderedPageBreak/>
              <w:t>务，最大限度挽回经济损失，促进国家工作人员依法行使职权。</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立案有罪判决率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55%</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案件起诉</w:t>
            </w:r>
            <w:r>
              <w:rPr>
                <w:rFonts w:ascii="仿宋_GB2312" w:eastAsia="仿宋_GB2312" w:cs="宋体" w:hint="eastAsia"/>
                <w:color w:val="000000"/>
                <w:kern w:val="0"/>
                <w:sz w:val="28"/>
                <w:szCs w:val="28"/>
              </w:rPr>
              <w:lastRenderedPageBreak/>
              <w:t>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50%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查办大要案比率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55%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45%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35%</w:t>
            </w:r>
          </w:p>
        </w:tc>
      </w:tr>
      <w:tr w:rsidR="00C2325E">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t xml:space="preserve">　　预防职务犯罪</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履行检察机关重要的法律监督职能，采取多种方式，预防可能发生的职务犯罪。</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以个案预防、系统预防、专项预防、预防调查等多种形式努力从源头上遏制和减少</w:t>
            </w:r>
            <w:r>
              <w:rPr>
                <w:rFonts w:ascii="仿宋_GB2312" w:eastAsia="仿宋_GB2312" w:cs="宋体" w:hint="eastAsia"/>
                <w:color w:val="000000"/>
                <w:kern w:val="0"/>
                <w:sz w:val="28"/>
                <w:szCs w:val="28"/>
              </w:rPr>
              <w:lastRenderedPageBreak/>
              <w:t>职务犯罪。</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举办联合预防专项行动次数</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4</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2</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举办职务犯罪预防警示教育次数</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20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16</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12</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行贿犯罪档案查询</w:t>
            </w:r>
            <w:r>
              <w:rPr>
                <w:rFonts w:ascii="仿宋_GB2312" w:eastAsia="仿宋_GB2312" w:cs="宋体" w:hint="eastAsia"/>
                <w:color w:val="000000"/>
                <w:kern w:val="0"/>
                <w:sz w:val="28"/>
                <w:szCs w:val="28"/>
              </w:rPr>
              <w:lastRenderedPageBreak/>
              <w:t>次数</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2000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1700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1400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1100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警示教育基地建设</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开展职务犯罪预防调查次数</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4</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2</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党员干部职务犯罪预防知识普及率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65%</w:t>
            </w:r>
          </w:p>
        </w:tc>
      </w:tr>
      <w:tr w:rsidR="00C2325E">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t>检察监督</w:t>
            </w:r>
          </w:p>
        </w:tc>
        <w:tc>
          <w:tcPr>
            <w:tcW w:w="14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对侦查机关的侦查活动、人民法院的审判</w:t>
            </w:r>
            <w:r>
              <w:rPr>
                <w:rFonts w:ascii="仿宋_GB2312" w:eastAsia="仿宋_GB2312" w:cs="宋体" w:hint="eastAsia"/>
                <w:color w:val="000000"/>
                <w:kern w:val="0"/>
                <w:sz w:val="28"/>
                <w:szCs w:val="28"/>
              </w:rPr>
              <w:lastRenderedPageBreak/>
              <w:t>活动、监狱看守所等机关执行刑罚的活动，依法实行法律监督，维护司法公正。</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通过行使检察权，惩罚犯罪活动，保护国</w:t>
            </w:r>
            <w:r>
              <w:rPr>
                <w:rFonts w:ascii="仿宋_GB2312" w:eastAsia="仿宋_GB2312" w:cs="宋体" w:hint="eastAsia"/>
                <w:color w:val="000000"/>
                <w:kern w:val="0"/>
                <w:sz w:val="28"/>
                <w:szCs w:val="28"/>
              </w:rPr>
              <w:lastRenderedPageBreak/>
              <w:t>家安全，保护公民、法人和其他组织的合法权益，保障国家法律的正确实施。</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lastRenderedPageBreak/>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r>
      <w:tr w:rsidR="00C2325E">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lastRenderedPageBreak/>
              <w:t xml:space="preserve">　　侦查监督</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侦查监督职能的行使贯穿刑事立案到侦查终结全过程。主要包括审查</w:t>
            </w:r>
            <w:r>
              <w:rPr>
                <w:rFonts w:ascii="仿宋_GB2312" w:eastAsia="仿宋_GB2312" w:cs="宋体" w:hint="eastAsia"/>
                <w:color w:val="000000"/>
                <w:kern w:val="0"/>
                <w:sz w:val="28"/>
                <w:szCs w:val="28"/>
              </w:rPr>
              <w:lastRenderedPageBreak/>
              <w:t>逮捕、立案监督和侦查活动监督等职能。</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保障人权、维护司法公正，有效提高批捕、批准立案、批延准确率。</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侦查监督完成率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50%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40%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批捕</w:t>
            </w:r>
            <w:r>
              <w:rPr>
                <w:rFonts w:ascii="仿宋_GB2312" w:eastAsia="仿宋_GB2312" w:cs="宋体" w:hint="eastAsia"/>
                <w:color w:val="000000"/>
                <w:kern w:val="0"/>
                <w:sz w:val="28"/>
                <w:szCs w:val="28"/>
              </w:rPr>
              <w:lastRenderedPageBreak/>
              <w:t>错误率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20%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批准立案错误率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20%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30%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批延准确率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59%</w:t>
            </w:r>
          </w:p>
        </w:tc>
      </w:tr>
      <w:tr w:rsidR="00C2325E">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t xml:space="preserve">　　公诉和审判监</w:t>
            </w:r>
            <w:r>
              <w:rPr>
                <w:rFonts w:ascii="仿宋_GB2312" w:eastAsia="仿宋_GB2312" w:cs="宋体" w:hint="eastAsia"/>
                <w:b/>
                <w:bCs/>
                <w:color w:val="000000"/>
                <w:kern w:val="0"/>
                <w:sz w:val="28"/>
                <w:szCs w:val="28"/>
              </w:rPr>
              <w:lastRenderedPageBreak/>
              <w:t>督</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lastRenderedPageBreak/>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审查起诉；对上诉、抗诉案</w:t>
            </w:r>
            <w:r>
              <w:rPr>
                <w:rFonts w:ascii="仿宋_GB2312" w:eastAsia="仿宋_GB2312" w:cs="宋体" w:hint="eastAsia"/>
                <w:color w:val="000000"/>
                <w:kern w:val="0"/>
                <w:sz w:val="28"/>
                <w:szCs w:val="28"/>
              </w:rPr>
              <w:lastRenderedPageBreak/>
              <w:t>件及再审案件进行审查；出庭支持公诉</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全面审查案件事实，核实证</w:t>
            </w:r>
            <w:r>
              <w:rPr>
                <w:rFonts w:ascii="仿宋_GB2312" w:eastAsia="仿宋_GB2312" w:cs="宋体" w:hint="eastAsia"/>
                <w:color w:val="000000"/>
                <w:kern w:val="0"/>
                <w:sz w:val="28"/>
                <w:szCs w:val="28"/>
              </w:rPr>
              <w:lastRenderedPageBreak/>
              <w:t>据，依法提起公诉、出庭提出审查意见，提高公诉案件审结率、出庭意见采纳率。</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提起公诉</w:t>
            </w:r>
            <w:r>
              <w:rPr>
                <w:rFonts w:ascii="仿宋_GB2312" w:eastAsia="仿宋_GB2312" w:cs="宋体" w:hint="eastAsia"/>
                <w:color w:val="000000"/>
                <w:kern w:val="0"/>
                <w:sz w:val="28"/>
                <w:szCs w:val="28"/>
              </w:rPr>
              <w:lastRenderedPageBreak/>
              <w:t>完成率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100%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85%</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公诉案件审结率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85%</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出庭意见采纳率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96%</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93%</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85%</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公诉</w:t>
            </w:r>
            <w:r>
              <w:rPr>
                <w:rFonts w:ascii="仿宋_GB2312" w:eastAsia="仿宋_GB2312" w:cs="宋体" w:hint="eastAsia"/>
                <w:color w:val="000000"/>
                <w:kern w:val="0"/>
                <w:sz w:val="28"/>
                <w:szCs w:val="28"/>
              </w:rPr>
              <w:lastRenderedPageBreak/>
              <w:t>案件有罪判决率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99%</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98%</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96%</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93%</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公诉抗诉案件再审改变率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45%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40%</w:t>
            </w:r>
          </w:p>
        </w:tc>
      </w:tr>
      <w:tr w:rsidR="00C2325E">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t xml:space="preserve">　　民事</w:t>
            </w:r>
            <w:r>
              <w:rPr>
                <w:rFonts w:ascii="仿宋_GB2312" w:eastAsia="仿宋_GB2312" w:cs="宋体" w:hint="eastAsia"/>
                <w:b/>
                <w:bCs/>
                <w:color w:val="000000"/>
                <w:kern w:val="0"/>
                <w:sz w:val="28"/>
                <w:szCs w:val="28"/>
              </w:rPr>
              <w:lastRenderedPageBreak/>
              <w:t>行政诉讼监督</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lastRenderedPageBreak/>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依法对民事诉</w:t>
            </w:r>
            <w:r>
              <w:rPr>
                <w:rFonts w:ascii="仿宋_GB2312" w:eastAsia="仿宋_GB2312" w:cs="宋体" w:hint="eastAsia"/>
                <w:color w:val="000000"/>
                <w:kern w:val="0"/>
                <w:sz w:val="28"/>
                <w:szCs w:val="28"/>
              </w:rPr>
              <w:lastRenderedPageBreak/>
              <w:t>讼和行政诉讼实行法律监督，维护司法公正和司法权威，保障国家法律的统一正确实施</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有效实施民事</w:t>
            </w:r>
            <w:r>
              <w:rPr>
                <w:rFonts w:ascii="仿宋_GB2312" w:eastAsia="仿宋_GB2312" w:cs="宋体" w:hint="eastAsia"/>
                <w:color w:val="000000"/>
                <w:kern w:val="0"/>
                <w:sz w:val="28"/>
                <w:szCs w:val="28"/>
              </w:rPr>
              <w:lastRenderedPageBreak/>
              <w:t>案件审判监督，维护司法公正和司法权威，保障国家法律的统一正确实施。</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抗诉</w:t>
            </w:r>
            <w:r>
              <w:rPr>
                <w:rFonts w:ascii="仿宋_GB2312" w:eastAsia="仿宋_GB2312" w:cs="宋体" w:hint="eastAsia"/>
                <w:color w:val="000000"/>
                <w:kern w:val="0"/>
                <w:sz w:val="28"/>
                <w:szCs w:val="28"/>
              </w:rPr>
              <w:lastRenderedPageBreak/>
              <w:t>案件再审改变率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89%</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81%</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73%</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65%</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检察建议采纳率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78%</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62%</w:t>
            </w:r>
          </w:p>
        </w:tc>
      </w:tr>
      <w:tr w:rsidR="00C2325E">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t xml:space="preserve">　　刑事执行监督</w:t>
            </w:r>
          </w:p>
        </w:tc>
        <w:tc>
          <w:tcPr>
            <w:tcW w:w="14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依法对刑罚执行和监管活动实行监督，维</w:t>
            </w:r>
            <w:r>
              <w:rPr>
                <w:rFonts w:ascii="仿宋_GB2312" w:eastAsia="仿宋_GB2312" w:cs="宋体" w:hint="eastAsia"/>
                <w:color w:val="000000"/>
                <w:kern w:val="0"/>
                <w:sz w:val="28"/>
                <w:szCs w:val="28"/>
              </w:rPr>
              <w:lastRenderedPageBreak/>
              <w:t>护刑罚执行和监管活动的公平公正，维护监管秩序稳定，维护被监管人合法权益，保障国家法律统一正确实施。</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保障刑罚执行和监管活动的依法有序进</w:t>
            </w:r>
            <w:r>
              <w:rPr>
                <w:rFonts w:ascii="仿宋_GB2312" w:eastAsia="仿宋_GB2312" w:cs="宋体" w:hint="eastAsia"/>
                <w:color w:val="000000"/>
                <w:kern w:val="0"/>
                <w:sz w:val="28"/>
                <w:szCs w:val="28"/>
              </w:rPr>
              <w:lastRenderedPageBreak/>
              <w:t>行。</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全市排名</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10</w:t>
            </w:r>
          </w:p>
        </w:tc>
      </w:tr>
      <w:tr w:rsidR="00C2325E">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lastRenderedPageBreak/>
              <w:t xml:space="preserve">　　未成年人刑事</w:t>
            </w:r>
            <w:r>
              <w:rPr>
                <w:rFonts w:ascii="仿宋_GB2312" w:eastAsia="仿宋_GB2312" w:cs="宋体" w:hint="eastAsia"/>
                <w:b/>
                <w:bCs/>
                <w:color w:val="000000"/>
                <w:kern w:val="0"/>
                <w:sz w:val="28"/>
                <w:szCs w:val="28"/>
              </w:rPr>
              <w:lastRenderedPageBreak/>
              <w:t>检察</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lastRenderedPageBreak/>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办理全县检察机关未成年人</w:t>
            </w:r>
            <w:r>
              <w:rPr>
                <w:rFonts w:ascii="仿宋_GB2312" w:eastAsia="仿宋_GB2312" w:cs="宋体" w:hint="eastAsia"/>
                <w:color w:val="000000"/>
                <w:kern w:val="0"/>
                <w:sz w:val="28"/>
                <w:szCs w:val="28"/>
              </w:rPr>
              <w:lastRenderedPageBreak/>
              <w:t>犯罪案件的审查逮捕、审查起诉工作，依法履行立案监督、侦查活动监督、审判监督、执行监督职能；开展预防未成年人犯罪综合治理工作；依法保护</w:t>
            </w:r>
            <w:r>
              <w:rPr>
                <w:rFonts w:ascii="仿宋_GB2312" w:eastAsia="仿宋_GB2312" w:cs="宋体" w:hint="eastAsia"/>
                <w:color w:val="000000"/>
                <w:kern w:val="0"/>
                <w:sz w:val="28"/>
                <w:szCs w:val="28"/>
              </w:rPr>
              <w:lastRenderedPageBreak/>
              <w:t>刑事案件未成年被害人的合法权益。</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完成移交未成年人案件侦查</w:t>
            </w:r>
            <w:r>
              <w:rPr>
                <w:rFonts w:ascii="仿宋_GB2312" w:eastAsia="仿宋_GB2312" w:cs="宋体" w:hint="eastAsia"/>
                <w:color w:val="000000"/>
                <w:kern w:val="0"/>
                <w:sz w:val="28"/>
                <w:szCs w:val="28"/>
              </w:rPr>
              <w:lastRenderedPageBreak/>
              <w:t>监督任务，有效实施未成年人案件审判监督，依法保护刑事案件未成年被害人的合法权益。</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侦查监督</w:t>
            </w:r>
            <w:r>
              <w:rPr>
                <w:rFonts w:ascii="仿宋_GB2312" w:eastAsia="仿宋_GB2312" w:cs="宋体" w:hint="eastAsia"/>
                <w:color w:val="000000"/>
                <w:kern w:val="0"/>
                <w:sz w:val="28"/>
                <w:szCs w:val="28"/>
              </w:rPr>
              <w:lastRenderedPageBreak/>
              <w:t>完成率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95%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50%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批捕错误率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2%</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批准立案错误率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2%</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出庭意见</w:t>
            </w:r>
            <w:r>
              <w:rPr>
                <w:rFonts w:ascii="仿宋_GB2312" w:eastAsia="仿宋_GB2312" w:cs="宋体" w:hint="eastAsia"/>
                <w:color w:val="000000"/>
                <w:kern w:val="0"/>
                <w:sz w:val="28"/>
                <w:szCs w:val="28"/>
              </w:rPr>
              <w:lastRenderedPageBreak/>
              <w:t>采纳率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95%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公诉抗诉案件再审改变率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45%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30%</w:t>
            </w:r>
          </w:p>
        </w:tc>
      </w:tr>
      <w:tr w:rsidR="00C2325E">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t xml:space="preserve">　　司法辅助</w:t>
            </w:r>
          </w:p>
        </w:tc>
        <w:tc>
          <w:tcPr>
            <w:tcW w:w="14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保障办案安全、负责全县检察机关司法</w:t>
            </w:r>
            <w:r>
              <w:rPr>
                <w:rFonts w:ascii="仿宋_GB2312" w:eastAsia="仿宋_GB2312" w:cs="宋体" w:hint="eastAsia"/>
                <w:color w:val="000000"/>
                <w:kern w:val="0"/>
                <w:sz w:val="28"/>
                <w:szCs w:val="28"/>
              </w:rPr>
              <w:lastRenderedPageBreak/>
              <w:t>警察的授衔和管理工作；开展全县检察机关技术工作和物证检验、鉴定、审核等工作。</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加强各项检察辅助职能，为检察业务提供</w:t>
            </w:r>
            <w:r>
              <w:rPr>
                <w:rFonts w:ascii="仿宋_GB2312" w:eastAsia="仿宋_GB2312" w:cs="宋体" w:hint="eastAsia"/>
                <w:color w:val="000000"/>
                <w:kern w:val="0"/>
                <w:sz w:val="28"/>
                <w:szCs w:val="28"/>
              </w:rPr>
              <w:lastRenderedPageBreak/>
              <w:t>有力保障。</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工作完成率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50%</w:t>
            </w:r>
          </w:p>
        </w:tc>
      </w:tr>
      <w:tr w:rsidR="00C2325E">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lastRenderedPageBreak/>
              <w:t>控告和刑事申诉检察</w:t>
            </w:r>
          </w:p>
        </w:tc>
        <w:tc>
          <w:tcPr>
            <w:tcW w:w="14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组织和指导全县控申部门受理来信来访、举报、刑事申</w:t>
            </w:r>
            <w:r>
              <w:rPr>
                <w:rFonts w:ascii="仿宋_GB2312" w:eastAsia="仿宋_GB2312" w:cs="宋体" w:hint="eastAsia"/>
                <w:color w:val="000000"/>
                <w:kern w:val="0"/>
                <w:sz w:val="28"/>
                <w:szCs w:val="28"/>
              </w:rPr>
              <w:lastRenderedPageBreak/>
              <w:t>诉、国家赔偿、司法救助工作，受理民事监督案件，办理信访、举报案件、刑事申诉案件、国家赔偿、司法救助案件以及上级机关交办、转办、督办案</w:t>
            </w:r>
            <w:r>
              <w:rPr>
                <w:rFonts w:ascii="仿宋_GB2312" w:eastAsia="仿宋_GB2312" w:cs="宋体" w:hint="eastAsia"/>
                <w:color w:val="000000"/>
                <w:kern w:val="0"/>
                <w:sz w:val="28"/>
                <w:szCs w:val="28"/>
              </w:rPr>
              <w:lastRenderedPageBreak/>
              <w:t>件。</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保护公民、法人和其他单位的合法权益，促进司法公</w:t>
            </w:r>
            <w:r>
              <w:rPr>
                <w:rFonts w:ascii="仿宋_GB2312" w:eastAsia="仿宋_GB2312" w:cs="宋体" w:hint="eastAsia"/>
                <w:color w:val="000000"/>
                <w:kern w:val="0"/>
                <w:sz w:val="28"/>
                <w:szCs w:val="28"/>
              </w:rPr>
              <w:lastRenderedPageBreak/>
              <w:t>正，维护社会稳定</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lastRenderedPageBreak/>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r>
      <w:tr w:rsidR="00C2325E">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lastRenderedPageBreak/>
              <w:t xml:space="preserve">　　涉检信访办理</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统一受理报案、控告、举报、申诉和犯罪嫌疑人投案自首，办理对公检法三机关及工作人员阻碍辩护人、诉讼代理人依法行使诉讼权利</w:t>
            </w:r>
            <w:r>
              <w:rPr>
                <w:rFonts w:ascii="仿宋_GB2312" w:eastAsia="仿宋_GB2312" w:cs="宋体" w:hint="eastAsia"/>
                <w:color w:val="000000"/>
                <w:kern w:val="0"/>
                <w:sz w:val="28"/>
                <w:szCs w:val="28"/>
              </w:rPr>
              <w:lastRenderedPageBreak/>
              <w:t>的控告或申诉，办理对本院办案中违法行为的控告或申诉，受理民事监督案件。</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构建依法有序信访秩序，及时依法解决群众诉求。</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涉检信访案件办结率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有效化解涉检信访矛盾</w:t>
            </w:r>
            <w:r>
              <w:rPr>
                <w:rFonts w:ascii="仿宋_GB2312" w:eastAsia="仿宋_GB2312" w:cs="宋体" w:hint="eastAsia"/>
                <w:color w:val="000000"/>
                <w:kern w:val="0"/>
                <w:sz w:val="28"/>
                <w:szCs w:val="28"/>
              </w:rPr>
              <w:lastRenderedPageBreak/>
              <w:t>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99%</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r>
      <w:tr w:rsidR="00C2325E">
        <w:trPr>
          <w:trHeight w:val="255"/>
          <w:tblCellSpacing w:w="0" w:type="dxa"/>
          <w:jc w:val="center"/>
        </w:trPr>
        <w:tc>
          <w:tcPr>
            <w:tcW w:w="2610"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lastRenderedPageBreak/>
              <w:t xml:space="preserve">　　举报管理、刑事申诉及涉检国家赔偿和司法</w:t>
            </w:r>
            <w:r>
              <w:rPr>
                <w:rFonts w:ascii="仿宋_GB2312" w:eastAsia="仿宋_GB2312" w:cs="宋体" w:hint="eastAsia"/>
                <w:b/>
                <w:bCs/>
                <w:color w:val="000000"/>
                <w:kern w:val="0"/>
                <w:sz w:val="28"/>
                <w:szCs w:val="28"/>
              </w:rPr>
              <w:lastRenderedPageBreak/>
              <w:t>救助</w:t>
            </w:r>
          </w:p>
        </w:tc>
        <w:tc>
          <w:tcPr>
            <w:tcW w:w="142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lastRenderedPageBreak/>
              <w:t> </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受理初核对国家工作人员职务犯罪的举报；受理、审查和复查当事</w:t>
            </w:r>
            <w:r>
              <w:rPr>
                <w:rFonts w:ascii="仿宋_GB2312" w:eastAsia="仿宋_GB2312" w:cs="宋体" w:hint="eastAsia"/>
                <w:color w:val="000000"/>
                <w:kern w:val="0"/>
                <w:sz w:val="28"/>
                <w:szCs w:val="28"/>
              </w:rPr>
              <w:lastRenderedPageBreak/>
              <w:t>人不服的刑事申诉案件；统一办理人民检察院作为赔偿义务机关的刑事赔偿、复议案件，对人民法院赔偿委员会判决、裁定进行监督，开展司法救助工</w:t>
            </w:r>
            <w:r>
              <w:rPr>
                <w:rFonts w:ascii="仿宋_GB2312" w:eastAsia="仿宋_GB2312" w:cs="宋体" w:hint="eastAsia"/>
                <w:color w:val="000000"/>
                <w:kern w:val="0"/>
                <w:sz w:val="28"/>
                <w:szCs w:val="28"/>
              </w:rPr>
              <w:lastRenderedPageBreak/>
              <w:t>作。</w:t>
            </w:r>
          </w:p>
        </w:tc>
        <w:tc>
          <w:tcPr>
            <w:tcW w:w="3315" w:type="dxa"/>
            <w:vMerge w:val="restart"/>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加强和改进举报工作，保护申诉人合法权益，保护被赔偿人和被救助</w:t>
            </w:r>
            <w:r>
              <w:rPr>
                <w:rFonts w:ascii="仿宋_GB2312" w:eastAsia="仿宋_GB2312" w:cs="宋体" w:hint="eastAsia"/>
                <w:color w:val="000000"/>
                <w:kern w:val="0"/>
                <w:sz w:val="28"/>
                <w:szCs w:val="28"/>
              </w:rPr>
              <w:lastRenderedPageBreak/>
              <w:t>人合法权益。</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举报线索处置率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99%</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息诉</w:t>
            </w:r>
            <w:r>
              <w:rPr>
                <w:rFonts w:ascii="仿宋_GB2312" w:eastAsia="仿宋_GB2312" w:cs="宋体" w:hint="eastAsia"/>
                <w:color w:val="000000"/>
                <w:kern w:val="0"/>
                <w:sz w:val="28"/>
                <w:szCs w:val="28"/>
              </w:rPr>
              <w:lastRenderedPageBreak/>
              <w:t>罢访率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99%</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r>
      <w:tr w:rsidR="00C2325E">
        <w:trPr>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0" w:type="auto"/>
            <w:vMerge/>
            <w:tcBorders>
              <w:top w:val="outset" w:sz="6" w:space="0" w:color="auto"/>
              <w:left w:val="outset" w:sz="6" w:space="0" w:color="auto"/>
              <w:bottom w:val="outset" w:sz="6" w:space="0" w:color="auto"/>
              <w:right w:val="outset" w:sz="6" w:space="0" w:color="auto"/>
            </w:tcBorders>
            <w:vAlign w:val="center"/>
          </w:tcPr>
          <w:p w:rsidR="00C2325E" w:rsidRDefault="00C2325E"/>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国家赔偿案件办结率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100%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r>
      <w:tr w:rsidR="00C2325E">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lastRenderedPageBreak/>
              <w:t>检察事务管理</w:t>
            </w:r>
          </w:p>
        </w:tc>
        <w:tc>
          <w:tcPr>
            <w:tcW w:w="14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186.65</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承担系统综合业务管理和综合事务管理工作。</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确保全年各项检察工作圆满完成</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宋体" w:eastAsia="仿宋_GB2312" w:hAnsi="宋体" w:cs="宋体"/>
                <w:color w:val="000000"/>
                <w:kern w:val="0"/>
                <w:sz w:val="28"/>
                <w:szCs w:val="28"/>
              </w:rPr>
            </w:pPr>
            <w:r>
              <w:rPr>
                <w:rFonts w:ascii="宋体" w:eastAsia="仿宋_GB2312" w:hAnsi="宋体" w:cs="宋体" w:hint="eastAsia"/>
                <w:color w:val="000000"/>
                <w:kern w:val="0"/>
                <w:sz w:val="28"/>
                <w:szCs w:val="28"/>
              </w:rPr>
              <w:t> </w:t>
            </w:r>
          </w:p>
        </w:tc>
      </w:tr>
      <w:tr w:rsidR="00C2325E">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t xml:space="preserve">　　综合业务管理</w:t>
            </w:r>
          </w:p>
        </w:tc>
        <w:tc>
          <w:tcPr>
            <w:tcW w:w="14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24.65</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确定全县检察阶段性的工作重点和措施，部署检察工作任务；进行案件质量保证体</w:t>
            </w:r>
            <w:r>
              <w:rPr>
                <w:rFonts w:ascii="仿宋_GB2312" w:eastAsia="仿宋_GB2312" w:cs="宋体" w:hint="eastAsia"/>
                <w:color w:val="000000"/>
                <w:kern w:val="0"/>
                <w:sz w:val="28"/>
                <w:szCs w:val="28"/>
              </w:rPr>
              <w:lastRenderedPageBreak/>
              <w:t>系建设；开展涉农检察工作；参与社会管理综合治理等工作；进行法律政策研究工作；加强人民监督员和人大代表监督；统筹进行网络信息化建设；</w:t>
            </w:r>
            <w:r>
              <w:rPr>
                <w:rFonts w:ascii="仿宋_GB2312" w:eastAsia="仿宋_GB2312" w:cs="宋体" w:hint="eastAsia"/>
                <w:color w:val="000000"/>
                <w:kern w:val="0"/>
                <w:sz w:val="28"/>
                <w:szCs w:val="28"/>
              </w:rPr>
              <w:lastRenderedPageBreak/>
              <w:t>开展检察宣传工作、推进检务公开。</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提高执法水平和办案质量、提升检察机关法律监督能力。</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各项检察综合业务管理工作</w:t>
            </w:r>
            <w:r>
              <w:rPr>
                <w:rFonts w:ascii="仿宋_GB2312" w:eastAsia="仿宋_GB2312" w:cs="宋体" w:hint="eastAsia"/>
                <w:color w:val="000000"/>
                <w:kern w:val="0"/>
                <w:sz w:val="28"/>
                <w:szCs w:val="28"/>
              </w:rPr>
              <w:lastRenderedPageBreak/>
              <w:t>完成率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95%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r>
      <w:tr w:rsidR="00C2325E">
        <w:trPr>
          <w:trHeight w:val="25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b/>
                <w:bCs/>
                <w:color w:val="000000"/>
                <w:kern w:val="0"/>
                <w:sz w:val="28"/>
                <w:szCs w:val="28"/>
              </w:rPr>
              <w:lastRenderedPageBreak/>
              <w:t xml:space="preserve">　　综合事务管理</w:t>
            </w:r>
          </w:p>
        </w:tc>
        <w:tc>
          <w:tcPr>
            <w:tcW w:w="14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162.00</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组织指导全县检察人员的教育培训工作，进行检察装备建设及维护；配备制式检察服装及法警服装；进行基础</w:t>
            </w:r>
            <w:r>
              <w:rPr>
                <w:rFonts w:ascii="仿宋_GB2312" w:eastAsia="仿宋_GB2312" w:cs="宋体" w:hint="eastAsia"/>
                <w:color w:val="000000"/>
                <w:kern w:val="0"/>
                <w:sz w:val="28"/>
                <w:szCs w:val="28"/>
              </w:rPr>
              <w:lastRenderedPageBreak/>
              <w:t>设施建设和维护。</w:t>
            </w:r>
          </w:p>
        </w:tc>
        <w:tc>
          <w:tcPr>
            <w:tcW w:w="331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lastRenderedPageBreak/>
              <w:t>为检察工作顺利开展提供检务保障。</w:t>
            </w:r>
          </w:p>
        </w:tc>
        <w:tc>
          <w:tcPr>
            <w:tcW w:w="157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各项检务保障工作完成率</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95%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85%</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70%</w:t>
            </w:r>
          </w:p>
        </w:tc>
        <w:tc>
          <w:tcPr>
            <w:tcW w:w="825" w:type="dxa"/>
            <w:tcBorders>
              <w:top w:val="outset" w:sz="6" w:space="0" w:color="auto"/>
              <w:left w:val="outset" w:sz="6" w:space="0" w:color="auto"/>
              <w:bottom w:val="outset" w:sz="6" w:space="0" w:color="auto"/>
              <w:right w:val="outset" w:sz="6" w:space="0" w:color="auto"/>
            </w:tcBorders>
            <w:vAlign w:val="center"/>
          </w:tcPr>
          <w:p w:rsidR="00C2325E" w:rsidRDefault="00DA26BF">
            <w:pPr>
              <w:widowControl/>
              <w:spacing w:line="360" w:lineRule="atLeas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60%</w:t>
            </w:r>
          </w:p>
        </w:tc>
      </w:tr>
    </w:tbl>
    <w:p w:rsidR="00C2325E" w:rsidRDefault="00DA26BF">
      <w:pPr>
        <w:widowControl/>
        <w:spacing w:line="360" w:lineRule="atLeast"/>
        <w:ind w:left="160" w:hangingChars="50" w:hanging="160"/>
        <w:jc w:val="left"/>
        <w:rPr>
          <w:rFonts w:ascii="黑体" w:eastAsia="黑体" w:cs="宋体"/>
          <w:color w:val="000000"/>
          <w:kern w:val="0"/>
          <w:sz w:val="32"/>
          <w:szCs w:val="32"/>
        </w:rPr>
      </w:pPr>
      <w:r>
        <w:rPr>
          <w:rFonts w:ascii="宋体" w:eastAsia="仿宋_GB2312" w:hAnsi="宋体" w:cs="宋体" w:hint="eastAsia"/>
          <w:color w:val="000000"/>
          <w:kern w:val="0"/>
          <w:sz w:val="32"/>
          <w:szCs w:val="32"/>
        </w:rPr>
        <w:lastRenderedPageBreak/>
        <w:t> </w:t>
      </w:r>
      <w:r>
        <w:rPr>
          <w:rFonts w:ascii="黑体" w:eastAsia="黑体" w:cs="宋体" w:hint="eastAsia"/>
          <w:color w:val="000000"/>
          <w:kern w:val="0"/>
          <w:sz w:val="32"/>
          <w:szCs w:val="32"/>
        </w:rPr>
        <w:t>六、政府采购预算情况</w:t>
      </w:r>
    </w:p>
    <w:p w:rsidR="00C2325E" w:rsidRDefault="00DA26BF">
      <w:pPr>
        <w:widowControl/>
        <w:spacing w:line="360" w:lineRule="atLeast"/>
        <w:ind w:left="160" w:hangingChars="50" w:hanging="160"/>
        <w:jc w:val="left"/>
        <w:rPr>
          <w:rFonts w:ascii="仿宋_GB2312" w:eastAsia="仿宋_GB2312" w:cs="宋体"/>
          <w:color w:val="000000"/>
          <w:kern w:val="0"/>
          <w:sz w:val="32"/>
          <w:szCs w:val="32"/>
        </w:rPr>
      </w:pP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年，我部门未安排政府采购预算。</w:t>
      </w:r>
    </w:p>
    <w:tbl>
      <w:tblPr>
        <w:tblW w:w="511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78"/>
        <w:gridCol w:w="1011"/>
        <w:gridCol w:w="832"/>
        <w:gridCol w:w="1325"/>
        <w:gridCol w:w="832"/>
        <w:gridCol w:w="832"/>
        <w:gridCol w:w="865"/>
        <w:gridCol w:w="851"/>
        <w:gridCol w:w="851"/>
        <w:gridCol w:w="851"/>
        <w:gridCol w:w="774"/>
        <w:gridCol w:w="834"/>
        <w:gridCol w:w="843"/>
        <w:gridCol w:w="790"/>
      </w:tblGrid>
      <w:tr w:rsidR="00C2325E">
        <w:trPr>
          <w:tblHeader/>
          <w:jc w:val="center"/>
        </w:trPr>
        <w:tc>
          <w:tcPr>
            <w:tcW w:w="2895" w:type="pct"/>
            <w:gridSpan w:val="7"/>
            <w:tcBorders>
              <w:top w:val="single" w:sz="6" w:space="0" w:color="FFFFFF"/>
              <w:left w:val="single" w:sz="6" w:space="0" w:color="FFFFFF"/>
              <w:right w:val="single" w:sz="6" w:space="0" w:color="FFFFFF"/>
            </w:tcBorders>
            <w:shd w:val="clear" w:color="auto" w:fill="auto"/>
            <w:vAlign w:val="center"/>
          </w:tcPr>
          <w:p w:rsidR="00C2325E" w:rsidRDefault="00DA26BF">
            <w:pPr>
              <w:spacing w:line="300" w:lineRule="exact"/>
              <w:jc w:val="left"/>
              <w:rPr>
                <w:rFonts w:ascii="仿宋_GB2312" w:eastAsia="仿宋_GB2312" w:cs="Times New Roman"/>
                <w:sz w:val="28"/>
                <w:szCs w:val="28"/>
              </w:rPr>
            </w:pPr>
            <w:r>
              <w:rPr>
                <w:rFonts w:ascii="仿宋_GB2312" w:eastAsia="仿宋_GB2312" w:cs="宋体" w:hint="eastAsia"/>
                <w:color w:val="000000"/>
                <w:kern w:val="0"/>
                <w:sz w:val="28"/>
                <w:szCs w:val="28"/>
              </w:rPr>
              <w:t>廊坊市广阳区</w:t>
            </w:r>
            <w:r>
              <w:rPr>
                <w:rFonts w:ascii="仿宋_GB2312" w:eastAsia="仿宋_GB2312" w:cs="宋体"/>
                <w:color w:val="000000"/>
                <w:kern w:val="0"/>
                <w:sz w:val="28"/>
                <w:szCs w:val="28"/>
              </w:rPr>
              <w:t>人民检察院</w:t>
            </w:r>
          </w:p>
        </w:tc>
        <w:tc>
          <w:tcPr>
            <w:tcW w:w="2104" w:type="pct"/>
            <w:gridSpan w:val="7"/>
            <w:tcBorders>
              <w:top w:val="single" w:sz="6" w:space="0" w:color="FFFFFF"/>
              <w:left w:val="single" w:sz="6" w:space="0" w:color="FFFFFF"/>
              <w:right w:val="single" w:sz="6" w:space="0" w:color="FFFFFF"/>
            </w:tcBorders>
            <w:shd w:val="clear" w:color="auto" w:fill="auto"/>
            <w:vAlign w:val="center"/>
          </w:tcPr>
          <w:p w:rsidR="00C2325E" w:rsidRDefault="00DA26BF">
            <w:pPr>
              <w:spacing w:line="300" w:lineRule="exact"/>
              <w:jc w:val="right"/>
              <w:rPr>
                <w:rFonts w:ascii="仿宋_GB2312" w:eastAsia="仿宋_GB2312" w:cs="Times New Roman"/>
                <w:sz w:val="28"/>
                <w:szCs w:val="28"/>
              </w:rPr>
            </w:pPr>
            <w:r>
              <w:rPr>
                <w:rFonts w:ascii="仿宋_GB2312" w:eastAsia="仿宋_GB2312" w:cs="Times New Roman" w:hint="eastAsia"/>
                <w:sz w:val="28"/>
                <w:szCs w:val="28"/>
              </w:rPr>
              <w:t>单位：万元</w:t>
            </w:r>
          </w:p>
        </w:tc>
      </w:tr>
      <w:tr w:rsidR="00C2325E">
        <w:trPr>
          <w:trHeight w:val="485"/>
          <w:tblHeader/>
          <w:jc w:val="center"/>
        </w:trPr>
        <w:tc>
          <w:tcPr>
            <w:tcW w:w="1194" w:type="pct"/>
            <w:gridSpan w:val="2"/>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政府采购项目来源</w:t>
            </w:r>
          </w:p>
        </w:tc>
        <w:tc>
          <w:tcPr>
            <w:tcW w:w="302" w:type="pct"/>
            <w:vMerge w:val="restar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采购物品名称</w:t>
            </w:r>
          </w:p>
        </w:tc>
        <w:tc>
          <w:tcPr>
            <w:tcW w:w="481" w:type="pct"/>
            <w:vMerge w:val="restar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政府采购目录序号</w:t>
            </w:r>
          </w:p>
        </w:tc>
        <w:tc>
          <w:tcPr>
            <w:tcW w:w="302" w:type="pct"/>
            <w:vMerge w:val="restar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数量</w:t>
            </w:r>
            <w:r>
              <w:rPr>
                <w:rFonts w:ascii="仿宋_GB2312" w:eastAsia="仿宋_GB2312" w:cs="Times New Roman" w:hint="eastAsia"/>
                <w:b/>
                <w:sz w:val="28"/>
                <w:szCs w:val="28"/>
              </w:rPr>
              <w:t xml:space="preserve">  </w:t>
            </w:r>
            <w:r>
              <w:rPr>
                <w:rFonts w:ascii="仿宋_GB2312" w:eastAsia="仿宋_GB2312" w:cs="Times New Roman" w:hint="eastAsia"/>
                <w:b/>
                <w:sz w:val="28"/>
                <w:szCs w:val="28"/>
              </w:rPr>
              <w:t>单位</w:t>
            </w:r>
          </w:p>
        </w:tc>
        <w:tc>
          <w:tcPr>
            <w:tcW w:w="302" w:type="pct"/>
            <w:vMerge w:val="restar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数量</w:t>
            </w:r>
          </w:p>
        </w:tc>
        <w:tc>
          <w:tcPr>
            <w:tcW w:w="310" w:type="pct"/>
            <w:vMerge w:val="restar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单价</w:t>
            </w:r>
          </w:p>
        </w:tc>
        <w:tc>
          <w:tcPr>
            <w:tcW w:w="2104" w:type="pct"/>
            <w:gridSpan w:val="7"/>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政府采购金额</w:t>
            </w:r>
          </w:p>
        </w:tc>
      </w:tr>
      <w:tr w:rsidR="00C2325E">
        <w:trPr>
          <w:trHeight w:val="594"/>
          <w:tblHeader/>
          <w:jc w:val="center"/>
        </w:trPr>
        <w:tc>
          <w:tcPr>
            <w:tcW w:w="827" w:type="pct"/>
            <w:vMerge w:val="restar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项目名称</w:t>
            </w:r>
          </w:p>
        </w:tc>
        <w:tc>
          <w:tcPr>
            <w:tcW w:w="367" w:type="pct"/>
            <w:vMerge w:val="restar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预算资金</w:t>
            </w:r>
          </w:p>
        </w:tc>
        <w:tc>
          <w:tcPr>
            <w:tcW w:w="303" w:type="pct"/>
            <w:vMerge/>
            <w:shd w:val="clear" w:color="auto" w:fill="auto"/>
            <w:vAlign w:val="center"/>
          </w:tcPr>
          <w:p w:rsidR="00C2325E" w:rsidRDefault="00C2325E"/>
        </w:tc>
        <w:tc>
          <w:tcPr>
            <w:tcW w:w="482" w:type="pct"/>
            <w:vMerge/>
            <w:shd w:val="clear" w:color="auto" w:fill="auto"/>
            <w:vAlign w:val="center"/>
          </w:tcPr>
          <w:p w:rsidR="00C2325E" w:rsidRDefault="00C2325E"/>
        </w:tc>
        <w:tc>
          <w:tcPr>
            <w:tcW w:w="303" w:type="pct"/>
            <w:vMerge/>
            <w:shd w:val="clear" w:color="auto" w:fill="auto"/>
            <w:vAlign w:val="center"/>
          </w:tcPr>
          <w:p w:rsidR="00C2325E" w:rsidRDefault="00C2325E"/>
        </w:tc>
        <w:tc>
          <w:tcPr>
            <w:tcW w:w="303" w:type="pct"/>
            <w:vMerge/>
            <w:shd w:val="clear" w:color="auto" w:fill="auto"/>
            <w:vAlign w:val="center"/>
          </w:tcPr>
          <w:p w:rsidR="00C2325E" w:rsidRDefault="00C2325E"/>
        </w:tc>
        <w:tc>
          <w:tcPr>
            <w:tcW w:w="310" w:type="pct"/>
            <w:vMerge/>
            <w:shd w:val="clear" w:color="auto" w:fill="auto"/>
            <w:vAlign w:val="center"/>
          </w:tcPr>
          <w:p w:rsidR="00C2325E" w:rsidRDefault="00C2325E"/>
        </w:tc>
        <w:tc>
          <w:tcPr>
            <w:tcW w:w="309" w:type="pct"/>
            <w:vMerge w:val="restar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总计</w:t>
            </w:r>
          </w:p>
        </w:tc>
        <w:tc>
          <w:tcPr>
            <w:tcW w:w="1508" w:type="pct"/>
            <w:gridSpan w:val="5"/>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当年部门预算安排资金</w:t>
            </w:r>
          </w:p>
        </w:tc>
        <w:tc>
          <w:tcPr>
            <w:tcW w:w="285" w:type="pct"/>
            <w:vMerge w:val="restar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其他渠道资金</w:t>
            </w:r>
          </w:p>
        </w:tc>
      </w:tr>
      <w:tr w:rsidR="00C2325E">
        <w:trPr>
          <w:tblHeader/>
          <w:jc w:val="center"/>
        </w:trPr>
        <w:tc>
          <w:tcPr>
            <w:tcW w:w="825" w:type="pct"/>
            <w:vMerge/>
            <w:shd w:val="clear" w:color="auto" w:fill="auto"/>
            <w:vAlign w:val="center"/>
          </w:tcPr>
          <w:p w:rsidR="00C2325E" w:rsidRDefault="00C2325E"/>
        </w:tc>
        <w:tc>
          <w:tcPr>
            <w:tcW w:w="367" w:type="pct"/>
            <w:vMerge/>
            <w:shd w:val="clear" w:color="auto" w:fill="auto"/>
            <w:vAlign w:val="center"/>
          </w:tcPr>
          <w:p w:rsidR="00C2325E" w:rsidRDefault="00C2325E"/>
        </w:tc>
        <w:tc>
          <w:tcPr>
            <w:tcW w:w="303" w:type="pct"/>
            <w:vMerge/>
            <w:shd w:val="clear" w:color="auto" w:fill="auto"/>
            <w:vAlign w:val="center"/>
          </w:tcPr>
          <w:p w:rsidR="00C2325E" w:rsidRDefault="00C2325E"/>
        </w:tc>
        <w:tc>
          <w:tcPr>
            <w:tcW w:w="482" w:type="pct"/>
            <w:vMerge/>
            <w:shd w:val="clear" w:color="auto" w:fill="auto"/>
            <w:vAlign w:val="center"/>
          </w:tcPr>
          <w:p w:rsidR="00C2325E" w:rsidRDefault="00C2325E"/>
        </w:tc>
        <w:tc>
          <w:tcPr>
            <w:tcW w:w="303" w:type="pct"/>
            <w:vMerge/>
            <w:shd w:val="clear" w:color="auto" w:fill="auto"/>
            <w:vAlign w:val="center"/>
          </w:tcPr>
          <w:p w:rsidR="00C2325E" w:rsidRDefault="00C2325E"/>
        </w:tc>
        <w:tc>
          <w:tcPr>
            <w:tcW w:w="303" w:type="pct"/>
            <w:vMerge/>
            <w:shd w:val="clear" w:color="auto" w:fill="auto"/>
            <w:vAlign w:val="center"/>
          </w:tcPr>
          <w:p w:rsidR="00C2325E" w:rsidRDefault="00C2325E"/>
        </w:tc>
        <w:tc>
          <w:tcPr>
            <w:tcW w:w="310" w:type="pct"/>
            <w:vMerge/>
            <w:shd w:val="clear" w:color="auto" w:fill="auto"/>
            <w:vAlign w:val="center"/>
          </w:tcPr>
          <w:p w:rsidR="00C2325E" w:rsidRDefault="00C2325E"/>
        </w:tc>
        <w:tc>
          <w:tcPr>
            <w:tcW w:w="310" w:type="pct"/>
            <w:vMerge/>
            <w:shd w:val="clear" w:color="auto" w:fill="auto"/>
            <w:vAlign w:val="center"/>
          </w:tcPr>
          <w:p w:rsidR="00C2325E" w:rsidRDefault="00C2325E"/>
        </w:tc>
        <w:tc>
          <w:tcPr>
            <w:tcW w:w="309" w:type="pc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合计</w:t>
            </w:r>
          </w:p>
        </w:tc>
        <w:tc>
          <w:tcPr>
            <w:tcW w:w="309" w:type="pc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一般公共预算拨款</w:t>
            </w:r>
          </w:p>
        </w:tc>
        <w:tc>
          <w:tcPr>
            <w:tcW w:w="281" w:type="pc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基金预算拨款</w:t>
            </w:r>
          </w:p>
        </w:tc>
        <w:tc>
          <w:tcPr>
            <w:tcW w:w="303" w:type="pc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财政专户核拨</w:t>
            </w:r>
          </w:p>
        </w:tc>
        <w:tc>
          <w:tcPr>
            <w:tcW w:w="303" w:type="pc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其他来源收入</w:t>
            </w:r>
          </w:p>
        </w:tc>
        <w:tc>
          <w:tcPr>
            <w:tcW w:w="286" w:type="pct"/>
            <w:vMerge/>
            <w:shd w:val="clear" w:color="auto" w:fill="auto"/>
            <w:vAlign w:val="center"/>
          </w:tcPr>
          <w:p w:rsidR="00C2325E" w:rsidRDefault="00C2325E"/>
        </w:tc>
      </w:tr>
      <w:tr w:rsidR="00C2325E">
        <w:trPr>
          <w:jc w:val="center"/>
        </w:trPr>
        <w:tc>
          <w:tcPr>
            <w:tcW w:w="827" w:type="pct"/>
            <w:shd w:val="clear" w:color="auto" w:fill="auto"/>
            <w:vAlign w:val="center"/>
          </w:tcPr>
          <w:p w:rsidR="00C2325E" w:rsidRDefault="00DA26BF">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合　计</w:t>
            </w:r>
          </w:p>
        </w:tc>
        <w:tc>
          <w:tcPr>
            <w:tcW w:w="367"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2" w:type="pct"/>
            <w:shd w:val="clear" w:color="auto" w:fill="auto"/>
            <w:vAlign w:val="center"/>
          </w:tcPr>
          <w:p w:rsidR="00C2325E" w:rsidRDefault="00C2325E">
            <w:pPr>
              <w:spacing w:line="300" w:lineRule="exact"/>
              <w:jc w:val="left"/>
              <w:rPr>
                <w:rFonts w:ascii="仿宋_GB2312" w:eastAsia="仿宋_GB2312" w:cs="Times New Roman"/>
                <w:b/>
                <w:sz w:val="28"/>
                <w:szCs w:val="28"/>
              </w:rPr>
            </w:pPr>
          </w:p>
        </w:tc>
        <w:tc>
          <w:tcPr>
            <w:tcW w:w="481" w:type="pct"/>
            <w:shd w:val="clear" w:color="auto" w:fill="auto"/>
            <w:vAlign w:val="center"/>
          </w:tcPr>
          <w:p w:rsidR="00C2325E" w:rsidRDefault="00C2325E">
            <w:pPr>
              <w:spacing w:line="300" w:lineRule="exact"/>
              <w:jc w:val="left"/>
              <w:rPr>
                <w:rFonts w:ascii="仿宋_GB2312" w:eastAsia="仿宋_GB2312" w:cs="Times New Roman"/>
                <w:b/>
                <w:sz w:val="28"/>
                <w:szCs w:val="28"/>
              </w:rPr>
            </w:pPr>
          </w:p>
        </w:tc>
        <w:tc>
          <w:tcPr>
            <w:tcW w:w="302" w:type="pct"/>
            <w:shd w:val="clear" w:color="auto" w:fill="auto"/>
            <w:vAlign w:val="center"/>
          </w:tcPr>
          <w:p w:rsidR="00C2325E" w:rsidRDefault="00C2325E">
            <w:pPr>
              <w:spacing w:line="300" w:lineRule="exact"/>
              <w:jc w:val="left"/>
              <w:rPr>
                <w:rFonts w:ascii="仿宋_GB2312" w:eastAsia="仿宋_GB2312" w:cs="Times New Roman"/>
                <w:b/>
                <w:sz w:val="28"/>
                <w:szCs w:val="28"/>
              </w:rPr>
            </w:pPr>
          </w:p>
        </w:tc>
        <w:tc>
          <w:tcPr>
            <w:tcW w:w="302"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10"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281"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3"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3"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285"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r>
      <w:tr w:rsidR="00C2325E">
        <w:trPr>
          <w:jc w:val="center"/>
        </w:trPr>
        <w:tc>
          <w:tcPr>
            <w:tcW w:w="827" w:type="pct"/>
            <w:shd w:val="clear" w:color="auto" w:fill="auto"/>
            <w:vAlign w:val="center"/>
          </w:tcPr>
          <w:p w:rsidR="00C2325E" w:rsidRDefault="00C2325E">
            <w:pPr>
              <w:spacing w:line="300" w:lineRule="exact"/>
              <w:jc w:val="center"/>
              <w:rPr>
                <w:rFonts w:ascii="仿宋_GB2312" w:eastAsia="仿宋_GB2312" w:cs="Times New Roman"/>
                <w:b/>
                <w:sz w:val="28"/>
                <w:szCs w:val="28"/>
              </w:rPr>
            </w:pPr>
          </w:p>
        </w:tc>
        <w:tc>
          <w:tcPr>
            <w:tcW w:w="367"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2" w:type="pct"/>
            <w:shd w:val="clear" w:color="auto" w:fill="auto"/>
            <w:vAlign w:val="center"/>
          </w:tcPr>
          <w:p w:rsidR="00C2325E" w:rsidRDefault="00C2325E">
            <w:pPr>
              <w:spacing w:line="300" w:lineRule="exact"/>
              <w:jc w:val="left"/>
              <w:rPr>
                <w:rFonts w:ascii="仿宋_GB2312" w:eastAsia="仿宋_GB2312" w:cs="Times New Roman"/>
                <w:b/>
                <w:sz w:val="28"/>
                <w:szCs w:val="28"/>
              </w:rPr>
            </w:pPr>
          </w:p>
        </w:tc>
        <w:tc>
          <w:tcPr>
            <w:tcW w:w="481" w:type="pct"/>
            <w:shd w:val="clear" w:color="auto" w:fill="auto"/>
            <w:vAlign w:val="center"/>
          </w:tcPr>
          <w:p w:rsidR="00C2325E" w:rsidRDefault="00C2325E">
            <w:pPr>
              <w:spacing w:line="300" w:lineRule="exact"/>
              <w:jc w:val="left"/>
              <w:rPr>
                <w:rFonts w:ascii="仿宋_GB2312" w:eastAsia="仿宋_GB2312" w:cs="Times New Roman"/>
                <w:b/>
                <w:sz w:val="28"/>
                <w:szCs w:val="28"/>
              </w:rPr>
            </w:pPr>
          </w:p>
        </w:tc>
        <w:tc>
          <w:tcPr>
            <w:tcW w:w="302" w:type="pct"/>
            <w:shd w:val="clear" w:color="auto" w:fill="auto"/>
            <w:vAlign w:val="center"/>
          </w:tcPr>
          <w:p w:rsidR="00C2325E" w:rsidRDefault="00C2325E">
            <w:pPr>
              <w:spacing w:line="300" w:lineRule="exact"/>
              <w:jc w:val="left"/>
              <w:rPr>
                <w:rFonts w:ascii="仿宋_GB2312" w:eastAsia="仿宋_GB2312" w:cs="Times New Roman"/>
                <w:b/>
                <w:sz w:val="28"/>
                <w:szCs w:val="28"/>
              </w:rPr>
            </w:pPr>
          </w:p>
        </w:tc>
        <w:tc>
          <w:tcPr>
            <w:tcW w:w="302"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10"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281"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3"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303"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c>
          <w:tcPr>
            <w:tcW w:w="285" w:type="pct"/>
            <w:shd w:val="clear" w:color="auto" w:fill="auto"/>
            <w:vAlign w:val="center"/>
          </w:tcPr>
          <w:p w:rsidR="00C2325E" w:rsidRDefault="00C2325E">
            <w:pPr>
              <w:spacing w:line="300" w:lineRule="exact"/>
              <w:jc w:val="right"/>
              <w:rPr>
                <w:rFonts w:ascii="仿宋_GB2312" w:eastAsia="仿宋_GB2312" w:cs="Times New Roman"/>
                <w:b/>
                <w:sz w:val="28"/>
                <w:szCs w:val="28"/>
              </w:rPr>
            </w:pPr>
          </w:p>
        </w:tc>
      </w:tr>
      <w:tr w:rsidR="00C2325E">
        <w:trPr>
          <w:jc w:val="center"/>
        </w:trPr>
        <w:tc>
          <w:tcPr>
            <w:tcW w:w="827" w:type="pct"/>
            <w:shd w:val="clear" w:color="auto" w:fill="auto"/>
            <w:vAlign w:val="center"/>
          </w:tcPr>
          <w:p w:rsidR="00C2325E" w:rsidRDefault="00C2325E">
            <w:pPr>
              <w:spacing w:line="300" w:lineRule="exact"/>
              <w:jc w:val="left"/>
              <w:rPr>
                <w:rFonts w:ascii="仿宋_GB2312" w:eastAsia="仿宋_GB2312" w:cs="Times New Roman"/>
                <w:sz w:val="28"/>
                <w:szCs w:val="28"/>
              </w:rPr>
            </w:pPr>
          </w:p>
        </w:tc>
        <w:tc>
          <w:tcPr>
            <w:tcW w:w="367"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2" w:type="pct"/>
            <w:shd w:val="clear" w:color="auto" w:fill="auto"/>
            <w:vAlign w:val="center"/>
          </w:tcPr>
          <w:p w:rsidR="00C2325E" w:rsidRDefault="00C2325E">
            <w:pPr>
              <w:spacing w:line="300" w:lineRule="exact"/>
              <w:jc w:val="left"/>
              <w:rPr>
                <w:rFonts w:ascii="仿宋_GB2312" w:eastAsia="仿宋_GB2312" w:cs="Times New Roman"/>
                <w:sz w:val="28"/>
                <w:szCs w:val="28"/>
              </w:rPr>
            </w:pPr>
          </w:p>
        </w:tc>
        <w:tc>
          <w:tcPr>
            <w:tcW w:w="481" w:type="pct"/>
            <w:shd w:val="clear" w:color="auto" w:fill="auto"/>
            <w:vAlign w:val="center"/>
          </w:tcPr>
          <w:p w:rsidR="00C2325E" w:rsidRDefault="00C2325E">
            <w:pPr>
              <w:spacing w:line="300" w:lineRule="exact"/>
              <w:jc w:val="left"/>
              <w:rPr>
                <w:rFonts w:ascii="仿宋_GB2312" w:eastAsia="仿宋_GB2312" w:cs="Times New Roman"/>
                <w:sz w:val="28"/>
                <w:szCs w:val="28"/>
              </w:rPr>
            </w:pPr>
          </w:p>
        </w:tc>
        <w:tc>
          <w:tcPr>
            <w:tcW w:w="302" w:type="pct"/>
            <w:shd w:val="clear" w:color="auto" w:fill="auto"/>
            <w:vAlign w:val="center"/>
          </w:tcPr>
          <w:p w:rsidR="00C2325E" w:rsidRDefault="00C2325E">
            <w:pPr>
              <w:spacing w:line="300" w:lineRule="exact"/>
              <w:jc w:val="left"/>
              <w:rPr>
                <w:rFonts w:ascii="仿宋_GB2312" w:eastAsia="仿宋_GB2312" w:cs="Times New Roman"/>
                <w:sz w:val="28"/>
                <w:szCs w:val="28"/>
              </w:rPr>
            </w:pPr>
          </w:p>
        </w:tc>
        <w:tc>
          <w:tcPr>
            <w:tcW w:w="302"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10"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281"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3"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3"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285"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r>
      <w:tr w:rsidR="00C2325E">
        <w:trPr>
          <w:jc w:val="center"/>
        </w:trPr>
        <w:tc>
          <w:tcPr>
            <w:tcW w:w="827" w:type="pct"/>
            <w:shd w:val="clear" w:color="auto" w:fill="auto"/>
            <w:vAlign w:val="center"/>
          </w:tcPr>
          <w:p w:rsidR="00C2325E" w:rsidRDefault="00C2325E">
            <w:pPr>
              <w:spacing w:line="300" w:lineRule="exact"/>
              <w:jc w:val="left"/>
              <w:rPr>
                <w:rFonts w:ascii="仿宋_GB2312" w:eastAsia="仿宋_GB2312" w:cs="Times New Roman"/>
                <w:sz w:val="28"/>
                <w:szCs w:val="28"/>
              </w:rPr>
            </w:pPr>
          </w:p>
        </w:tc>
        <w:tc>
          <w:tcPr>
            <w:tcW w:w="367"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2" w:type="pct"/>
            <w:shd w:val="clear" w:color="auto" w:fill="auto"/>
            <w:vAlign w:val="center"/>
          </w:tcPr>
          <w:p w:rsidR="00C2325E" w:rsidRDefault="00C2325E">
            <w:pPr>
              <w:spacing w:line="300" w:lineRule="exact"/>
              <w:jc w:val="left"/>
              <w:rPr>
                <w:rFonts w:ascii="仿宋_GB2312" w:eastAsia="仿宋_GB2312" w:cs="Times New Roman"/>
                <w:sz w:val="28"/>
                <w:szCs w:val="28"/>
              </w:rPr>
            </w:pPr>
          </w:p>
        </w:tc>
        <w:tc>
          <w:tcPr>
            <w:tcW w:w="481" w:type="pct"/>
            <w:shd w:val="clear" w:color="auto" w:fill="auto"/>
            <w:vAlign w:val="center"/>
          </w:tcPr>
          <w:p w:rsidR="00C2325E" w:rsidRDefault="00C2325E">
            <w:pPr>
              <w:spacing w:line="300" w:lineRule="exact"/>
              <w:jc w:val="left"/>
              <w:rPr>
                <w:rFonts w:ascii="仿宋_GB2312" w:eastAsia="仿宋_GB2312" w:cs="Times New Roman"/>
                <w:sz w:val="28"/>
                <w:szCs w:val="28"/>
              </w:rPr>
            </w:pPr>
          </w:p>
        </w:tc>
        <w:tc>
          <w:tcPr>
            <w:tcW w:w="302" w:type="pct"/>
            <w:shd w:val="clear" w:color="auto" w:fill="auto"/>
            <w:vAlign w:val="center"/>
          </w:tcPr>
          <w:p w:rsidR="00C2325E" w:rsidRDefault="00C2325E">
            <w:pPr>
              <w:spacing w:line="300" w:lineRule="exact"/>
              <w:jc w:val="left"/>
              <w:rPr>
                <w:rFonts w:ascii="仿宋_GB2312" w:eastAsia="仿宋_GB2312" w:cs="Times New Roman"/>
                <w:sz w:val="28"/>
                <w:szCs w:val="28"/>
              </w:rPr>
            </w:pPr>
          </w:p>
        </w:tc>
        <w:tc>
          <w:tcPr>
            <w:tcW w:w="302"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10"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9"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281"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3"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303"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c>
          <w:tcPr>
            <w:tcW w:w="285" w:type="pct"/>
            <w:shd w:val="clear" w:color="auto" w:fill="auto"/>
            <w:vAlign w:val="center"/>
          </w:tcPr>
          <w:p w:rsidR="00C2325E" w:rsidRDefault="00C2325E">
            <w:pPr>
              <w:spacing w:line="300" w:lineRule="exact"/>
              <w:jc w:val="right"/>
              <w:rPr>
                <w:rFonts w:ascii="仿宋_GB2312" w:eastAsia="仿宋_GB2312" w:cs="Times New Roman"/>
                <w:sz w:val="28"/>
                <w:szCs w:val="28"/>
              </w:rPr>
            </w:pPr>
          </w:p>
        </w:tc>
      </w:tr>
    </w:tbl>
    <w:p w:rsidR="00C2325E" w:rsidRDefault="00DA26BF">
      <w:pPr>
        <w:widowControl/>
        <w:spacing w:line="360" w:lineRule="atLeast"/>
        <w:jc w:val="left"/>
        <w:rPr>
          <w:rFonts w:ascii="仿宋_GB2312" w:eastAsia="仿宋_GB2312" w:cs="宋体"/>
          <w:color w:val="000000"/>
          <w:kern w:val="0"/>
          <w:sz w:val="32"/>
          <w:szCs w:val="32"/>
        </w:rPr>
      </w:pPr>
      <w:r>
        <w:rPr>
          <w:rFonts w:ascii="黑体" w:eastAsia="黑体" w:cs="宋体" w:hint="eastAsia"/>
          <w:color w:val="000000"/>
          <w:kern w:val="0"/>
          <w:sz w:val="32"/>
          <w:szCs w:val="32"/>
        </w:rPr>
        <w:t>七、国有资产信息</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我部门（含所属单位）上年末固定资产金额为</w:t>
      </w:r>
      <w:r>
        <w:rPr>
          <w:rFonts w:ascii="仿宋_GB2312" w:eastAsia="仿宋_GB2312" w:cs="宋体" w:hint="eastAsia"/>
          <w:color w:val="000000"/>
          <w:kern w:val="0"/>
          <w:sz w:val="32"/>
          <w:szCs w:val="32"/>
        </w:rPr>
        <w:t>1265.68</w:t>
      </w:r>
      <w:r>
        <w:rPr>
          <w:rFonts w:ascii="仿宋_GB2312" w:eastAsia="仿宋_GB2312" w:cs="宋体" w:hint="eastAsia"/>
          <w:color w:val="000000"/>
          <w:kern w:val="0"/>
          <w:sz w:val="32"/>
          <w:szCs w:val="32"/>
        </w:rPr>
        <w:t>万元，本年度无拟购置固定资产。</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详见下表。</w:t>
      </w:r>
    </w:p>
    <w:tbl>
      <w:tblPr>
        <w:tblW w:w="10815" w:type="dxa"/>
        <w:jc w:val="center"/>
        <w:tblCellSpacing w:w="0" w:type="dxa"/>
        <w:tblCellMar>
          <w:left w:w="0" w:type="dxa"/>
          <w:right w:w="0" w:type="dxa"/>
        </w:tblCellMar>
        <w:tblLook w:val="0000"/>
      </w:tblPr>
      <w:tblGrid>
        <w:gridCol w:w="4040"/>
        <w:gridCol w:w="2465"/>
        <w:gridCol w:w="4430"/>
      </w:tblGrid>
      <w:tr w:rsidR="00C2325E">
        <w:trPr>
          <w:trHeight w:val="437"/>
          <w:tblCellSpacing w:w="0" w:type="dxa"/>
          <w:jc w:val="center"/>
        </w:trPr>
        <w:tc>
          <w:tcPr>
            <w:tcW w:w="10845" w:type="dxa"/>
            <w:gridSpan w:val="3"/>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廊坊市广阳区预算部门固定资产占用情况表</w:t>
            </w:r>
          </w:p>
        </w:tc>
      </w:tr>
      <w:tr w:rsidR="00C2325E">
        <w:trPr>
          <w:trHeight w:val="417"/>
          <w:tblCellSpacing w:w="0" w:type="dxa"/>
          <w:jc w:val="center"/>
        </w:trPr>
        <w:tc>
          <w:tcPr>
            <w:tcW w:w="6450" w:type="dxa"/>
            <w:gridSpan w:val="2"/>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编制部门：</w:t>
            </w:r>
            <w:r>
              <w:rPr>
                <w:rFonts w:ascii="仿宋_GB2312" w:eastAsia="仿宋_GB2312" w:cs="宋体" w:hint="eastAsia"/>
                <w:b/>
                <w:bCs/>
                <w:kern w:val="0"/>
                <w:sz w:val="28"/>
                <w:szCs w:val="28"/>
              </w:rPr>
              <w:t>廊坊市广阳区人民检察院</w:t>
            </w:r>
          </w:p>
        </w:tc>
        <w:tc>
          <w:tcPr>
            <w:tcW w:w="441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宋体" w:eastAsia="仿宋_GB2312" w:hAnsi="宋体" w:cs="宋体"/>
                <w:kern w:val="0"/>
                <w:sz w:val="28"/>
                <w:szCs w:val="28"/>
              </w:rPr>
            </w:pPr>
            <w:r>
              <w:rPr>
                <w:rFonts w:ascii="仿宋_GB2312" w:eastAsia="仿宋_GB2312" w:cs="宋体" w:hint="eastAsia"/>
                <w:kern w:val="0"/>
                <w:sz w:val="28"/>
                <w:szCs w:val="28"/>
              </w:rPr>
              <w:t>截止时间：</w:t>
            </w:r>
            <w:r>
              <w:rPr>
                <w:rFonts w:ascii="仿宋_GB2312" w:eastAsia="仿宋_GB2312" w:cs="宋体" w:hint="eastAsia"/>
                <w:kern w:val="0"/>
                <w:sz w:val="28"/>
                <w:szCs w:val="28"/>
              </w:rPr>
              <w:t>2016</w:t>
            </w:r>
            <w:r>
              <w:rPr>
                <w:rFonts w:ascii="仿宋_GB2312" w:eastAsia="仿宋_GB2312" w:cs="宋体" w:hint="eastAsia"/>
                <w:kern w:val="0"/>
                <w:sz w:val="28"/>
                <w:szCs w:val="28"/>
              </w:rPr>
              <w:t>年</w:t>
            </w:r>
            <w:r>
              <w:rPr>
                <w:rFonts w:ascii="仿宋_GB2312" w:eastAsia="仿宋_GB2312" w:cs="宋体" w:hint="eastAsia"/>
                <w:kern w:val="0"/>
                <w:sz w:val="28"/>
                <w:szCs w:val="28"/>
              </w:rPr>
              <w:t>12</w:t>
            </w:r>
            <w:r>
              <w:rPr>
                <w:rFonts w:ascii="仿宋_GB2312" w:eastAsia="仿宋_GB2312" w:cs="宋体" w:hint="eastAsia"/>
                <w:kern w:val="0"/>
                <w:sz w:val="28"/>
                <w:szCs w:val="28"/>
              </w:rPr>
              <w:t>月</w:t>
            </w:r>
            <w:r>
              <w:rPr>
                <w:rFonts w:ascii="仿宋_GB2312" w:eastAsia="仿宋_GB2312" w:cs="宋体" w:hint="eastAsia"/>
                <w:kern w:val="0"/>
                <w:sz w:val="28"/>
                <w:szCs w:val="28"/>
              </w:rPr>
              <w:t>31</w:t>
            </w:r>
            <w:r>
              <w:rPr>
                <w:rFonts w:ascii="仿宋_GB2312" w:eastAsia="仿宋_GB2312" w:cs="宋体" w:hint="eastAsia"/>
                <w:kern w:val="0"/>
                <w:sz w:val="28"/>
                <w:szCs w:val="28"/>
              </w:rPr>
              <w:t>日</w:t>
            </w:r>
            <w:r>
              <w:rPr>
                <w:rFonts w:ascii="宋体" w:eastAsia="仿宋_GB2312" w:hAnsi="宋体" w:cs="宋体"/>
                <w:kern w:val="0"/>
                <w:sz w:val="28"/>
                <w:szCs w:val="28"/>
              </w:rPr>
              <w:t> </w:t>
            </w:r>
          </w:p>
        </w:tc>
      </w:tr>
      <w:tr w:rsidR="00C2325E">
        <w:trPr>
          <w:trHeight w:val="398"/>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项</w:t>
            </w:r>
            <w:r>
              <w:rPr>
                <w:rFonts w:ascii="宋体" w:eastAsia="仿宋_GB2312" w:hAnsi="宋体" w:cs="宋体"/>
                <w:b/>
                <w:bCs/>
                <w:kern w:val="0"/>
                <w:sz w:val="28"/>
                <w:szCs w:val="28"/>
              </w:rPr>
              <w:t xml:space="preserve">   </w:t>
            </w:r>
            <w:r>
              <w:rPr>
                <w:rFonts w:ascii="仿宋_GB2312" w:eastAsia="仿宋_GB2312" w:cs="宋体" w:hint="eastAsia"/>
                <w:b/>
                <w:bCs/>
                <w:kern w:val="0"/>
                <w:sz w:val="28"/>
                <w:szCs w:val="28"/>
              </w:rPr>
              <w:t>目</w:t>
            </w:r>
          </w:p>
        </w:tc>
        <w:tc>
          <w:tcPr>
            <w:tcW w:w="2445"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数量</w:t>
            </w:r>
          </w:p>
        </w:tc>
        <w:tc>
          <w:tcPr>
            <w:tcW w:w="441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价值（金额单位：万元）</w:t>
            </w:r>
          </w:p>
        </w:tc>
      </w:tr>
      <w:tr w:rsidR="00C2325E">
        <w:trPr>
          <w:trHeight w:val="377"/>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资产总额</w:t>
            </w:r>
          </w:p>
        </w:tc>
        <w:tc>
          <w:tcPr>
            <w:tcW w:w="2445"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w:t>
            </w:r>
          </w:p>
        </w:tc>
        <w:tc>
          <w:tcPr>
            <w:tcW w:w="441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1265.68</w:t>
            </w:r>
          </w:p>
        </w:tc>
      </w:tr>
      <w:tr w:rsidR="00C2325E">
        <w:trPr>
          <w:trHeight w:val="432"/>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1</w:t>
            </w:r>
            <w:r>
              <w:rPr>
                <w:rFonts w:ascii="仿宋_GB2312" w:eastAsia="仿宋_GB2312" w:cs="宋体" w:hint="eastAsia"/>
                <w:kern w:val="0"/>
                <w:sz w:val="28"/>
                <w:szCs w:val="28"/>
              </w:rPr>
              <w:t>、房屋（平方米）</w:t>
            </w:r>
          </w:p>
        </w:tc>
        <w:tc>
          <w:tcPr>
            <w:tcW w:w="2445"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1926</w:t>
            </w:r>
          </w:p>
        </w:tc>
        <w:tc>
          <w:tcPr>
            <w:tcW w:w="441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66.00</w:t>
            </w:r>
          </w:p>
        </w:tc>
      </w:tr>
      <w:tr w:rsidR="00C2325E">
        <w:trPr>
          <w:trHeight w:val="412"/>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宋体" w:eastAsia="仿宋_GB2312" w:hAnsi="宋体" w:cs="宋体"/>
                <w:kern w:val="0"/>
                <w:sz w:val="28"/>
                <w:szCs w:val="28"/>
              </w:rPr>
              <w:lastRenderedPageBreak/>
              <w:t xml:space="preserve">   </w:t>
            </w:r>
            <w:r>
              <w:rPr>
                <w:rFonts w:ascii="仿宋_GB2312" w:eastAsia="仿宋_GB2312" w:cs="宋体" w:hint="eastAsia"/>
                <w:kern w:val="0"/>
                <w:sz w:val="28"/>
                <w:szCs w:val="28"/>
              </w:rPr>
              <w:t>其中：办公用房（平方米）</w:t>
            </w:r>
          </w:p>
        </w:tc>
        <w:tc>
          <w:tcPr>
            <w:tcW w:w="2445"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1926</w:t>
            </w:r>
          </w:p>
        </w:tc>
        <w:tc>
          <w:tcPr>
            <w:tcW w:w="441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66.00</w:t>
            </w:r>
          </w:p>
        </w:tc>
      </w:tr>
      <w:tr w:rsidR="00C2325E">
        <w:trPr>
          <w:trHeight w:val="392"/>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2</w:t>
            </w:r>
            <w:r>
              <w:rPr>
                <w:rFonts w:ascii="仿宋_GB2312" w:eastAsia="仿宋_GB2312" w:cs="宋体" w:hint="eastAsia"/>
                <w:kern w:val="0"/>
                <w:sz w:val="28"/>
                <w:szCs w:val="28"/>
              </w:rPr>
              <w:t>、车辆（台、辆）</w:t>
            </w:r>
          </w:p>
        </w:tc>
        <w:tc>
          <w:tcPr>
            <w:tcW w:w="2445"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21</w:t>
            </w:r>
          </w:p>
        </w:tc>
        <w:tc>
          <w:tcPr>
            <w:tcW w:w="441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283.75</w:t>
            </w:r>
          </w:p>
        </w:tc>
      </w:tr>
      <w:tr w:rsidR="00C2325E">
        <w:trPr>
          <w:trHeight w:val="466"/>
          <w:tblCellSpacing w:w="0" w:type="dxa"/>
          <w:jc w:val="center"/>
        </w:trPr>
        <w:tc>
          <w:tcPr>
            <w:tcW w:w="4020" w:type="dxa"/>
            <w:tcBorders>
              <w:top w:val="single" w:sz="4" w:space="0" w:color="auto"/>
              <w:left w:val="single" w:sz="4" w:space="0" w:color="auto"/>
              <w:bottom w:val="single" w:sz="4" w:space="0" w:color="auto"/>
              <w:right w:val="single" w:sz="4" w:space="0" w:color="auto"/>
            </w:tcBorders>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3</w:t>
            </w:r>
            <w:r>
              <w:rPr>
                <w:rFonts w:ascii="仿宋_GB2312" w:eastAsia="仿宋_GB2312" w:cs="宋体" w:hint="eastAsia"/>
                <w:kern w:val="0"/>
                <w:sz w:val="28"/>
                <w:szCs w:val="28"/>
              </w:rPr>
              <w:t>、单价在</w:t>
            </w:r>
            <w:r>
              <w:rPr>
                <w:rFonts w:ascii="仿宋_GB2312" w:eastAsia="仿宋_GB2312" w:cs="宋体" w:hint="eastAsia"/>
                <w:kern w:val="0"/>
                <w:sz w:val="28"/>
                <w:szCs w:val="28"/>
              </w:rPr>
              <w:t>50</w:t>
            </w:r>
            <w:r>
              <w:rPr>
                <w:rFonts w:ascii="仿宋_GB2312" w:eastAsia="仿宋_GB2312" w:cs="宋体" w:hint="eastAsia"/>
                <w:kern w:val="0"/>
                <w:sz w:val="28"/>
                <w:szCs w:val="28"/>
              </w:rPr>
              <w:t>万元以上的设备</w:t>
            </w:r>
          </w:p>
        </w:tc>
        <w:tc>
          <w:tcPr>
            <w:tcW w:w="2445"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0</w:t>
            </w:r>
          </w:p>
        </w:tc>
        <w:tc>
          <w:tcPr>
            <w:tcW w:w="441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宋体" w:eastAsia="仿宋_GB2312" w:hAnsi="宋体" w:cs="宋体"/>
                <w:kern w:val="0"/>
                <w:sz w:val="28"/>
                <w:szCs w:val="28"/>
              </w:rPr>
              <w:t> </w:t>
            </w:r>
            <w:r>
              <w:rPr>
                <w:rFonts w:ascii="仿宋_GB2312" w:eastAsia="仿宋_GB2312" w:cs="宋体" w:hint="eastAsia"/>
                <w:kern w:val="0"/>
                <w:sz w:val="28"/>
                <w:szCs w:val="28"/>
              </w:rPr>
              <w:t>0.00</w:t>
            </w:r>
          </w:p>
        </w:tc>
      </w:tr>
      <w:tr w:rsidR="00C2325E">
        <w:trPr>
          <w:trHeight w:val="425"/>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4</w:t>
            </w:r>
            <w:r>
              <w:rPr>
                <w:rFonts w:ascii="仿宋_GB2312" w:eastAsia="仿宋_GB2312" w:cs="宋体" w:hint="eastAsia"/>
                <w:kern w:val="0"/>
                <w:sz w:val="28"/>
                <w:szCs w:val="28"/>
              </w:rPr>
              <w:t>、其他固定资产</w:t>
            </w:r>
          </w:p>
        </w:tc>
        <w:tc>
          <w:tcPr>
            <w:tcW w:w="2445"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宋体" w:eastAsia="仿宋_GB2312" w:hAnsi="宋体" w:cs="宋体"/>
                <w:kern w:val="0"/>
                <w:sz w:val="28"/>
                <w:szCs w:val="28"/>
              </w:rPr>
            </w:pPr>
            <w:r>
              <w:rPr>
                <w:rFonts w:ascii="宋体" w:eastAsia="仿宋_GB2312" w:hAnsi="宋体" w:cs="宋体"/>
                <w:kern w:val="0"/>
                <w:sz w:val="28"/>
                <w:szCs w:val="28"/>
              </w:rPr>
              <w:t> </w:t>
            </w:r>
          </w:p>
        </w:tc>
        <w:tc>
          <w:tcPr>
            <w:tcW w:w="4410" w:type="dxa"/>
            <w:tcBorders>
              <w:top w:val="single" w:sz="4" w:space="0" w:color="auto"/>
              <w:left w:val="single" w:sz="4" w:space="0" w:color="auto"/>
              <w:bottom w:val="single" w:sz="4" w:space="0" w:color="auto"/>
              <w:right w:val="single" w:sz="4" w:space="0" w:color="auto"/>
            </w:tcBorders>
            <w:noWrap/>
            <w:vAlign w:val="center"/>
          </w:tcPr>
          <w:p w:rsidR="00C2325E" w:rsidRDefault="00DA26BF">
            <w:pPr>
              <w:widowControl/>
              <w:jc w:val="center"/>
              <w:rPr>
                <w:rFonts w:ascii="仿宋_GB2312" w:eastAsia="仿宋_GB2312" w:cs="宋体"/>
                <w:kern w:val="0"/>
                <w:sz w:val="28"/>
                <w:szCs w:val="28"/>
              </w:rPr>
            </w:pPr>
            <w:r>
              <w:rPr>
                <w:rFonts w:ascii="仿宋_GB2312" w:eastAsia="仿宋_GB2312" w:cs="宋体" w:hint="eastAsia"/>
                <w:kern w:val="0"/>
                <w:sz w:val="28"/>
                <w:szCs w:val="28"/>
              </w:rPr>
              <w:t>915.93</w:t>
            </w:r>
          </w:p>
        </w:tc>
      </w:tr>
    </w:tbl>
    <w:p w:rsidR="00C2325E" w:rsidRDefault="00DA26BF">
      <w:pPr>
        <w:pStyle w:val="Default"/>
        <w:rPr>
          <w:rFonts w:ascii="仿宋_GB2312" w:eastAsia="仿宋_GB2312"/>
          <w:b/>
          <w:bCs/>
          <w:sz w:val="32"/>
          <w:szCs w:val="32"/>
        </w:rPr>
      </w:pPr>
      <w:bookmarkStart w:id="0" w:name="_GoBack"/>
      <w:bookmarkEnd w:id="0"/>
      <w:r>
        <w:rPr>
          <w:rFonts w:ascii="黑体" w:eastAsia="黑体" w:cs="宋体" w:hint="eastAsia"/>
          <w:sz w:val="32"/>
          <w:szCs w:val="32"/>
        </w:rPr>
        <w:t>八、名词解释</w:t>
      </w:r>
      <w:r>
        <w:rPr>
          <w:rFonts w:ascii="黑体" w:eastAsia="黑体" w:cs="宋体" w:hint="eastAsia"/>
          <w:sz w:val="32"/>
          <w:szCs w:val="32"/>
        </w:rPr>
        <w:br/>
      </w:r>
      <w:r>
        <w:rPr>
          <w:rFonts w:hint="eastAsia"/>
          <w:b/>
          <w:bCs/>
          <w:sz w:val="32"/>
          <w:szCs w:val="32"/>
        </w:rPr>
        <w:t xml:space="preserve">   </w:t>
      </w:r>
      <w:r>
        <w:rPr>
          <w:b/>
          <w:bCs/>
          <w:sz w:val="32"/>
          <w:szCs w:val="32"/>
        </w:rPr>
        <w:t xml:space="preserve"> </w:t>
      </w:r>
      <w:r>
        <w:rPr>
          <w:rFonts w:ascii="仿宋_GB2312" w:eastAsia="仿宋_GB2312" w:hint="eastAsia"/>
          <w:b/>
          <w:bCs/>
          <w:sz w:val="32"/>
          <w:szCs w:val="32"/>
        </w:rPr>
        <w:t>1</w:t>
      </w:r>
      <w:r>
        <w:rPr>
          <w:rFonts w:ascii="仿宋_GB2312" w:eastAsia="仿宋_GB2312" w:cs="FZFangSong-Z02" w:hint="eastAsia"/>
          <w:sz w:val="32"/>
          <w:szCs w:val="32"/>
        </w:rPr>
        <w:t>、一般公共预算拨款收入：指市级财政当年拨付的资金。</w:t>
      </w:r>
    </w:p>
    <w:p w:rsidR="00C2325E" w:rsidRDefault="00DA26BF">
      <w:pPr>
        <w:pStyle w:val="Default"/>
        <w:rPr>
          <w:rFonts w:ascii="仿宋_GB2312" w:eastAsia="仿宋_GB2312" w:cs="FZFangSong-Z02"/>
          <w:sz w:val="32"/>
          <w:szCs w:val="32"/>
        </w:rPr>
      </w:pPr>
      <w:r>
        <w:rPr>
          <w:rFonts w:ascii="仿宋_GB2312" w:eastAsia="仿宋_GB2312" w:hint="eastAsia"/>
          <w:b/>
          <w:bCs/>
          <w:sz w:val="32"/>
          <w:szCs w:val="32"/>
        </w:rPr>
        <w:t xml:space="preserve">    2</w:t>
      </w:r>
      <w:r>
        <w:rPr>
          <w:rFonts w:ascii="仿宋_GB2312" w:eastAsia="仿宋_GB2312" w:cs="FZFangSong-Z02" w:hint="eastAsia"/>
          <w:sz w:val="32"/>
          <w:szCs w:val="32"/>
        </w:rPr>
        <w:t>、事业收入：指事业单位开展专业业务活动及辅助活动所取得的收入。</w:t>
      </w:r>
    </w:p>
    <w:p w:rsidR="00C2325E" w:rsidRDefault="00DA26BF">
      <w:pPr>
        <w:pStyle w:val="Default"/>
        <w:rPr>
          <w:rFonts w:ascii="仿宋_GB2312" w:eastAsia="仿宋_GB2312" w:cs="FZFangSong-Z02"/>
          <w:sz w:val="32"/>
          <w:szCs w:val="32"/>
        </w:rPr>
      </w:pPr>
      <w:r>
        <w:rPr>
          <w:rFonts w:ascii="仿宋_GB2312" w:eastAsia="仿宋_GB2312" w:hint="eastAsia"/>
          <w:b/>
          <w:bCs/>
          <w:sz w:val="32"/>
          <w:szCs w:val="32"/>
        </w:rPr>
        <w:t xml:space="preserve">    3</w:t>
      </w:r>
      <w:r>
        <w:rPr>
          <w:rFonts w:ascii="仿宋_GB2312" w:eastAsia="仿宋_GB2312" w:cs="FZFangSong-Z02" w:hint="eastAsia"/>
          <w:sz w:val="32"/>
          <w:szCs w:val="32"/>
        </w:rPr>
        <w:t>、其他收入：指除上述</w:t>
      </w:r>
      <w:r>
        <w:rPr>
          <w:rFonts w:ascii="仿宋_GB2312" w:eastAsia="仿宋_GB2312" w:hint="eastAsia"/>
          <w:sz w:val="32"/>
          <w:szCs w:val="32"/>
        </w:rPr>
        <w:t>“</w:t>
      </w:r>
      <w:r>
        <w:rPr>
          <w:rFonts w:ascii="仿宋_GB2312" w:eastAsia="仿宋_GB2312" w:cs="FZFangSong-Z02" w:hint="eastAsia"/>
          <w:sz w:val="32"/>
          <w:szCs w:val="32"/>
        </w:rPr>
        <w:t>财政拨款收入</w:t>
      </w:r>
      <w:r>
        <w:rPr>
          <w:rFonts w:ascii="仿宋_GB2312" w:eastAsia="仿宋_GB2312" w:hint="eastAsia"/>
          <w:sz w:val="32"/>
          <w:szCs w:val="32"/>
        </w:rPr>
        <w:t>”</w:t>
      </w:r>
      <w:r>
        <w:rPr>
          <w:rFonts w:ascii="仿宋_GB2312" w:eastAsia="仿宋_GB2312" w:cs="FZFangSong-Z02" w:hint="eastAsia"/>
          <w:sz w:val="32"/>
          <w:szCs w:val="32"/>
        </w:rPr>
        <w:t>、</w:t>
      </w:r>
      <w:r>
        <w:rPr>
          <w:rFonts w:ascii="仿宋_GB2312" w:eastAsia="仿宋_GB2312" w:hint="eastAsia"/>
          <w:sz w:val="32"/>
          <w:szCs w:val="32"/>
        </w:rPr>
        <w:t>“</w:t>
      </w:r>
      <w:r>
        <w:rPr>
          <w:rFonts w:ascii="仿宋_GB2312" w:eastAsia="仿宋_GB2312" w:cs="FZFangSong-Z02" w:hint="eastAsia"/>
          <w:sz w:val="32"/>
          <w:szCs w:val="32"/>
        </w:rPr>
        <w:t>事业收入</w:t>
      </w:r>
      <w:r>
        <w:rPr>
          <w:rFonts w:ascii="仿宋_GB2312" w:eastAsia="仿宋_GB2312" w:hint="eastAsia"/>
          <w:sz w:val="32"/>
          <w:szCs w:val="32"/>
        </w:rPr>
        <w:t>”</w:t>
      </w:r>
      <w:r>
        <w:rPr>
          <w:rFonts w:ascii="仿宋_GB2312" w:eastAsia="仿宋_GB2312" w:cs="FZFangSong-Z02" w:hint="eastAsia"/>
          <w:sz w:val="32"/>
          <w:szCs w:val="32"/>
        </w:rPr>
        <w:t>等以外的收入。主要是按规定动用的租房收入、存款利息收入等。</w:t>
      </w:r>
    </w:p>
    <w:p w:rsidR="00C2325E" w:rsidRDefault="00DA26BF">
      <w:pPr>
        <w:pStyle w:val="Default"/>
        <w:rPr>
          <w:rFonts w:ascii="仿宋_GB2312" w:eastAsia="仿宋_GB2312" w:cs="FZFangSong-Z02"/>
          <w:sz w:val="32"/>
          <w:szCs w:val="32"/>
        </w:rPr>
      </w:pPr>
      <w:r>
        <w:rPr>
          <w:rFonts w:ascii="仿宋_GB2312" w:eastAsia="仿宋_GB2312" w:hint="eastAsia"/>
          <w:b/>
          <w:bCs/>
          <w:sz w:val="32"/>
          <w:szCs w:val="32"/>
        </w:rPr>
        <w:t xml:space="preserve">    4</w:t>
      </w:r>
      <w:r>
        <w:rPr>
          <w:rFonts w:ascii="仿宋_GB2312" w:eastAsia="仿宋_GB2312" w:cs="FZFangSong-Z02" w:hint="eastAsia"/>
          <w:sz w:val="32"/>
          <w:szCs w:val="32"/>
        </w:rPr>
        <w:t>、基本支出：</w:t>
      </w:r>
      <w:r>
        <w:rPr>
          <w:rFonts w:ascii="仿宋_GB2312" w:eastAsia="仿宋_GB2312" w:hint="eastAsia"/>
          <w:sz w:val="32"/>
          <w:szCs w:val="32"/>
        </w:rPr>
        <w:t>指为保障机构正常运转、完成日常工作任务而发生的人员支出和公用支出。</w:t>
      </w:r>
    </w:p>
    <w:p w:rsidR="00C2325E" w:rsidRDefault="00DA26BF">
      <w:pPr>
        <w:rPr>
          <w:rFonts w:ascii="仿宋_GB2312" w:eastAsia="仿宋_GB2312"/>
          <w:sz w:val="32"/>
          <w:szCs w:val="32"/>
        </w:rPr>
      </w:pPr>
      <w:r>
        <w:rPr>
          <w:rFonts w:ascii="仿宋_GB2312" w:eastAsia="仿宋_GB2312" w:hint="eastAsia"/>
          <w:b/>
          <w:bCs/>
          <w:sz w:val="32"/>
          <w:szCs w:val="32"/>
        </w:rPr>
        <w:t xml:space="preserve">    5</w:t>
      </w:r>
      <w:r>
        <w:rPr>
          <w:rFonts w:ascii="仿宋_GB2312" w:eastAsia="仿宋_GB2312" w:cs="FZFangSong-Z02" w:hint="eastAsia"/>
          <w:sz w:val="32"/>
          <w:szCs w:val="32"/>
        </w:rPr>
        <w:t>、项目支出：</w:t>
      </w:r>
      <w:r>
        <w:rPr>
          <w:rFonts w:ascii="仿宋_GB2312" w:eastAsia="仿宋_GB2312" w:hint="eastAsia"/>
          <w:sz w:val="32"/>
          <w:szCs w:val="32"/>
        </w:rPr>
        <w:t>指在基本支出之外为完成特定行政任务和事业发展目标所发生的支出。</w:t>
      </w:r>
    </w:p>
    <w:p w:rsidR="00C2325E" w:rsidRDefault="00DA26BF">
      <w:pPr>
        <w:pStyle w:val="Default"/>
        <w:rPr>
          <w:rFonts w:ascii="仿宋_GB2312" w:eastAsia="仿宋_GB2312"/>
          <w:sz w:val="32"/>
          <w:szCs w:val="32"/>
        </w:rPr>
      </w:pPr>
      <w:r>
        <w:rPr>
          <w:rFonts w:ascii="仿宋_GB2312" w:eastAsia="仿宋_GB2312" w:hint="eastAsia"/>
          <w:b/>
          <w:bCs/>
          <w:sz w:val="32"/>
          <w:szCs w:val="32"/>
        </w:rPr>
        <w:t xml:space="preserve">    6</w:t>
      </w:r>
      <w:r>
        <w:rPr>
          <w:rFonts w:ascii="仿宋_GB2312" w:eastAsia="仿宋_GB2312" w:cs="FZFangSong-Z02" w:hint="eastAsia"/>
          <w:sz w:val="32"/>
          <w:szCs w:val="32"/>
        </w:rPr>
        <w:t>、上缴上级支出：</w:t>
      </w:r>
      <w:r>
        <w:rPr>
          <w:rFonts w:ascii="仿宋_GB2312" w:eastAsia="仿宋_GB2312" w:hint="eastAsia"/>
          <w:sz w:val="32"/>
          <w:szCs w:val="32"/>
        </w:rPr>
        <w:t>指下级单位上缴上级的支出。</w:t>
      </w:r>
    </w:p>
    <w:p w:rsidR="00C2325E" w:rsidRDefault="00DA26BF">
      <w:pPr>
        <w:pStyle w:val="Default"/>
        <w:rPr>
          <w:rFonts w:ascii="仿宋_GB2312" w:eastAsia="仿宋_GB2312" w:cs="FZFangSong-Z02"/>
          <w:sz w:val="32"/>
          <w:szCs w:val="32"/>
        </w:rPr>
      </w:pPr>
      <w:r>
        <w:rPr>
          <w:rFonts w:ascii="仿宋_GB2312" w:eastAsia="仿宋_GB2312" w:hint="eastAsia"/>
          <w:b/>
          <w:bCs/>
          <w:sz w:val="32"/>
          <w:szCs w:val="32"/>
        </w:rPr>
        <w:t xml:space="preserve">    7</w:t>
      </w:r>
      <w:r>
        <w:rPr>
          <w:rFonts w:ascii="仿宋_GB2312" w:eastAsia="仿宋_GB2312" w:cs="FZFangSong-Z02" w:hint="eastAsia"/>
          <w:sz w:val="32"/>
          <w:szCs w:val="32"/>
        </w:rPr>
        <w:t>、</w:t>
      </w:r>
      <w:r>
        <w:rPr>
          <w:rFonts w:ascii="仿宋_GB2312" w:eastAsia="仿宋_GB2312" w:hint="eastAsia"/>
          <w:b/>
          <w:bCs/>
          <w:sz w:val="32"/>
          <w:szCs w:val="32"/>
        </w:rPr>
        <w:t>“</w:t>
      </w:r>
      <w:r>
        <w:rPr>
          <w:rFonts w:ascii="仿宋_GB2312" w:eastAsia="仿宋_GB2312" w:cs="FZFangSong-Z02" w:hint="eastAsia"/>
          <w:sz w:val="32"/>
          <w:szCs w:val="32"/>
        </w:rPr>
        <w:t>三公</w:t>
      </w:r>
      <w:r>
        <w:rPr>
          <w:rFonts w:ascii="仿宋_GB2312" w:eastAsia="仿宋_GB2312" w:hint="eastAsia"/>
          <w:b/>
          <w:bCs/>
          <w:sz w:val="32"/>
          <w:szCs w:val="32"/>
        </w:rPr>
        <w:t>”</w:t>
      </w:r>
      <w:r>
        <w:rPr>
          <w:rFonts w:ascii="仿宋_GB2312" w:eastAsia="仿宋_GB2312" w:cs="FZFangSong-Z02" w:hint="eastAsia"/>
          <w:sz w:val="32"/>
          <w:szCs w:val="32"/>
        </w:rPr>
        <w:t>经费：纳入市级财政预算管理的</w:t>
      </w:r>
      <w:r>
        <w:rPr>
          <w:rFonts w:ascii="仿宋_GB2312" w:eastAsia="仿宋_GB2312" w:hint="eastAsia"/>
          <w:sz w:val="32"/>
          <w:szCs w:val="32"/>
        </w:rPr>
        <w:t>“</w:t>
      </w:r>
      <w:r>
        <w:rPr>
          <w:rFonts w:ascii="仿宋_GB2312" w:eastAsia="仿宋_GB2312" w:cs="FZFangSong-Z02" w:hint="eastAsia"/>
          <w:sz w:val="32"/>
          <w:szCs w:val="32"/>
        </w:rPr>
        <w:t>三公</w:t>
      </w:r>
      <w:r>
        <w:rPr>
          <w:rFonts w:ascii="仿宋_GB2312" w:eastAsia="仿宋_GB2312" w:hint="eastAsia"/>
          <w:sz w:val="32"/>
          <w:szCs w:val="32"/>
        </w:rPr>
        <w:t>”</w:t>
      </w:r>
      <w:r>
        <w:rPr>
          <w:rFonts w:ascii="仿宋_GB2312" w:eastAsia="仿宋_GB2312" w:cs="FZFangSong-Z02" w:hint="eastAsia"/>
          <w:sz w:val="32"/>
          <w:szCs w:val="32"/>
        </w:rPr>
        <w:t>经费，是指市级部门用财政拨款安排的因公出国（境）费、公务用车购置及运行费和公务接待费。其中，因公出国（境）费反映单位公</w:t>
      </w:r>
      <w:r>
        <w:rPr>
          <w:rFonts w:ascii="仿宋_GB2312" w:eastAsia="仿宋_GB2312" w:cs="FZFangSong-Z02" w:hint="eastAsia"/>
          <w:sz w:val="32"/>
          <w:szCs w:val="32"/>
        </w:rPr>
        <w:lastRenderedPageBreak/>
        <w:t>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2325E" w:rsidRDefault="00DA26BF">
      <w:pPr>
        <w:rPr>
          <w:rFonts w:ascii="仿宋_GB2312" w:eastAsia="仿宋_GB2312" w:cs="FZFangSong-Z02"/>
          <w:sz w:val="32"/>
          <w:szCs w:val="32"/>
        </w:rPr>
      </w:pPr>
      <w:r>
        <w:rPr>
          <w:rFonts w:ascii="仿宋_GB2312" w:eastAsia="仿宋_GB2312" w:hint="eastAsia"/>
          <w:b/>
          <w:bCs/>
          <w:sz w:val="32"/>
          <w:szCs w:val="32"/>
        </w:rPr>
        <w:t xml:space="preserve">    8</w:t>
      </w:r>
      <w:r>
        <w:rPr>
          <w:rFonts w:ascii="仿宋_GB2312" w:eastAsia="仿宋_GB2312" w:cs="FZFangSong-Z02"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_GB2312" w:eastAsia="仿宋_GB2312" w:hint="eastAsia"/>
          <w:sz w:val="32"/>
          <w:szCs w:val="32"/>
        </w:rPr>
        <w:t>其他费用。</w:t>
      </w:r>
    </w:p>
    <w:p w:rsidR="00C2325E" w:rsidRDefault="00DA26BF">
      <w:pPr>
        <w:widowControl/>
        <w:spacing w:line="360" w:lineRule="atLeast"/>
        <w:ind w:firstLineChars="150" w:firstLine="480"/>
        <w:jc w:val="left"/>
        <w:rPr>
          <w:rFonts w:ascii="仿宋_GB2312" w:eastAsia="仿宋_GB2312" w:cs="宋体"/>
          <w:color w:val="000000"/>
          <w:kern w:val="0"/>
          <w:sz w:val="32"/>
          <w:szCs w:val="32"/>
        </w:rPr>
      </w:pPr>
      <w:r>
        <w:rPr>
          <w:rFonts w:ascii="黑体" w:eastAsia="黑体" w:cs="宋体" w:hint="eastAsia"/>
          <w:color w:val="000000"/>
          <w:kern w:val="0"/>
          <w:sz w:val="32"/>
          <w:szCs w:val="32"/>
        </w:rPr>
        <w:t>九、其它需要说明的事项</w:t>
      </w:r>
      <w:r>
        <w:rPr>
          <w:rFonts w:ascii="黑体" w:eastAsia="黑体" w:cs="宋体" w:hint="eastAsia"/>
          <w:color w:val="000000"/>
          <w:kern w:val="0"/>
          <w:sz w:val="32"/>
          <w:szCs w:val="32"/>
        </w:rPr>
        <w:br/>
      </w:r>
      <w:r>
        <w:rPr>
          <w:rFonts w:ascii="宋体" w:eastAsia="仿宋_GB2312" w:hAnsi="宋体" w:cs="宋体" w:hint="eastAsia"/>
          <w:b/>
          <w:bCs/>
          <w:color w:val="000000"/>
          <w:kern w:val="0"/>
          <w:sz w:val="32"/>
          <w:szCs w:val="32"/>
        </w:rPr>
        <w:t>   </w:t>
      </w:r>
      <w:r>
        <w:rPr>
          <w:rFonts w:ascii="宋体" w:eastAsia="仿宋_GB2312" w:hAnsi="宋体" w:cs="宋体"/>
          <w:b/>
          <w:bCs/>
          <w:color w:val="000000"/>
          <w:kern w:val="0"/>
          <w:sz w:val="32"/>
          <w:szCs w:val="32"/>
        </w:rPr>
        <w:t xml:space="preserve"> </w:t>
      </w:r>
      <w:r>
        <w:rPr>
          <w:rFonts w:ascii="宋体" w:eastAsia="仿宋_GB2312" w:hAnsi="宋体" w:cs="宋体" w:hint="eastAsia"/>
          <w:b/>
          <w:bCs/>
          <w:color w:val="000000"/>
          <w:kern w:val="0"/>
          <w:sz w:val="32"/>
          <w:szCs w:val="32"/>
        </w:rPr>
        <w:t> </w:t>
      </w:r>
      <w:r>
        <w:rPr>
          <w:rFonts w:ascii="仿宋_GB2312" w:eastAsia="仿宋_GB2312" w:cs="宋体" w:hint="eastAsia"/>
          <w:color w:val="000000"/>
          <w:kern w:val="0"/>
          <w:sz w:val="32"/>
          <w:szCs w:val="32"/>
        </w:rPr>
        <w:t>无其它需要说明的事项。</w:t>
      </w:r>
    </w:p>
    <w:sectPr w:rsidR="00C2325E" w:rsidSect="00C2325E">
      <w:pgSz w:w="16838" w:h="11906" w:orient="landscape"/>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6BF" w:rsidRDefault="00DA26BF" w:rsidP="001A0E2A">
      <w:r>
        <w:separator/>
      </w:r>
    </w:p>
  </w:endnote>
  <w:endnote w:type="continuationSeparator" w:id="1">
    <w:p w:rsidR="00DA26BF" w:rsidRDefault="00DA26BF" w:rsidP="001A0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00" w:usb3="00000000" w:csb0="00040000" w:csb1="00000000"/>
  </w:font>
  <w:font w:name="仿宋_GB2312">
    <w:altName w:val="Arial Unicode MS"/>
    <w:charset w:val="86"/>
    <w:family w:val="auto"/>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FangSong-Z02">
    <w:altName w:val="Aria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6BF" w:rsidRDefault="00DA26BF" w:rsidP="001A0E2A">
      <w:r>
        <w:separator/>
      </w:r>
    </w:p>
  </w:footnote>
  <w:footnote w:type="continuationSeparator" w:id="1">
    <w:p w:rsidR="00DA26BF" w:rsidRDefault="00DA26BF" w:rsidP="001A0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3B42"/>
    <w:multiLevelType w:val="hybridMultilevel"/>
    <w:tmpl w:val="00000000"/>
    <w:lvl w:ilvl="0" w:tplc="840A0ADA">
      <w:start w:val="1"/>
      <w:numFmt w:val="chineseCountingThousand"/>
      <w:lvlRestart w:val="0"/>
      <w:lvlText w:val="%1、"/>
      <w:lvlJc w:val="left"/>
      <w:pPr>
        <w:tabs>
          <w:tab w:val="num" w:pos="1083"/>
        </w:tabs>
        <w:ind w:left="1083" w:hanging="543"/>
      </w:pPr>
      <w:rPr>
        <w:b/>
        <w:bCs/>
        <w:i w:val="0"/>
        <w:iCs w:val="0"/>
        <w:sz w:val="27"/>
      </w:rPr>
    </w:lvl>
    <w:lvl w:ilvl="1" w:tplc="BF5A8BDC">
      <w:start w:val="1"/>
      <w:numFmt w:val="lowerLetter"/>
      <w:lvlText w:val="%2)"/>
      <w:lvlJc w:val="left"/>
      <w:pPr>
        <w:tabs>
          <w:tab w:val="num" w:pos="1380"/>
        </w:tabs>
        <w:ind w:left="1380" w:hanging="420"/>
      </w:pPr>
    </w:lvl>
    <w:lvl w:ilvl="2" w:tplc="1EA297F4">
      <w:start w:val="1"/>
      <w:numFmt w:val="lowerRoman"/>
      <w:lvlText w:val="%3."/>
      <w:lvlJc w:val="right"/>
      <w:pPr>
        <w:tabs>
          <w:tab w:val="num" w:pos="1800"/>
        </w:tabs>
        <w:ind w:left="1800" w:hanging="420"/>
      </w:pPr>
    </w:lvl>
    <w:lvl w:ilvl="3" w:tplc="EE329308">
      <w:start w:val="1"/>
      <w:numFmt w:val="decimal"/>
      <w:lvlText w:val="%4."/>
      <w:lvlJc w:val="left"/>
      <w:pPr>
        <w:tabs>
          <w:tab w:val="num" w:pos="2220"/>
        </w:tabs>
        <w:ind w:left="2220" w:hanging="420"/>
      </w:pPr>
    </w:lvl>
    <w:lvl w:ilvl="4" w:tplc="3CA044E4">
      <w:start w:val="1"/>
      <w:numFmt w:val="lowerLetter"/>
      <w:lvlText w:val="%5)"/>
      <w:lvlJc w:val="left"/>
      <w:pPr>
        <w:tabs>
          <w:tab w:val="num" w:pos="2640"/>
        </w:tabs>
        <w:ind w:left="2640" w:hanging="420"/>
      </w:pPr>
    </w:lvl>
    <w:lvl w:ilvl="5" w:tplc="5EFC4CDE">
      <w:start w:val="1"/>
      <w:numFmt w:val="lowerRoman"/>
      <w:lvlText w:val="%6."/>
      <w:lvlJc w:val="right"/>
      <w:pPr>
        <w:tabs>
          <w:tab w:val="num" w:pos="3060"/>
        </w:tabs>
        <w:ind w:left="3060" w:hanging="420"/>
      </w:pPr>
    </w:lvl>
    <w:lvl w:ilvl="6" w:tplc="6DE66A70">
      <w:start w:val="1"/>
      <w:numFmt w:val="decimal"/>
      <w:lvlText w:val="%7."/>
      <w:lvlJc w:val="left"/>
      <w:pPr>
        <w:tabs>
          <w:tab w:val="num" w:pos="3480"/>
        </w:tabs>
        <w:ind w:left="3480" w:hanging="420"/>
      </w:pPr>
    </w:lvl>
    <w:lvl w:ilvl="7" w:tplc="E6D2CCEA">
      <w:start w:val="1"/>
      <w:numFmt w:val="lowerLetter"/>
      <w:lvlText w:val="%8)"/>
      <w:lvlJc w:val="left"/>
      <w:pPr>
        <w:tabs>
          <w:tab w:val="num" w:pos="3900"/>
        </w:tabs>
        <w:ind w:left="3900" w:hanging="420"/>
      </w:pPr>
    </w:lvl>
    <w:lvl w:ilvl="8" w:tplc="DED63BE0">
      <w:start w:val="1"/>
      <w:numFmt w:val="lowerRoman"/>
      <w:lvlText w:val="%9."/>
      <w:lvlJc w:val="right"/>
      <w:pPr>
        <w:tabs>
          <w:tab w:val="num" w:pos="4320"/>
        </w:tabs>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C2325E"/>
    <w:rsid w:val="001A0E2A"/>
    <w:rsid w:val="00C2325E"/>
    <w:rsid w:val="00DA2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325E"/>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325E"/>
    <w:pPr>
      <w:pBdr>
        <w:bottom w:val="single" w:sz="6" w:space="1" w:color="auto"/>
      </w:pBdr>
      <w:tabs>
        <w:tab w:val="center" w:pos="4153"/>
        <w:tab w:val="right" w:pos="8306"/>
      </w:tabs>
      <w:snapToGrid w:val="0"/>
      <w:jc w:val="center"/>
    </w:pPr>
    <w:rPr>
      <w:sz w:val="18"/>
      <w:szCs w:val="18"/>
    </w:rPr>
  </w:style>
  <w:style w:type="paragraph" w:styleId="a4">
    <w:name w:val="footer"/>
    <w:basedOn w:val="a"/>
    <w:rsid w:val="00C2325E"/>
    <w:pPr>
      <w:tabs>
        <w:tab w:val="center" w:pos="4153"/>
        <w:tab w:val="right" w:pos="8306"/>
      </w:tabs>
      <w:snapToGrid w:val="0"/>
      <w:jc w:val="left"/>
    </w:pPr>
    <w:rPr>
      <w:sz w:val="18"/>
      <w:szCs w:val="18"/>
    </w:rPr>
  </w:style>
  <w:style w:type="character" w:styleId="a5">
    <w:name w:val="Strong"/>
    <w:basedOn w:val="a0"/>
    <w:rsid w:val="00C2325E"/>
    <w:rPr>
      <w:b/>
      <w:bCs/>
    </w:rPr>
  </w:style>
  <w:style w:type="character" w:customStyle="1" w:styleId="apple-converted-space">
    <w:name w:val="apple-converted-space"/>
    <w:basedOn w:val="a0"/>
    <w:rsid w:val="00C2325E"/>
  </w:style>
  <w:style w:type="paragraph" w:customStyle="1" w:styleId="Default">
    <w:name w:val="Default"/>
    <w:next w:val="a3"/>
    <w:rsid w:val="00C2325E"/>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36</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2017-10-27T09:34:00Z</dcterms:created>
  <dcterms:modified xsi:type="dcterms:W3CDTF">2017-03-14T06:39:00Z</dcterms:modified>
</cp:coreProperties>
</file>