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廊坊市广阳区解放道办事处2017年部门预算</w:t>
      </w:r>
      <w:r>
        <w:rPr>
          <w:rFonts w:hint="eastAsia" w:ascii="方正小标宋简体" w:eastAsia="方正小标宋简体"/>
          <w:sz w:val="44"/>
          <w:szCs w:val="44"/>
        </w:rPr>
        <w:t>信息</w:t>
      </w:r>
      <w:r>
        <w:rPr>
          <w:rFonts w:hint="eastAsia" w:ascii="方正小标宋简体" w:eastAsia="方正小标宋简体" w:cs="宋体"/>
          <w:b/>
          <w:bCs/>
          <w:color w:val="000000"/>
          <w:kern w:val="0"/>
          <w:sz w:val="44"/>
          <w:szCs w:val="44"/>
        </w:rPr>
        <w:t>公开</w:t>
      </w:r>
      <w:r>
        <w:rPr>
          <w:rFonts w:hint="eastAsia" w:ascii="方正小标宋简体" w:eastAsia="方正小标宋简体" w:cs="宋体"/>
          <w:color w:val="000000"/>
          <w:kern w:val="0"/>
          <w:sz w:val="44"/>
          <w:szCs w:val="44"/>
        </w:rPr>
        <w:t> </w:t>
      </w:r>
    </w:p>
    <w:p>
      <w:pPr>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廊坊市广阳区解放道办事处</w:t>
      </w:r>
      <w:r>
        <w:rPr>
          <w:rFonts w:hint="eastAsia" w:ascii="仿宋_GB2312" w:eastAsia="仿宋_GB2312"/>
          <w:sz w:val="32"/>
          <w:szCs w:val="32"/>
        </w:rPr>
        <w:t>2017年部门预算公开如下：</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一、部门职责及机构设置情况</w:t>
      </w:r>
      <w:r>
        <w:rPr>
          <w:rFonts w:hint="eastAsia" w:ascii="黑体" w:eastAsia="黑体"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 xml:space="preserve">部门职责：  </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1、宣传、贯彻、落实党的路线、方针、政策和国家的法律法规，执行上级党委、政府的决定和命令；</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2、制定并组织实施本行政区域内的经济和社会发展规划，促进经济和社会事业的全面发展；</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3、加强街道、社区党的建设，领导和支持群团组织依法独立开展工作；</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5、加强街道、社区精神文明建设和文化建设，促进社会文明进步；</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6、加强街道、社区社会治安综合治理工作，维护社会稳定；</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7、兴建社区服务设施，加强服务功能，提供多种形式的公共服务；</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8、加大城市建设与经营管理力度，发展社会公共事业，加快城市建设和发展步伐；</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9、完成区委、区政府交办的其它工作任务。</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机构设置：</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部门机构设置情况</w:t>
      </w:r>
    </w:p>
    <w:tbl>
      <w:tblPr>
        <w:tblStyle w:val="4"/>
        <w:tblW w:w="97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77"/>
        <w:gridCol w:w="1422"/>
        <w:gridCol w:w="1015"/>
        <w:gridCol w:w="265"/>
        <w:gridCol w:w="27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6" w:hRule="atLeast"/>
          <w:tblHeader/>
          <w:tblCellSpacing w:w="0" w:type="dxa"/>
          <w:jc w:val="center"/>
        </w:trPr>
        <w:tc>
          <w:tcPr>
            <w:tcW w:w="431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43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28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81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1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廊坊市广阳区解放道办事处</w:t>
            </w:r>
          </w:p>
        </w:tc>
        <w:tc>
          <w:tcPr>
            <w:tcW w:w="1432"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行政单位</w:t>
            </w:r>
          </w:p>
        </w:tc>
        <w:tc>
          <w:tcPr>
            <w:tcW w:w="102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正科级</w:t>
            </w:r>
          </w:p>
        </w:tc>
        <w:tc>
          <w:tcPr>
            <w:tcW w:w="3076" w:type="dxa"/>
            <w:gridSpan w:val="2"/>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财政拨款</w:t>
            </w:r>
          </w:p>
        </w:tc>
      </w:tr>
    </w:tbl>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2017年预算收入1520.08万元，其中：一般公共预算收入1520.08万元，政府性基金收入0万元。</w:t>
      </w:r>
    </w:p>
    <w:p>
      <w:pPr>
        <w:widowControl/>
        <w:spacing w:line="360" w:lineRule="atLeast"/>
        <w:jc w:val="left"/>
        <w:rPr>
          <w:rFonts w:ascii="仿宋_GB2312" w:eastAsia="仿宋_GB2312" w:cs="宋体"/>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2017年支出预算1520.08万元，其中基本支出1520.08万元，包括人员经费和日常公用经费，项目支出0万元。</w:t>
      </w:r>
    </w:p>
    <w:p>
      <w:pPr>
        <w:widowControl/>
        <w:spacing w:line="360" w:lineRule="atLeast"/>
        <w:jc w:val="left"/>
        <w:rPr>
          <w:rFonts w:ascii="仿宋_GB2312" w:eastAsia="仿宋_GB2312" w:cs="宋体"/>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2017年预算收支安排1520.08万元，较2016年预算增加286.33万元，其中：基本支出增加286.33万元，主要为增加人员经费支出。</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2017年预算安排我部门机关运行经费9.39万元，其中办公经费9.39万元。</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基层党建促提质。一是在强化服务意识上下功夫。培养树立街道干部群众第一的理念，以求真务实的精神深入群众之中，体察民情、了解民意，为群众诚心诚意办实事、尽心尽力解难事、坚持不懈做好事。二是在提升综合素质上下功夫。加强街居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松驰、工作拖延、自由散漫等消极怠工现象，努力提高工作效率。四是在创新服务载体上下功夫。积极推广在职党员进社区、结对帮扶等做法，运用多种形式和手段开展服务；广泛开展以党员为骨干的各类志愿服务；充分调动广大群众自我管理、自我服务的积极性，构建以党组织为核心、全社会共同参与的服务格局。</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项目引建求突破。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社区创建增亮点。一是深化社区服务功能。紧紧围绕志愿者服务开展工作，进一步创新服务形式，以“特色专业志愿服务团队”建设为侧重点，细化服务方向，提高服务质量，不断开创新开路街道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13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四）、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廊坊市广阳区解放道街道办事处</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职责分类绩效目标情况说明</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解放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1、宣传、贯彻、落实党的路线、方针、政策和国家的法律法规，执行上级党委、政府的决定和命令；</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2、制定并组织实施本行政区域内的经济和社会发展规</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划，促进经济和社会事业的全面发展；</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3、加强街道、社区党的建设，领导和支持群团组织依法独立开展工作；</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5、加强街道、社区精神文明建设和文化建设，促进社会文明进步；</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6、加强街道、社区社会治安综合治理工作，维护社会稳定；</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7、兴建社区服务设施，强化服务功能，提供多种形式的公共服务；</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8、加大城市建设与经营管理力度，发展社会公共事业，加快城市建设和发展步伐；</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9、完成区委、区政府交办的其它工作任务。</w:t>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rPr>
        <w:br w:type="textWrapping"/>
      </w:r>
      <w:r>
        <w:rPr>
          <w:rFonts w:hint="eastAsia" w:ascii="仿宋_GB2312" w:eastAsia="仿宋_GB2312" w:cs="宋体"/>
          <w:color w:val="000000"/>
          <w:kern w:val="0"/>
          <w:sz w:val="32"/>
          <w:szCs w:val="32"/>
        </w:rPr>
        <w:t>部门职责-工作活动绩效目标</w:t>
      </w:r>
    </w:p>
    <w:tbl>
      <w:tblPr>
        <w:tblStyle w:val="4"/>
        <w:tblW w:w="973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70"/>
        <w:gridCol w:w="1082"/>
        <w:gridCol w:w="1589"/>
        <w:gridCol w:w="1862"/>
        <w:gridCol w:w="901"/>
        <w:gridCol w:w="475"/>
        <w:gridCol w:w="1009"/>
        <w:gridCol w:w="872"/>
        <w:gridCol w:w="4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6951"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919廊坊市广阳区解放道街道办事处</w:t>
            </w:r>
          </w:p>
        </w:tc>
        <w:tc>
          <w:tcPr>
            <w:tcW w:w="282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492"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109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161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189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9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2829"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469" w:type="dxa"/>
            <w:vMerge w:val="continue"/>
            <w:tcBorders>
              <w:top w:val="outset" w:color="auto" w:sz="6" w:space="0"/>
              <w:left w:val="outset" w:color="auto" w:sz="6" w:space="0"/>
              <w:bottom w:val="outset" w:color="auto" w:sz="6" w:space="0"/>
              <w:right w:val="outset" w:color="auto" w:sz="6" w:space="0"/>
            </w:tcBorders>
            <w:vAlign w:val="center"/>
          </w:tcPr>
          <w:p/>
        </w:tc>
        <w:tc>
          <w:tcPr>
            <w:tcW w:w="1082" w:type="dxa"/>
            <w:vMerge w:val="continue"/>
            <w:tcBorders>
              <w:top w:val="outset" w:color="auto" w:sz="6" w:space="0"/>
              <w:left w:val="outset" w:color="auto" w:sz="6" w:space="0"/>
              <w:bottom w:val="outset" w:color="auto" w:sz="6" w:space="0"/>
              <w:right w:val="outset" w:color="auto" w:sz="6" w:space="0"/>
            </w:tcBorders>
            <w:vAlign w:val="center"/>
          </w:tcPr>
          <w:p/>
        </w:tc>
        <w:tc>
          <w:tcPr>
            <w:tcW w:w="1590" w:type="dxa"/>
            <w:vMerge w:val="continue"/>
            <w:tcBorders>
              <w:top w:val="outset" w:color="auto" w:sz="6" w:space="0"/>
              <w:left w:val="outset" w:color="auto" w:sz="6" w:space="0"/>
              <w:bottom w:val="outset" w:color="auto" w:sz="6" w:space="0"/>
              <w:right w:val="outset" w:color="auto" w:sz="6" w:space="0"/>
            </w:tcBorders>
            <w:vAlign w:val="center"/>
          </w:tcPr>
          <w:p/>
        </w:tc>
        <w:tc>
          <w:tcPr>
            <w:tcW w:w="1862" w:type="dxa"/>
            <w:vMerge w:val="continue"/>
            <w:tcBorders>
              <w:top w:val="outset" w:color="auto" w:sz="6" w:space="0"/>
              <w:left w:val="outset" w:color="auto" w:sz="6" w:space="0"/>
              <w:bottom w:val="outset" w:color="auto" w:sz="6" w:space="0"/>
              <w:right w:val="outset" w:color="auto" w:sz="6" w:space="0"/>
            </w:tcBorders>
            <w:vAlign w:val="center"/>
          </w:tcPr>
          <w:p/>
        </w:tc>
        <w:tc>
          <w:tcPr>
            <w:tcW w:w="901" w:type="dxa"/>
            <w:vMerge w:val="continue"/>
            <w:tcBorders>
              <w:top w:val="outset" w:color="auto" w:sz="6" w:space="0"/>
              <w:left w:val="outset" w:color="auto" w:sz="6" w:space="0"/>
              <w:bottom w:val="outset" w:color="auto" w:sz="6" w:space="0"/>
              <w:right w:val="outset" w:color="auto" w:sz="6" w:space="0"/>
            </w:tcBorders>
            <w:vAlign w:val="center"/>
          </w:tcP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政务服务</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政务公开、镇政府、街办处会议管理、督察督办、政务联络等工作。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突出政务、加强事务、提升服务，力求重点工作出精品，难点工作求突破、基础工作有创新、常规工作见特色。以机关干部作风量化指标为依据，增强了工作综合服务实力。</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政务公开</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承担街办处政务公开暨行政权力公开透明运行工作领导小组的日常工作，指导和协调全街办处政务公开及政务服务中心建设、推进行政服务体系标准化建设工作。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通过完成街办处政务信息公开工作的指导监督工作，使全街办处信息公开业务队伍素质不断提高，业务水平进一步提升；政府政务信息公开范围不断扩大，公开内容得到进一步细化。</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政务公开率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政务联络</w:t>
            </w:r>
          </w:p>
        </w:tc>
        <w:tc>
          <w:tcPr>
            <w:tcW w:w="109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负责管理区政府驻外办事处工作。负责区领导、区有关部门公务活动的接待安排；</w:t>
            </w:r>
          </w:p>
        </w:tc>
        <w:tc>
          <w:tcPr>
            <w:tcW w:w="1891"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做好县际间与我区政务往来服务保障工作</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对外联络任务完成次数</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69" w:type="dxa"/>
            <w:vMerge w:val="continue"/>
            <w:tcBorders>
              <w:top w:val="outset" w:color="auto" w:sz="6" w:space="0"/>
              <w:left w:val="outset" w:color="auto" w:sz="6" w:space="0"/>
              <w:bottom w:val="outset" w:color="auto" w:sz="6" w:space="0"/>
              <w:right w:val="outset" w:color="auto" w:sz="6" w:space="0"/>
            </w:tcBorders>
            <w:vAlign w:val="center"/>
          </w:tcPr>
          <w:p/>
        </w:tc>
        <w:tc>
          <w:tcPr>
            <w:tcW w:w="1082" w:type="dxa"/>
            <w:vMerge w:val="continue"/>
            <w:tcBorders>
              <w:top w:val="outset" w:color="auto" w:sz="6" w:space="0"/>
              <w:left w:val="outset" w:color="auto" w:sz="6" w:space="0"/>
              <w:bottom w:val="outset" w:color="auto" w:sz="6" w:space="0"/>
              <w:right w:val="outset" w:color="auto" w:sz="6" w:space="0"/>
            </w:tcBorders>
            <w:vAlign w:val="center"/>
          </w:tcPr>
          <w:p/>
        </w:tc>
        <w:tc>
          <w:tcPr>
            <w:tcW w:w="1590" w:type="dxa"/>
            <w:vMerge w:val="continue"/>
            <w:tcBorders>
              <w:top w:val="outset" w:color="auto" w:sz="6" w:space="0"/>
              <w:left w:val="outset" w:color="auto" w:sz="6" w:space="0"/>
              <w:bottom w:val="outset" w:color="auto" w:sz="6" w:space="0"/>
              <w:right w:val="outset" w:color="auto" w:sz="6" w:space="0"/>
            </w:tcBorders>
            <w:vAlign w:val="center"/>
          </w:tcPr>
          <w:p/>
        </w:tc>
        <w:tc>
          <w:tcPr>
            <w:tcW w:w="1862" w:type="dxa"/>
            <w:vMerge w:val="continue"/>
            <w:tcBorders>
              <w:top w:val="outset" w:color="auto" w:sz="6" w:space="0"/>
              <w:left w:val="outset" w:color="auto" w:sz="6" w:space="0"/>
              <w:bottom w:val="outset" w:color="auto" w:sz="6" w:space="0"/>
              <w:right w:val="outset" w:color="auto" w:sz="6" w:space="0"/>
            </w:tcBorders>
            <w:vAlign w:val="center"/>
          </w:tcP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重大活动联络服务工作完成率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会议管理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政府会议的准备和服务工作，协助政府领导组织会议决定事项的落实。</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做好街道会议保障；严格召开的会议审批，控制会议费开支规模。</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大型会议控制率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督查督办</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督促检查街道各部门对政府决定事项及政府领导重要指示的执行落实情况并跟踪调研，及时向领导报告。组织承办人大代表和政协提案工作。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确保街道决定事项及街道领导重要指示得到贯彻落实。</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决策部署督查反馈率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基层政府值班工作，及时报告重要情况，传达和督促落实街办处领导指示。协助街办处领导做好需由基层政府组织处理的突发事件应急处置工作。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应急管理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政府值班工作，及时报告重要情况，传达和督促落实镇政府领导指示。协助镇政府领导做好需由镇政府组织处理的突发事件应急处置工作。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突发事件处理</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电子政务管理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政府电子政务管理与服务</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网站事故次数</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全街道地方志事务管理。</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弘扬和传承优秀文化传统，充分发挥志书“资政、存史、教化”的综合功能，为社会各界方便快捷提供县情，为本县经济社会建设服务，为地方志工作者提供资料和工具。</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地方志事务管理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拟订全街道地方志工作规划并组织实施；搜集、保存、管理地方文献和资料；组织开发利用地方志资源；建设和维护街道地方志县情网络。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为社会各界方便快捷提供街道情，为经济社会建设服务</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编印差错率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街道政务管理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149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109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1614"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1891"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高质量审核公文，让县领导满意；及时办理各类文电，确保事项在第一时间得到街道批示意见；高质量起草的街道重要讲话及重要文稿。</w:t>
            </w:r>
          </w:p>
        </w:tc>
        <w:tc>
          <w:tcPr>
            <w:tcW w:w="9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综合业务工作完成率</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w:t>
            </w:r>
          </w:p>
        </w:tc>
        <w:tc>
          <w:tcPr>
            <w:tcW w:w="102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8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bl>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tLeast"/>
        <w:jc w:val="left"/>
        <w:rPr>
          <w:rFonts w:ascii="仿宋_GB2312" w:eastAsia="仿宋_GB2312" w:cs="宋体"/>
          <w:color w:val="000000"/>
          <w:kern w:val="0"/>
          <w:sz w:val="32"/>
          <w:szCs w:val="32"/>
        </w:rPr>
      </w:pPr>
      <w:r>
        <w:rPr>
          <w:rFonts w:ascii="宋体" w:hAnsi="宋体" w:eastAsia="仿宋_GB2312" w:cs="宋体"/>
          <w:color w:val="000000"/>
          <w:kern w:val="0"/>
          <w:sz w:val="32"/>
          <w:szCs w:val="32"/>
        </w:rPr>
        <w:br w:type="page"/>
      </w: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2017年，我部门未安排政府采购预算。</w:t>
      </w: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rPr>
              <w:t>廊坊市广阳区解放道办事处</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10"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6"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2"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6" w:type="pct"/>
            <w:shd w:val="clear" w:color="auto" w:fill="auto"/>
            <w:vAlign w:val="center"/>
          </w:tcPr>
          <w:p>
            <w:pPr>
              <w:spacing w:line="30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6" w:type="pct"/>
            <w:shd w:val="clear" w:color="auto" w:fill="auto"/>
            <w:vAlign w:val="center"/>
          </w:tcPr>
          <w:p>
            <w:pPr>
              <w:spacing w:line="300" w:lineRule="exact"/>
              <w:jc w:val="center"/>
              <w:rPr>
                <w:rFonts w:ascii="仿宋_GB2312" w:eastAsia="仿宋_GB2312" w:cs="Times New Roman"/>
                <w:sz w:val="28"/>
                <w:szCs w:val="28"/>
              </w:rPr>
            </w:pPr>
          </w:p>
        </w:tc>
      </w:tr>
    </w:tbl>
    <w:p>
      <w:pPr>
        <w:widowControl/>
        <w:spacing w:line="360" w:lineRule="atLeast"/>
        <w:jc w:val="left"/>
        <w:rPr>
          <w:rFonts w:ascii="仿宋_GB2312" w:eastAsia="仿宋_GB2312" w:cs="宋体"/>
          <w:b/>
          <w:bCs/>
          <w:color w:val="000000"/>
          <w:kern w:val="0"/>
          <w:sz w:val="32"/>
          <w:szCs w:val="32"/>
        </w:rPr>
      </w:pPr>
    </w:p>
    <w:p>
      <w:pPr>
        <w:widowControl/>
        <w:spacing w:line="360" w:lineRule="atLeast"/>
        <w:jc w:val="left"/>
        <w:rPr>
          <w:rFonts w:ascii="仿宋_GB2312" w:eastAsia="仿宋_GB2312" w:cs="宋体"/>
          <w:color w:val="000000"/>
          <w:kern w:val="0"/>
          <w:sz w:val="32"/>
          <w:szCs w:val="32"/>
        </w:rPr>
      </w:pPr>
      <w:r>
        <w:rPr>
          <w:rFonts w:ascii="仿宋_GB2312" w:eastAsia="仿宋_GB2312" w:cs="宋体"/>
          <w:b/>
          <w:bCs/>
          <w:color w:val="000000"/>
          <w:kern w:val="0"/>
          <w:sz w:val="32"/>
          <w:szCs w:val="32"/>
        </w:rPr>
        <w:br w:type="page"/>
      </w: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我部门（含所属单位）上年末固定资产金额为604.34万元，我部门本年度无拟购置固定资产，详见下表。</w:t>
      </w:r>
    </w:p>
    <w:tbl>
      <w:tblPr>
        <w:tblStyle w:val="4"/>
        <w:tblW w:w="10280" w:type="dxa"/>
        <w:tblCellSpacing w:w="0" w:type="dxa"/>
        <w:tblInd w:w="0" w:type="dxa"/>
        <w:tblLayout w:type="autofit"/>
        <w:tblCellMar>
          <w:top w:w="0" w:type="dxa"/>
          <w:left w:w="0" w:type="dxa"/>
          <w:bottom w:w="0" w:type="dxa"/>
          <w:right w:w="0" w:type="dxa"/>
        </w:tblCellMar>
      </w:tblPr>
      <w:tblGrid>
        <w:gridCol w:w="3890"/>
        <w:gridCol w:w="2750"/>
        <w:gridCol w:w="3760"/>
      </w:tblGrid>
      <w:tr>
        <w:tblPrEx>
          <w:tblCellMar>
            <w:top w:w="0" w:type="dxa"/>
            <w:left w:w="0" w:type="dxa"/>
            <w:bottom w:w="0" w:type="dxa"/>
            <w:right w:w="0" w:type="dxa"/>
          </w:tblCellMar>
        </w:tblPrEx>
        <w:trPr>
          <w:trHeight w:val="705" w:hRule="atLeast"/>
          <w:tblCellSpacing w:w="0" w:type="dxa"/>
        </w:trPr>
        <w:tc>
          <w:tcPr>
            <w:tcW w:w="10310" w:type="dxa"/>
            <w:gridSpan w:val="3"/>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trPr>
        <w:tc>
          <w:tcPr>
            <w:tcW w:w="6585" w:type="dxa"/>
            <w:gridSpan w:val="2"/>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b/>
                <w:bCs/>
                <w:kern w:val="0"/>
                <w:sz w:val="28"/>
                <w:szCs w:val="28"/>
              </w:rPr>
              <w:t>廊坊市广阳区解放道街道办事处</w:t>
            </w:r>
          </w:p>
        </w:tc>
        <w:tc>
          <w:tcPr>
            <w:tcW w:w="3740" w:type="dxa"/>
            <w:noWrap/>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截止时间：2016年12月31日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604.34</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2930</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473.89</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2930</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473.89</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51.90</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78.55</w:t>
            </w:r>
          </w:p>
        </w:tc>
      </w:tr>
      <w:tr>
        <w:tblPrEx>
          <w:tblCellMar>
            <w:top w:w="0" w:type="dxa"/>
            <w:left w:w="0" w:type="dxa"/>
            <w:bottom w:w="0" w:type="dxa"/>
            <w:right w:w="0" w:type="dxa"/>
          </w:tblCellMar>
        </w:tblPrEx>
        <w:trPr>
          <w:trHeight w:val="645" w:hRule="atLeast"/>
          <w:tblCellSpacing w:w="0" w:type="dxa"/>
        </w:trPr>
        <w:tc>
          <w:tcPr>
            <w:tcW w:w="38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7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3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kern w:val="0"/>
                <w:sz w:val="28"/>
                <w:szCs w:val="28"/>
              </w:rPr>
              <w:t>0.00</w:t>
            </w:r>
          </w:p>
        </w:tc>
      </w:tr>
    </w:tbl>
    <w:p>
      <w:pPr>
        <w:pStyle w:val="8"/>
        <w:rPr>
          <w:rFonts w:ascii="仿宋_GB2312" w:eastAsia="仿宋_GB2312"/>
          <w:b/>
          <w:bCs/>
          <w:sz w:val="32"/>
          <w:szCs w:val="32"/>
        </w:rPr>
      </w:pP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ascii="宋体" w:hAnsi="宋体" w:eastAsia="仿宋_GB2312" w:cs="宋体"/>
          <w:sz w:val="32"/>
          <w:szCs w:val="32"/>
        </w:rPr>
        <w:t>   </w:t>
      </w:r>
      <w:r>
        <w:rPr>
          <w:rFonts w:hint="eastAsia"/>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8"/>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8"/>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8"/>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8"/>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8"/>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无其它需要说明的事项。</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567490"/>
    <w:rsid w:val="00567490"/>
    <w:rsid w:val="00B22203"/>
    <w:rsid w:val="00DD4FE6"/>
    <w:rsid w:val="6038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apple-converted-space"/>
    <w:basedOn w:val="5"/>
    <w:qFormat/>
    <w:uiPriority w:val="0"/>
  </w:style>
  <w:style w:type="paragraph" w:customStyle="1" w:styleId="8">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919</Words>
  <Characters>5242</Characters>
  <Lines>43</Lines>
  <Paragraphs>12</Paragraphs>
  <TotalTime>5</TotalTime>
  <ScaleCrop>false</ScaleCrop>
  <LinksUpToDate>false</LinksUpToDate>
  <CharactersWithSpaces>6149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2017-10-27T10:04:00Z</dcterms:created>
  <dc:creator>lenovo</dc:creator>
  <cp:lastModifiedBy>Administrator</cp:lastModifiedBy>
  <dcterms:modified xsi:type="dcterms:W3CDTF">2024-01-18T02:10:19Z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DF6D58C6C8DF406B80DC216DBFA670BE</vt:lpwstr>
  </property>
</Properties>
</file>