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cs="宋体"/>
          <w:color w:val="000000"/>
          <w:kern w:val="0"/>
          <w:sz w:val="44"/>
          <w:szCs w:val="44"/>
        </w:rPr>
      </w:pPr>
      <w:bookmarkStart w:id="0" w:name="_GoBack"/>
      <w:bookmarkEnd w:id="0"/>
      <w:r>
        <w:rPr>
          <w:rFonts w:hint="eastAsia" w:ascii="方正小标宋简体" w:eastAsia="方正小标宋简体" w:cs="宋体"/>
          <w:b/>
          <w:bCs/>
          <w:color w:val="000000"/>
          <w:kern w:val="0"/>
          <w:sz w:val="44"/>
          <w:szCs w:val="44"/>
        </w:rPr>
        <w:t>廊坊市广阳区解放道办事处2017年部门预算</w:t>
      </w:r>
      <w:r>
        <w:rPr>
          <w:rFonts w:hint="eastAsia" w:ascii="方正小标宋简体" w:eastAsia="方正小标宋简体"/>
          <w:sz w:val="44"/>
          <w:szCs w:val="44"/>
        </w:rPr>
        <w:t>信息</w:t>
      </w:r>
      <w:r>
        <w:rPr>
          <w:rFonts w:hint="eastAsia" w:ascii="方正小标宋简体" w:eastAsia="方正小标宋简体" w:cs="宋体"/>
          <w:b/>
          <w:bCs/>
          <w:color w:val="000000"/>
          <w:kern w:val="0"/>
          <w:sz w:val="44"/>
          <w:szCs w:val="44"/>
        </w:rPr>
        <w:t>公开</w:t>
      </w:r>
      <w:r>
        <w:rPr>
          <w:rFonts w:hint="eastAsia" w:ascii="方正小标宋简体" w:eastAsia="方正小标宋简体" w:cs="宋体"/>
          <w:color w:val="000000"/>
          <w:kern w:val="0"/>
          <w:sz w:val="44"/>
          <w:szCs w:val="44"/>
        </w:rPr>
        <w:t> </w:t>
      </w:r>
    </w:p>
    <w:p>
      <w:pPr>
        <w:ind w:firstLine="640" w:firstLineChars="200"/>
        <w:rPr>
          <w:rFonts w:ascii="仿宋_GB2312" w:eastAsia="仿宋_GB2312"/>
          <w:sz w:val="32"/>
          <w:szCs w:val="32"/>
        </w:rPr>
      </w:pPr>
      <w:r>
        <w:rPr>
          <w:rFonts w:hint="eastAsia" w:ascii="仿宋_GB2312" w:eastAsia="仿宋_GB2312"/>
          <w:sz w:val="32"/>
          <w:szCs w:val="32"/>
        </w:rPr>
        <w:t>按照《</w:t>
      </w:r>
      <w:r>
        <w:rPr>
          <w:rFonts w:hint="eastAsia" w:ascii="仿宋_GB2312" w:eastAsia="仿宋_GB2312"/>
          <w:sz w:val="32"/>
          <w:szCs w:val="32"/>
          <w:lang w:eastAsia="zh-CN"/>
        </w:rPr>
        <w:t>中华人民共和国</w:t>
      </w:r>
      <w:r>
        <w:rPr>
          <w:rFonts w:hint="eastAsia" w:ascii="仿宋_GB2312" w:eastAsia="仿宋_GB2312"/>
          <w:sz w:val="32"/>
          <w:szCs w:val="32"/>
        </w:rPr>
        <w:t>预算法》、《地方预决算公开操作规程》和《河北省省级预算公开办法》规定，现将</w:t>
      </w:r>
      <w:r>
        <w:rPr>
          <w:rFonts w:hint="eastAsia" w:ascii="仿宋_GB2312" w:eastAsia="仿宋_GB2312" w:cs="宋体"/>
          <w:color w:val="000000"/>
          <w:kern w:val="0"/>
          <w:sz w:val="32"/>
          <w:szCs w:val="32"/>
        </w:rPr>
        <w:t>廊坊市广阳区解放道办事处</w:t>
      </w:r>
      <w:r>
        <w:rPr>
          <w:rFonts w:hint="eastAsia" w:ascii="仿宋_GB2312" w:eastAsia="仿宋_GB2312"/>
          <w:sz w:val="32"/>
          <w:szCs w:val="32"/>
        </w:rPr>
        <w:t>2017年部门预算公开如下：</w:t>
      </w:r>
    </w:p>
    <w:p>
      <w:pPr>
        <w:widowControl/>
        <w:spacing w:line="360" w:lineRule="atLeast"/>
        <w:jc w:val="left"/>
        <w:rPr>
          <w:rFonts w:ascii="仿宋_GB2312" w:eastAsia="仿宋_GB2312" w:cs="宋体"/>
          <w:color w:val="000000"/>
          <w:kern w:val="0"/>
          <w:sz w:val="32"/>
          <w:szCs w:val="32"/>
        </w:rPr>
      </w:pPr>
      <w:r>
        <w:rPr>
          <w:rFonts w:hint="eastAsia" w:ascii="黑体" w:eastAsia="黑体" w:cs="宋体"/>
          <w:b/>
          <w:bCs/>
          <w:color w:val="000000"/>
          <w:kern w:val="0"/>
          <w:sz w:val="32"/>
          <w:szCs w:val="32"/>
        </w:rPr>
        <w:t>一、部门职责及机构设置情况</w:t>
      </w:r>
      <w:r>
        <w:rPr>
          <w:rFonts w:hint="eastAsia" w:ascii="黑体" w:eastAsia="黑体" w:cs="宋体"/>
          <w:color w:val="000000"/>
          <w:kern w:val="0"/>
          <w:sz w:val="32"/>
          <w:szCs w:val="32"/>
        </w:rPr>
        <w:br w:type="textWrapping"/>
      </w:r>
      <w:r>
        <w:rPr>
          <w:rFonts w:hint="eastAsia" w:ascii="宋体" w:hAnsi="宋体" w:eastAsia="仿宋_GB2312" w:cs="宋体"/>
          <w:b/>
          <w:bCs/>
          <w:color w:val="000000"/>
          <w:kern w:val="0"/>
          <w:sz w:val="32"/>
          <w:szCs w:val="32"/>
        </w:rPr>
        <w:t xml:space="preserve">    </w:t>
      </w:r>
      <w:r>
        <w:rPr>
          <w:rFonts w:hint="eastAsia" w:ascii="仿宋_GB2312" w:eastAsia="仿宋_GB2312" w:cs="宋体"/>
          <w:b/>
          <w:bCs/>
          <w:color w:val="000000"/>
          <w:kern w:val="0"/>
          <w:sz w:val="32"/>
          <w:szCs w:val="32"/>
        </w:rPr>
        <w:t xml:space="preserve">部门职责：  </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1、宣传、贯彻、落实党的路线、方针、政策和国家的法律法规，执行上级党委、政府的决定和命令；</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2、制定并组织实施本行政区域内的经济和社会发展规划，促进经济和社会事业的全面发展；</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3、加强街道、社区党的建设，领导和支持群团组织依法独立开展工作；</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4、依法管理本行政区域内的各项社会事务，组织协调本辖区内机关团体和企事业单位完成地区性、群众性和社会性的工作任务，支持、配合、监督派驻本辖区的公安、工商、税务等机构或人员正常开展工作；</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5、加强街道、社区精神文明建设和文化建设，促进社会文明进步；</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6、加强街道、社区社会治安综合治理工作，维护社会稳定；</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7、兴建社区服务设施，加强服务功能，提供多种形式的公共服务；</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8、加大城市建设与经营管理力度，发展社会公共事业，加快城市建设和发展步伐；</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9、完成区委、区政府交办的其它工作任务。</w:t>
      </w:r>
      <w:r>
        <w:rPr>
          <w:rFonts w:hint="eastAsia" w:ascii="仿宋_GB2312" w:eastAsia="仿宋_GB2312" w:cs="宋体"/>
          <w:color w:val="000000"/>
          <w:kern w:val="0"/>
          <w:sz w:val="32"/>
          <w:szCs w:val="32"/>
        </w:rPr>
        <w:br w:type="textWrapping"/>
      </w:r>
      <w:r>
        <w:rPr>
          <w:rFonts w:hint="eastAsia" w:ascii="宋体" w:hAnsi="宋体" w:eastAsia="仿宋_GB2312" w:cs="宋体"/>
          <w:b/>
          <w:bCs/>
          <w:color w:val="000000"/>
          <w:kern w:val="0"/>
          <w:sz w:val="32"/>
          <w:szCs w:val="32"/>
        </w:rPr>
        <w:t xml:space="preserve">    </w:t>
      </w:r>
      <w:r>
        <w:rPr>
          <w:rFonts w:hint="eastAsia" w:ascii="仿宋_GB2312" w:eastAsia="仿宋_GB2312" w:cs="宋体"/>
          <w:b/>
          <w:bCs/>
          <w:color w:val="000000"/>
          <w:kern w:val="0"/>
          <w:sz w:val="32"/>
          <w:szCs w:val="32"/>
        </w:rPr>
        <w:t>机构设置：</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部门机构设置情况</w:t>
      </w:r>
    </w:p>
    <w:tbl>
      <w:tblPr>
        <w:tblStyle w:val="4"/>
        <w:tblW w:w="9767"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4277"/>
        <w:gridCol w:w="1422"/>
        <w:gridCol w:w="1015"/>
        <w:gridCol w:w="265"/>
        <w:gridCol w:w="278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56" w:hRule="atLeast"/>
          <w:tblHeader/>
          <w:tblCellSpacing w:w="0" w:type="dxa"/>
          <w:jc w:val="center"/>
        </w:trPr>
        <w:tc>
          <w:tcPr>
            <w:tcW w:w="431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单位名称</w:t>
            </w:r>
          </w:p>
        </w:tc>
        <w:tc>
          <w:tcPr>
            <w:tcW w:w="1432"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单位性质</w:t>
            </w:r>
          </w:p>
        </w:tc>
        <w:tc>
          <w:tcPr>
            <w:tcW w:w="1288" w:type="dxa"/>
            <w:gridSpan w:val="2"/>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单位规格</w:t>
            </w:r>
          </w:p>
        </w:tc>
        <w:tc>
          <w:tcPr>
            <w:tcW w:w="281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经费保障形式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jc w:val="center"/>
        </w:trPr>
        <w:tc>
          <w:tcPr>
            <w:tcW w:w="4313"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28"/>
                <w:szCs w:val="28"/>
              </w:rPr>
            </w:pPr>
            <w:r>
              <w:rPr>
                <w:rFonts w:hint="eastAsia" w:ascii="仿宋_GB2312" w:eastAsia="仿宋_GB2312" w:cs="宋体"/>
                <w:kern w:val="0"/>
                <w:sz w:val="28"/>
                <w:szCs w:val="28"/>
              </w:rPr>
              <w:t>廊坊市广阳区解放道办事处</w:t>
            </w:r>
          </w:p>
        </w:tc>
        <w:tc>
          <w:tcPr>
            <w:tcW w:w="1432"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28"/>
                <w:szCs w:val="28"/>
              </w:rPr>
            </w:pPr>
            <w:r>
              <w:rPr>
                <w:rFonts w:hint="eastAsia" w:ascii="仿宋_GB2312" w:eastAsia="仿宋_GB2312" w:cs="宋体"/>
                <w:kern w:val="0"/>
                <w:sz w:val="28"/>
                <w:szCs w:val="28"/>
              </w:rPr>
              <w:t>行政单位</w:t>
            </w:r>
          </w:p>
        </w:tc>
        <w:tc>
          <w:tcPr>
            <w:tcW w:w="1021"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28"/>
                <w:szCs w:val="28"/>
              </w:rPr>
            </w:pPr>
            <w:r>
              <w:rPr>
                <w:rFonts w:hint="eastAsia" w:ascii="仿宋_GB2312" w:eastAsia="仿宋_GB2312" w:cs="宋体"/>
                <w:kern w:val="0"/>
                <w:sz w:val="28"/>
                <w:szCs w:val="28"/>
              </w:rPr>
              <w:t>正科级</w:t>
            </w:r>
          </w:p>
        </w:tc>
        <w:tc>
          <w:tcPr>
            <w:tcW w:w="3076" w:type="dxa"/>
            <w:gridSpan w:val="2"/>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28"/>
                <w:szCs w:val="28"/>
              </w:rPr>
            </w:pPr>
            <w:r>
              <w:rPr>
                <w:rFonts w:hint="eastAsia" w:ascii="仿宋_GB2312" w:eastAsia="仿宋_GB2312" w:cs="宋体"/>
                <w:kern w:val="0"/>
                <w:sz w:val="28"/>
                <w:szCs w:val="28"/>
              </w:rPr>
              <w:t>财政拨款</w:t>
            </w:r>
          </w:p>
        </w:tc>
      </w:tr>
    </w:tbl>
    <w:p>
      <w:pPr>
        <w:widowControl/>
        <w:spacing w:line="360" w:lineRule="atLeast"/>
        <w:jc w:val="left"/>
        <w:rPr>
          <w:rFonts w:ascii="仿宋_GB2312" w:eastAsia="仿宋_GB2312" w:cs="宋体"/>
          <w:color w:val="000000"/>
          <w:kern w:val="0"/>
          <w:sz w:val="32"/>
          <w:szCs w:val="32"/>
        </w:rPr>
      </w:pPr>
      <w:r>
        <w:rPr>
          <w:rFonts w:hint="eastAsia" w:ascii="黑体" w:eastAsia="黑体" w:cs="宋体"/>
          <w:b/>
          <w:bCs/>
          <w:color w:val="000000"/>
          <w:kern w:val="0"/>
          <w:sz w:val="32"/>
          <w:szCs w:val="32"/>
        </w:rPr>
        <w:t>二、部门预算安排的总体情况</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按照预算管理有关规定，目前我区部门预算的编制实行综合预算制度，即全部收入和支出都反映在预算中。</w:t>
      </w:r>
      <w:r>
        <w:rPr>
          <w:rFonts w:hint="eastAsia" w:ascii="仿宋_GB2312" w:eastAsia="仿宋_GB2312" w:cs="宋体"/>
          <w:color w:val="000000"/>
          <w:kern w:val="0"/>
          <w:sz w:val="32"/>
          <w:szCs w:val="32"/>
        </w:rPr>
        <w:br w:type="textWrapping"/>
      </w:r>
      <w:r>
        <w:rPr>
          <w:rFonts w:hint="eastAsia" w:ascii="宋体" w:hAnsi="宋体" w:eastAsia="仿宋_GB2312" w:cs="宋体"/>
          <w:b/>
          <w:bCs/>
          <w:color w:val="000000"/>
          <w:kern w:val="0"/>
          <w:sz w:val="32"/>
          <w:szCs w:val="32"/>
        </w:rPr>
        <w:t> </w:t>
      </w:r>
      <w:r>
        <w:rPr>
          <w:rFonts w:hint="eastAsia" w:ascii="宋体" w:hAnsi="宋体" w:eastAsia="楷体_GB2312" w:cs="宋体"/>
          <w:b/>
          <w:bCs/>
          <w:color w:val="000000"/>
          <w:kern w:val="0"/>
          <w:sz w:val="32"/>
          <w:szCs w:val="32"/>
        </w:rPr>
        <w:t xml:space="preserve">   </w:t>
      </w:r>
      <w:r>
        <w:rPr>
          <w:rFonts w:hint="eastAsia" w:ascii="楷体_GB2312" w:eastAsia="楷体_GB2312" w:cs="宋体"/>
          <w:b/>
          <w:bCs/>
          <w:color w:val="000000"/>
          <w:kern w:val="0"/>
          <w:sz w:val="32"/>
          <w:szCs w:val="32"/>
        </w:rPr>
        <w:t>1、收入说明</w:t>
      </w:r>
      <w:r>
        <w:rPr>
          <w:rFonts w:hint="eastAsia" w:ascii="楷体_GB2312" w:eastAsia="楷体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2017年预算收入1520.08万元，其中：一般公共预算收入1520.08万元，政府性基金收入0万元。</w:t>
      </w:r>
    </w:p>
    <w:p>
      <w:pPr>
        <w:widowControl/>
        <w:spacing w:line="360" w:lineRule="atLeast"/>
        <w:jc w:val="left"/>
        <w:rPr>
          <w:rFonts w:ascii="仿宋_GB2312" w:eastAsia="仿宋_GB2312" w:cs="宋体"/>
          <w:color w:val="000000"/>
          <w:kern w:val="0"/>
          <w:sz w:val="32"/>
          <w:szCs w:val="32"/>
        </w:rPr>
      </w:pPr>
      <w:r>
        <w:rPr>
          <w:rFonts w:hint="eastAsia" w:ascii="宋体" w:hAnsi="宋体" w:eastAsia="楷体_GB2312" w:cs="宋体"/>
          <w:b/>
          <w:bCs/>
          <w:color w:val="000000"/>
          <w:kern w:val="0"/>
          <w:sz w:val="32"/>
          <w:szCs w:val="32"/>
        </w:rPr>
        <w:t xml:space="preserve">    </w:t>
      </w:r>
      <w:r>
        <w:rPr>
          <w:rFonts w:hint="eastAsia" w:ascii="楷体_GB2312" w:eastAsia="楷体_GB2312" w:cs="宋体"/>
          <w:b/>
          <w:bCs/>
          <w:color w:val="000000"/>
          <w:kern w:val="0"/>
          <w:sz w:val="32"/>
          <w:szCs w:val="32"/>
        </w:rPr>
        <w:t>2、支出说明</w:t>
      </w:r>
      <w:r>
        <w:rPr>
          <w:rFonts w:hint="eastAsia" w:ascii="楷体_GB2312" w:eastAsia="楷体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2017年支出预算1520.08万元，其中基本支出1520.08万元，包括人员经费和日常公用经费，项目支出0万元。</w:t>
      </w:r>
    </w:p>
    <w:p>
      <w:pPr>
        <w:widowControl/>
        <w:spacing w:line="360" w:lineRule="atLeast"/>
        <w:jc w:val="left"/>
        <w:rPr>
          <w:rFonts w:ascii="仿宋_GB2312" w:eastAsia="仿宋_GB2312" w:cs="宋体"/>
          <w:color w:val="000000"/>
          <w:kern w:val="0"/>
          <w:sz w:val="32"/>
          <w:szCs w:val="32"/>
        </w:rPr>
      </w:pPr>
      <w:r>
        <w:rPr>
          <w:rFonts w:hint="eastAsia" w:ascii="宋体" w:hAnsi="宋体" w:eastAsia="楷体_GB2312" w:cs="宋体"/>
          <w:b/>
          <w:bCs/>
          <w:color w:val="000000"/>
          <w:kern w:val="0"/>
          <w:sz w:val="32"/>
          <w:szCs w:val="32"/>
        </w:rPr>
        <w:t xml:space="preserve">    </w:t>
      </w:r>
      <w:r>
        <w:rPr>
          <w:rFonts w:hint="eastAsia" w:ascii="楷体_GB2312" w:eastAsia="楷体_GB2312" w:cs="宋体"/>
          <w:b/>
          <w:bCs/>
          <w:color w:val="000000"/>
          <w:kern w:val="0"/>
          <w:sz w:val="32"/>
          <w:szCs w:val="32"/>
        </w:rPr>
        <w:t>3、比上年增减情况</w:t>
      </w:r>
      <w:r>
        <w:rPr>
          <w:rFonts w:hint="eastAsia" w:ascii="楷体_GB2312" w:eastAsia="楷体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2017年预算收支安排1520.08万元，较2016年预算增加286.33万元，其中：基本支出增加286.33万元，主要为增加人员经费支出。</w:t>
      </w:r>
      <w:r>
        <w:rPr>
          <w:rFonts w:hint="eastAsia" w:ascii="仿宋_GB2312" w:eastAsia="仿宋_GB2312" w:cs="宋体"/>
          <w:color w:val="000000"/>
          <w:kern w:val="0"/>
          <w:sz w:val="32"/>
          <w:szCs w:val="32"/>
        </w:rPr>
        <w:br w:type="textWrapping"/>
      </w:r>
      <w:r>
        <w:rPr>
          <w:rFonts w:hint="eastAsia" w:ascii="黑体" w:eastAsia="黑体" w:cs="宋体"/>
          <w:b/>
          <w:bCs/>
          <w:color w:val="000000"/>
          <w:kern w:val="0"/>
          <w:sz w:val="32"/>
          <w:szCs w:val="32"/>
        </w:rPr>
        <w:t>三、机关运行经费安排情况</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2017年预算安排我部门机关运行经费9.39万元，其中办公经费9.39万元。</w:t>
      </w:r>
      <w:r>
        <w:rPr>
          <w:rFonts w:hint="eastAsia" w:ascii="仿宋_GB2312" w:eastAsia="仿宋_GB2312" w:cs="宋体"/>
          <w:color w:val="000000"/>
          <w:kern w:val="0"/>
          <w:sz w:val="32"/>
          <w:szCs w:val="32"/>
        </w:rPr>
        <w:br w:type="textWrapping"/>
      </w:r>
      <w:r>
        <w:rPr>
          <w:rFonts w:hint="eastAsia" w:ascii="黑体" w:eastAsia="黑体" w:cs="宋体"/>
          <w:b/>
          <w:bCs/>
          <w:color w:val="000000"/>
          <w:kern w:val="0"/>
          <w:sz w:val="32"/>
          <w:szCs w:val="32"/>
        </w:rPr>
        <w:t>四、财政拨款“三公”经费预算情况及增减变化原因</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2017年，我部门“三公”经费预算安排0万元，其中因公出国（境）费0万元；公务用车购置及运维费0万元（其中：公务用车购置费为0万元，公务用车运行费为0万元)；公务接待费0万元。与2016年持平、无增减变化。</w:t>
      </w:r>
      <w:r>
        <w:rPr>
          <w:rFonts w:hint="eastAsia" w:ascii="仿宋_GB2312" w:eastAsia="仿宋_GB2312" w:cs="宋体"/>
          <w:color w:val="000000"/>
          <w:kern w:val="0"/>
          <w:sz w:val="32"/>
          <w:szCs w:val="32"/>
        </w:rPr>
        <w:br w:type="textWrapping"/>
      </w:r>
      <w:r>
        <w:rPr>
          <w:rFonts w:hint="eastAsia" w:ascii="黑体" w:eastAsia="黑体" w:cs="宋体"/>
          <w:b/>
          <w:bCs/>
          <w:color w:val="000000"/>
          <w:kern w:val="0"/>
          <w:sz w:val="32"/>
          <w:szCs w:val="32"/>
        </w:rPr>
        <w:t>五、绩效预算信息</w:t>
      </w:r>
      <w:r>
        <w:rPr>
          <w:rFonts w:hint="eastAsia" w:ascii="黑体" w:eastAsia="黑体" w:cs="宋体"/>
          <w:color w:val="000000"/>
          <w:kern w:val="0"/>
          <w:sz w:val="32"/>
          <w:szCs w:val="32"/>
        </w:rPr>
        <w:br w:type="textWrapping"/>
      </w:r>
      <w:r>
        <w:rPr>
          <w:rFonts w:hint="eastAsia" w:ascii="宋体" w:hAnsi="宋体" w:eastAsia="仿宋_GB2312" w:cs="宋体"/>
          <w:b/>
          <w:bCs/>
          <w:color w:val="000000"/>
          <w:kern w:val="0"/>
          <w:sz w:val="32"/>
          <w:szCs w:val="32"/>
        </w:rPr>
        <w:t xml:space="preserve">    </w:t>
      </w:r>
      <w:r>
        <w:rPr>
          <w:rFonts w:hint="eastAsia" w:ascii="仿宋_GB2312" w:eastAsia="仿宋_GB2312" w:cs="宋体"/>
          <w:b/>
          <w:bCs/>
          <w:color w:val="000000"/>
          <w:kern w:val="0"/>
          <w:sz w:val="32"/>
          <w:szCs w:val="32"/>
        </w:rPr>
        <w:t>总体绩效目标：</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一）、基层党建促提质。一是在强化服务意识上下功夫。培养树立街道干部群众第一的理念，以求真务实的精神深入群众之中，体察民情、了解民意，为群众诚心诚意办实事、尽心尽力解难事、坚持不懈做好事。二是在提升综合素质上下功夫。加强街居干部理论知识、前沿科技知识和先进经验的学习，研究新政策，吃透新情况，不断提升自身素质。坚持“学中干，干中学”，深入社区、深入居民，在基层实践中锻炼提高。三是在提升工作效能上下功夫。继续建立健全各项规章制度，加强机关作风建设，充分发挥纪检部门的监督作用，不断增强街居干部的纪律意识、责任意识和大局意识，坚决杜绝纪律</w:t>
      </w:r>
      <w:r>
        <w:rPr>
          <w:rFonts w:hint="eastAsia" w:ascii="仿宋_GB2312" w:eastAsia="仿宋_GB2312" w:cs="宋体"/>
          <w:color w:val="000000"/>
          <w:kern w:val="0"/>
          <w:sz w:val="32"/>
          <w:szCs w:val="32"/>
          <w:lang w:eastAsia="zh-CN"/>
        </w:rPr>
        <w:t>松弛</w:t>
      </w:r>
      <w:r>
        <w:rPr>
          <w:rFonts w:hint="eastAsia" w:ascii="仿宋_GB2312" w:eastAsia="仿宋_GB2312" w:cs="宋体"/>
          <w:color w:val="000000"/>
          <w:kern w:val="0"/>
          <w:sz w:val="32"/>
          <w:szCs w:val="32"/>
        </w:rPr>
        <w:t>、工作拖延、自由散漫等消极怠工现象，努力提高工作效率。四是在创新服务载体上下功夫。积极推广在职党员进社区、结对帮扶等做法，运用多种形式和手段开展服务；广泛开展以党员为骨干的各类志愿服务；充分调动广大群众自我管理、自我服务的积极性，构建以党组织为核心、全社会共同参与的服务格局。</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二）、项目引建求突破。不断优化招商结构和投资环境，注重引进规模大、质量好的项目，特别是高端现代服务业项目，高科技、高附加值、高税收项目。加大重点项目的推进力度，找准联建户突破口，形成多部门执法合力，实现对土地和资源的有效利用，加快辖区土地的全面盘活，培育辖区经济增长点。</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三）、社区创建增亮点。一是深化社区服务功能。紧紧围绕志愿者服务开展工作，进一步创新服务形式，以“特色专业志愿服务团队”建设为侧重点，细化服务方向，提高服务质量，不断开创新开路街道惠民利民新品牌。二是创新社区管理机制体制。鼓励辖区各类组织、单位和个人共驻共建，力争建立起覆盖社区全体成员、服务主体多元、服务功能完善、服务质量和管理模式都达到领先水平的社区服务体系。三是挖掘特色精品社区创建内涵。将13个社区划分为“三个三分之一”，其中三分之一老旧社区加强社区建设，摸索建立社区特色；三分之一已有特色社区加大挖掘力度，出亮点，立标杆；三分之一重点社区强化街道扶持，树品牌，建口碑，争取取得各社区特色各异，百花齐放的良好效果。</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四）、和谐共建保稳定。一是强化维稳意识。在原有上访点有效地化解的基础上，将防复发、防新发的任务作为重点，时刻紧绷维护稳定这根弦，将问题想在困难处，想在发生前，将隐患消除在萌芽状态。二是强化安全意识。进一步推动落实企业主体责任，强化重点领域专项整治，健全隐患排查长效管理机制，强化安全生产培训教育，加强和有关部门的协调配合，从源头打击控制非法、违法行为，创造良好平稳的安全生产环境。三是强化大气污染防治。细化大气污染防治网格化管理，明确责任，工作有的放矢。并加强督导，强化机制。同时不断加大宣传教育力度，营造干群齐心协力防治大气污染、改善生态环境的浓厚氛围。</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b/>
          <w:bCs/>
          <w:color w:val="000000"/>
          <w:kern w:val="0"/>
          <w:sz w:val="32"/>
          <w:szCs w:val="32"/>
        </w:rPr>
        <w:t>职责分类绩效目标：</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廊坊市广阳区解放道街道办事处</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职责分类绩效目标情况说明</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解放道街道办事处作为广阳区委、区政府的派出机构，依据法律、法规和区委、区政府的授权，对辖区内的社区经济、社区管理、社区服务和社区文化行使组织领导、综合协调、执法监督等综合行政管理职能，对地区性、社会性、群众性的工作负全面责任。具体履行以下主要职能：</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1、宣传、贯彻、落实党的路线、方针、政策和国家的法律法规，执行上级党委、政府的决定和命令；</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2、制定并组织实施本行政区域内的经济和社会发展规</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划，促进经济和社会事业的全面发展；</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3、加强街道、社区党的建设，领导和支持群团组织依法独立开展工作；</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4、依法管理本行政区域内的各项社会事务，组织协调本辖区内机关、团体和企事业单位完成地区性、群众性和社会性的工作任务，支持、配合、监督派驻本辖区的公安、工商、税务等机构或人员正常开展工作；</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5、加强街道、社区精神文明建设和文化建设，促进社会文明进步；</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6、加强街道、社区社会治安综合治理工作，维护社会稳定；</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7、兴建社区服务设施，强化服务功能，提供多种形式的公共服务；</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8、加大城市建设与经营管理力度，发展社会公共事业，加快城市建设和发展步伐；</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9、完成区委、区政府交办的其它工作任务。</w:t>
      </w:r>
      <w:r>
        <w:rPr>
          <w:rFonts w:hint="eastAsia" w:ascii="宋体" w:hAnsi="宋体" w:eastAsia="仿宋_GB2312" w:cs="宋体"/>
          <w:color w:val="000000"/>
          <w:kern w:val="0"/>
          <w:sz w:val="32"/>
          <w:szCs w:val="32"/>
        </w:rPr>
        <w:t>  </w:t>
      </w:r>
      <w:r>
        <w:rPr>
          <w:rFonts w:hint="eastAsia" w:ascii="宋体" w:hAnsi="宋体" w:eastAsia="仿宋_GB2312" w:cs="宋体"/>
          <w:color w:val="000000"/>
          <w:kern w:val="0"/>
          <w:sz w:val="32"/>
          <w:szCs w:val="32"/>
        </w:rPr>
        <w:br w:type="textWrapping"/>
      </w:r>
      <w:r>
        <w:rPr>
          <w:rFonts w:hint="eastAsia" w:ascii="仿宋_GB2312" w:eastAsia="仿宋_GB2312" w:cs="宋体"/>
          <w:color w:val="000000"/>
          <w:kern w:val="0"/>
          <w:sz w:val="32"/>
          <w:szCs w:val="32"/>
        </w:rPr>
        <w:t>部门职责-工作活动绩效目标</w:t>
      </w:r>
    </w:p>
    <w:tbl>
      <w:tblPr>
        <w:tblStyle w:val="4"/>
        <w:tblW w:w="9735"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470"/>
        <w:gridCol w:w="1082"/>
        <w:gridCol w:w="1589"/>
        <w:gridCol w:w="1862"/>
        <w:gridCol w:w="901"/>
        <w:gridCol w:w="475"/>
        <w:gridCol w:w="1009"/>
        <w:gridCol w:w="872"/>
        <w:gridCol w:w="47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Header/>
          <w:tblCellSpacing w:w="0" w:type="dxa"/>
          <w:jc w:val="center"/>
        </w:trPr>
        <w:tc>
          <w:tcPr>
            <w:tcW w:w="6951" w:type="dxa"/>
            <w:gridSpan w:val="5"/>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919廊坊市广阳区解放道街道办事处</w:t>
            </w:r>
          </w:p>
        </w:tc>
        <w:tc>
          <w:tcPr>
            <w:tcW w:w="2829" w:type="dxa"/>
            <w:gridSpan w:val="4"/>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单位：万元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Header/>
          <w:tblCellSpacing w:w="0" w:type="dxa"/>
          <w:jc w:val="center"/>
        </w:trPr>
        <w:tc>
          <w:tcPr>
            <w:tcW w:w="1492"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职责活动</w:t>
            </w:r>
          </w:p>
        </w:tc>
        <w:tc>
          <w:tcPr>
            <w:tcW w:w="1099"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年度预算数</w:t>
            </w:r>
          </w:p>
        </w:tc>
        <w:tc>
          <w:tcPr>
            <w:tcW w:w="1614"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内容描述</w:t>
            </w:r>
          </w:p>
        </w:tc>
        <w:tc>
          <w:tcPr>
            <w:tcW w:w="1891"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绩效目标</w:t>
            </w:r>
          </w:p>
        </w:tc>
        <w:tc>
          <w:tcPr>
            <w:tcW w:w="915"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绩效指标</w:t>
            </w:r>
          </w:p>
        </w:tc>
        <w:tc>
          <w:tcPr>
            <w:tcW w:w="2829" w:type="dxa"/>
            <w:gridSpan w:val="4"/>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评价标准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Header/>
          <w:tblCellSpacing w:w="0" w:type="dxa"/>
          <w:jc w:val="center"/>
        </w:trPr>
        <w:tc>
          <w:tcPr>
            <w:tcW w:w="1469" w:type="dxa"/>
            <w:vMerge w:val="continue"/>
            <w:tcBorders>
              <w:top w:val="outset" w:color="auto" w:sz="6" w:space="0"/>
              <w:left w:val="outset" w:color="auto" w:sz="6" w:space="0"/>
              <w:bottom w:val="outset" w:color="auto" w:sz="6" w:space="0"/>
              <w:right w:val="outset" w:color="auto" w:sz="6" w:space="0"/>
            </w:tcBorders>
            <w:vAlign w:val="center"/>
          </w:tcPr>
          <w:p/>
        </w:tc>
        <w:tc>
          <w:tcPr>
            <w:tcW w:w="1082" w:type="dxa"/>
            <w:vMerge w:val="continue"/>
            <w:tcBorders>
              <w:top w:val="outset" w:color="auto" w:sz="6" w:space="0"/>
              <w:left w:val="outset" w:color="auto" w:sz="6" w:space="0"/>
              <w:bottom w:val="outset" w:color="auto" w:sz="6" w:space="0"/>
              <w:right w:val="outset" w:color="auto" w:sz="6" w:space="0"/>
            </w:tcBorders>
            <w:vAlign w:val="center"/>
          </w:tcPr>
          <w:p/>
        </w:tc>
        <w:tc>
          <w:tcPr>
            <w:tcW w:w="1590" w:type="dxa"/>
            <w:vMerge w:val="continue"/>
            <w:tcBorders>
              <w:top w:val="outset" w:color="auto" w:sz="6" w:space="0"/>
              <w:left w:val="outset" w:color="auto" w:sz="6" w:space="0"/>
              <w:bottom w:val="outset" w:color="auto" w:sz="6" w:space="0"/>
              <w:right w:val="outset" w:color="auto" w:sz="6" w:space="0"/>
            </w:tcBorders>
            <w:vAlign w:val="center"/>
          </w:tcPr>
          <w:p/>
        </w:tc>
        <w:tc>
          <w:tcPr>
            <w:tcW w:w="1862" w:type="dxa"/>
            <w:vMerge w:val="continue"/>
            <w:tcBorders>
              <w:top w:val="outset" w:color="auto" w:sz="6" w:space="0"/>
              <w:left w:val="outset" w:color="auto" w:sz="6" w:space="0"/>
              <w:bottom w:val="outset" w:color="auto" w:sz="6" w:space="0"/>
              <w:right w:val="outset" w:color="auto" w:sz="6" w:space="0"/>
            </w:tcBorders>
            <w:vAlign w:val="center"/>
          </w:tcPr>
          <w:p/>
        </w:tc>
        <w:tc>
          <w:tcPr>
            <w:tcW w:w="901" w:type="dxa"/>
            <w:vMerge w:val="continue"/>
            <w:tcBorders>
              <w:top w:val="outset" w:color="auto" w:sz="6" w:space="0"/>
              <w:left w:val="outset" w:color="auto" w:sz="6" w:space="0"/>
              <w:bottom w:val="outset" w:color="auto" w:sz="6" w:space="0"/>
              <w:right w:val="outset" w:color="auto" w:sz="6" w:space="0"/>
            </w:tcBorders>
            <w:vAlign w:val="center"/>
          </w:tcPr>
          <w:p/>
        </w:tc>
        <w:tc>
          <w:tcPr>
            <w:tcW w:w="482"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优</w:t>
            </w:r>
          </w:p>
        </w:tc>
        <w:tc>
          <w:tcPr>
            <w:tcW w:w="102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良</w:t>
            </w:r>
          </w:p>
        </w:tc>
        <w:tc>
          <w:tcPr>
            <w:tcW w:w="88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中</w:t>
            </w:r>
          </w:p>
        </w:tc>
        <w:tc>
          <w:tcPr>
            <w:tcW w:w="482"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1492"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政务服务</w:t>
            </w:r>
          </w:p>
        </w:tc>
        <w:tc>
          <w:tcPr>
            <w:tcW w:w="1099"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161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政务公开、镇政府、街办处会议管理、督察督办、政务联络等工作。</w:t>
            </w:r>
          </w:p>
        </w:tc>
        <w:tc>
          <w:tcPr>
            <w:tcW w:w="1891"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突出政务、加强事务、提升服务，力求重点工作出精品，难点工作求突破、基础工作有创新、常规工作见特色。以机关干部作风量化指标为依据，增强了工作综合服务实力。</w:t>
            </w:r>
          </w:p>
        </w:tc>
        <w:tc>
          <w:tcPr>
            <w:tcW w:w="91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482"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10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8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482"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1492"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政务公开</w:t>
            </w:r>
          </w:p>
        </w:tc>
        <w:tc>
          <w:tcPr>
            <w:tcW w:w="1099"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161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承担街办处政务公开暨行政权力公开透明运行工作领导小组的日常工作，指导和协调全街办处政务公开及政务服务中心建设、推进行政服务体系标准化建设工作。</w:t>
            </w:r>
          </w:p>
        </w:tc>
        <w:tc>
          <w:tcPr>
            <w:tcW w:w="1891"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通过完成街办处政务信息公开工作的指导监督工作，使全街办处信息公开业务队伍素质不断提高，业务水平进一步提升；政府政务信息公开范围不断扩大，公开内容得到进一步细化。</w:t>
            </w:r>
          </w:p>
        </w:tc>
        <w:tc>
          <w:tcPr>
            <w:tcW w:w="9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政务公开率</w:t>
            </w:r>
          </w:p>
        </w:tc>
        <w:tc>
          <w:tcPr>
            <w:tcW w:w="482"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1</w:t>
            </w:r>
          </w:p>
        </w:tc>
        <w:tc>
          <w:tcPr>
            <w:tcW w:w="10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80-100%</w:t>
            </w:r>
          </w:p>
        </w:tc>
        <w:tc>
          <w:tcPr>
            <w:tcW w:w="88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60-80%</w:t>
            </w:r>
          </w:p>
        </w:tc>
        <w:tc>
          <w:tcPr>
            <w:tcW w:w="482"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1492"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政务联络</w:t>
            </w:r>
          </w:p>
        </w:tc>
        <w:tc>
          <w:tcPr>
            <w:tcW w:w="1099"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1614"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负责管理区政府驻外办事处工作。负责区领导、区有关部门公务活动的接待安排；</w:t>
            </w:r>
          </w:p>
        </w:tc>
        <w:tc>
          <w:tcPr>
            <w:tcW w:w="1891"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做好县际间与我区政务往来服务保障工作</w:t>
            </w:r>
          </w:p>
        </w:tc>
        <w:tc>
          <w:tcPr>
            <w:tcW w:w="9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对外联络任务完成次数</w:t>
            </w:r>
          </w:p>
        </w:tc>
        <w:tc>
          <w:tcPr>
            <w:tcW w:w="482"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1</w:t>
            </w:r>
          </w:p>
        </w:tc>
        <w:tc>
          <w:tcPr>
            <w:tcW w:w="10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80-100%</w:t>
            </w:r>
          </w:p>
        </w:tc>
        <w:tc>
          <w:tcPr>
            <w:tcW w:w="88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60-80%</w:t>
            </w:r>
          </w:p>
        </w:tc>
        <w:tc>
          <w:tcPr>
            <w:tcW w:w="482"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0.6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1469" w:type="dxa"/>
            <w:vMerge w:val="continue"/>
            <w:tcBorders>
              <w:top w:val="outset" w:color="auto" w:sz="6" w:space="0"/>
              <w:left w:val="outset" w:color="auto" w:sz="6" w:space="0"/>
              <w:bottom w:val="outset" w:color="auto" w:sz="6" w:space="0"/>
              <w:right w:val="outset" w:color="auto" w:sz="6" w:space="0"/>
            </w:tcBorders>
            <w:vAlign w:val="center"/>
          </w:tcPr>
          <w:p/>
        </w:tc>
        <w:tc>
          <w:tcPr>
            <w:tcW w:w="1082" w:type="dxa"/>
            <w:vMerge w:val="continue"/>
            <w:tcBorders>
              <w:top w:val="outset" w:color="auto" w:sz="6" w:space="0"/>
              <w:left w:val="outset" w:color="auto" w:sz="6" w:space="0"/>
              <w:bottom w:val="outset" w:color="auto" w:sz="6" w:space="0"/>
              <w:right w:val="outset" w:color="auto" w:sz="6" w:space="0"/>
            </w:tcBorders>
            <w:vAlign w:val="center"/>
          </w:tcPr>
          <w:p/>
        </w:tc>
        <w:tc>
          <w:tcPr>
            <w:tcW w:w="1590" w:type="dxa"/>
            <w:vMerge w:val="continue"/>
            <w:tcBorders>
              <w:top w:val="outset" w:color="auto" w:sz="6" w:space="0"/>
              <w:left w:val="outset" w:color="auto" w:sz="6" w:space="0"/>
              <w:bottom w:val="outset" w:color="auto" w:sz="6" w:space="0"/>
              <w:right w:val="outset" w:color="auto" w:sz="6" w:space="0"/>
            </w:tcBorders>
            <w:vAlign w:val="center"/>
          </w:tcPr>
          <w:p/>
        </w:tc>
        <w:tc>
          <w:tcPr>
            <w:tcW w:w="1862" w:type="dxa"/>
            <w:vMerge w:val="continue"/>
            <w:tcBorders>
              <w:top w:val="outset" w:color="auto" w:sz="6" w:space="0"/>
              <w:left w:val="outset" w:color="auto" w:sz="6" w:space="0"/>
              <w:bottom w:val="outset" w:color="auto" w:sz="6" w:space="0"/>
              <w:right w:val="outset" w:color="auto" w:sz="6" w:space="0"/>
            </w:tcBorders>
            <w:vAlign w:val="center"/>
          </w:tcPr>
          <w:p/>
        </w:tc>
        <w:tc>
          <w:tcPr>
            <w:tcW w:w="9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重大活动联络服务工作完成率</w:t>
            </w:r>
          </w:p>
        </w:tc>
        <w:tc>
          <w:tcPr>
            <w:tcW w:w="482"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1</w:t>
            </w:r>
          </w:p>
        </w:tc>
        <w:tc>
          <w:tcPr>
            <w:tcW w:w="10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80-100%</w:t>
            </w:r>
          </w:p>
        </w:tc>
        <w:tc>
          <w:tcPr>
            <w:tcW w:w="88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60-80%</w:t>
            </w:r>
          </w:p>
        </w:tc>
        <w:tc>
          <w:tcPr>
            <w:tcW w:w="482"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1492"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会议管理</w:t>
            </w:r>
          </w:p>
        </w:tc>
        <w:tc>
          <w:tcPr>
            <w:tcW w:w="1099"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161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政府会议的准备和服务工作，协助政府领导组织会议决定事项的落实。</w:t>
            </w:r>
          </w:p>
        </w:tc>
        <w:tc>
          <w:tcPr>
            <w:tcW w:w="1891"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做好街道会议保障；严格召开的会议审批，控制会议费开支规模。</w:t>
            </w:r>
          </w:p>
        </w:tc>
        <w:tc>
          <w:tcPr>
            <w:tcW w:w="9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大型会议控制率</w:t>
            </w:r>
          </w:p>
        </w:tc>
        <w:tc>
          <w:tcPr>
            <w:tcW w:w="482"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1</w:t>
            </w:r>
          </w:p>
        </w:tc>
        <w:tc>
          <w:tcPr>
            <w:tcW w:w="10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80-100%</w:t>
            </w:r>
          </w:p>
        </w:tc>
        <w:tc>
          <w:tcPr>
            <w:tcW w:w="88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60-80%</w:t>
            </w:r>
          </w:p>
        </w:tc>
        <w:tc>
          <w:tcPr>
            <w:tcW w:w="482"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1492"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督查督办</w:t>
            </w:r>
          </w:p>
        </w:tc>
        <w:tc>
          <w:tcPr>
            <w:tcW w:w="1099"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161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督促检查街道各部门对政府决定事项及政府领导重要指示的执行落实情况并跟踪调研，及时向领导报告。组织承办人大代表和政协提案工作。</w:t>
            </w:r>
          </w:p>
        </w:tc>
        <w:tc>
          <w:tcPr>
            <w:tcW w:w="1891"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确保街道决定事项及街道领导重要指示得到贯彻落实。</w:t>
            </w:r>
          </w:p>
        </w:tc>
        <w:tc>
          <w:tcPr>
            <w:tcW w:w="9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决策部署督查反馈率</w:t>
            </w:r>
          </w:p>
        </w:tc>
        <w:tc>
          <w:tcPr>
            <w:tcW w:w="482"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1</w:t>
            </w:r>
          </w:p>
        </w:tc>
        <w:tc>
          <w:tcPr>
            <w:tcW w:w="10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80-100%</w:t>
            </w:r>
          </w:p>
        </w:tc>
        <w:tc>
          <w:tcPr>
            <w:tcW w:w="88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60-80%</w:t>
            </w:r>
          </w:p>
        </w:tc>
        <w:tc>
          <w:tcPr>
            <w:tcW w:w="482"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1492"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应急管理</w:t>
            </w:r>
          </w:p>
        </w:tc>
        <w:tc>
          <w:tcPr>
            <w:tcW w:w="1099"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161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基层政府值班工作，及时报告重要情况，传达和督促落实街办处领导指示。协助街办处领导做好需由基层政府组织处理的突发事件应急处置工作。</w:t>
            </w:r>
          </w:p>
        </w:tc>
        <w:tc>
          <w:tcPr>
            <w:tcW w:w="1891"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建设运行维护好镇政府应急平台，实现各种实用功能，有效保证镇政府日常应急值守和突发事件应对处置工作；进一步加强应急宣传培训工作，拓宽宣教渠道、扩大受众面、增强工作实效；进一步完善应急预案体系建设，认真编制、严格审核应急预案，确保预案内容科学合理，有效组织实施；进一步加强应急演练工作，提升演练效果，确保遇突发事件能够有效应对；充分发挥专家组的决策咨询和技术指导作用，为突发事件应对处置工作提供更大帮助；做好指导、协调各镇镇、各部门应急工作，确保信息报送及时畅通，不出差错和问题。</w:t>
            </w:r>
          </w:p>
        </w:tc>
        <w:tc>
          <w:tcPr>
            <w:tcW w:w="91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482"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10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8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482"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1492"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应急管理</w:t>
            </w:r>
          </w:p>
        </w:tc>
        <w:tc>
          <w:tcPr>
            <w:tcW w:w="1099"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161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政府值班工作，及时报告重要情况，传达和督促落实镇政府领导指示。协助镇政府领导做好需由镇政府组织处理的突发事件应急处置工作。</w:t>
            </w:r>
          </w:p>
        </w:tc>
        <w:tc>
          <w:tcPr>
            <w:tcW w:w="1891"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维护好本地政府应急平台，确保全镇、街办处应急工作顺利完成；各类突发事件得到及时妥善处置</w:t>
            </w:r>
          </w:p>
        </w:tc>
        <w:tc>
          <w:tcPr>
            <w:tcW w:w="9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突发事件处理</w:t>
            </w:r>
          </w:p>
        </w:tc>
        <w:tc>
          <w:tcPr>
            <w:tcW w:w="482"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1</w:t>
            </w:r>
          </w:p>
        </w:tc>
        <w:tc>
          <w:tcPr>
            <w:tcW w:w="10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80-100%</w:t>
            </w:r>
          </w:p>
        </w:tc>
        <w:tc>
          <w:tcPr>
            <w:tcW w:w="88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60-80%</w:t>
            </w:r>
          </w:p>
        </w:tc>
        <w:tc>
          <w:tcPr>
            <w:tcW w:w="482"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1492"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电子政务管理</w:t>
            </w:r>
          </w:p>
        </w:tc>
        <w:tc>
          <w:tcPr>
            <w:tcW w:w="1099"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161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政务信息服务工作和政府系统机关电子政务工作。</w:t>
            </w:r>
          </w:p>
        </w:tc>
        <w:tc>
          <w:tcPr>
            <w:tcW w:w="1891"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确保各类会议顺利进行；保障街道网络系统安全、稳定运行，技术设备安全可用。严格执行会议技术保障服务流程和电视电话会议室管理制度。切实提高技术保障和服务能力，力争领导满意、群众满意、部门满意。</w:t>
            </w:r>
          </w:p>
        </w:tc>
        <w:tc>
          <w:tcPr>
            <w:tcW w:w="91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482"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10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8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482"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1492"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政府电子政务管理与服务</w:t>
            </w:r>
          </w:p>
        </w:tc>
        <w:tc>
          <w:tcPr>
            <w:tcW w:w="1099"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161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政务信息服务工作和政府系统机关电子政务工作。</w:t>
            </w:r>
          </w:p>
        </w:tc>
        <w:tc>
          <w:tcPr>
            <w:tcW w:w="1891"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确保各类会议顺利进行；保障街道网络系统安全、稳定运行，技术设备安全可用</w:t>
            </w:r>
          </w:p>
        </w:tc>
        <w:tc>
          <w:tcPr>
            <w:tcW w:w="9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网站事故次数</w:t>
            </w:r>
          </w:p>
        </w:tc>
        <w:tc>
          <w:tcPr>
            <w:tcW w:w="482"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1</w:t>
            </w:r>
          </w:p>
        </w:tc>
        <w:tc>
          <w:tcPr>
            <w:tcW w:w="10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80-100%</w:t>
            </w:r>
          </w:p>
        </w:tc>
        <w:tc>
          <w:tcPr>
            <w:tcW w:w="88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60-80%</w:t>
            </w:r>
          </w:p>
        </w:tc>
        <w:tc>
          <w:tcPr>
            <w:tcW w:w="482"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1492"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地方志事务</w:t>
            </w:r>
          </w:p>
        </w:tc>
        <w:tc>
          <w:tcPr>
            <w:tcW w:w="1099"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161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全街道地方志事务管理。</w:t>
            </w:r>
          </w:p>
        </w:tc>
        <w:tc>
          <w:tcPr>
            <w:tcW w:w="1891"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弘扬和传承优秀文化传统，充分发挥志书“资政、存史、教化”的综合功能，为社会各界方便快捷提供县情，为本县经济社会建设服务，为地方志工作者提供资料和工具。</w:t>
            </w:r>
          </w:p>
        </w:tc>
        <w:tc>
          <w:tcPr>
            <w:tcW w:w="91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482"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10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8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482"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1492"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地方志事务管理</w:t>
            </w:r>
          </w:p>
        </w:tc>
        <w:tc>
          <w:tcPr>
            <w:tcW w:w="1099"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161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拟订全街道地方志工作规划并组织实施；搜集、保存、管理地方文献和资料；组织开发利用地方志资源；建设和维护街道地方志县情网络。</w:t>
            </w:r>
          </w:p>
        </w:tc>
        <w:tc>
          <w:tcPr>
            <w:tcW w:w="1891"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为社会各界方便快捷提供街道情，为经济社会建设服务</w:t>
            </w:r>
          </w:p>
        </w:tc>
        <w:tc>
          <w:tcPr>
            <w:tcW w:w="9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编印差错率</w:t>
            </w:r>
          </w:p>
        </w:tc>
        <w:tc>
          <w:tcPr>
            <w:tcW w:w="482"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1</w:t>
            </w:r>
          </w:p>
        </w:tc>
        <w:tc>
          <w:tcPr>
            <w:tcW w:w="10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80-100%</w:t>
            </w:r>
          </w:p>
        </w:tc>
        <w:tc>
          <w:tcPr>
            <w:tcW w:w="88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60-80%</w:t>
            </w:r>
          </w:p>
        </w:tc>
        <w:tc>
          <w:tcPr>
            <w:tcW w:w="482"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1492"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街道政务管理</w:t>
            </w:r>
          </w:p>
        </w:tc>
        <w:tc>
          <w:tcPr>
            <w:tcW w:w="1099"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161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按照有关要求，做好机关办公区房屋与附属设施的维修、维护工作；做好机关办公区绿化、美化工作；做好后勤保障和老干部管理服务工作。</w:t>
            </w:r>
          </w:p>
        </w:tc>
        <w:tc>
          <w:tcPr>
            <w:tcW w:w="1891"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以服务领导和机关保障有力为目标，增强了优质后勤管理水平，通过加强公车管理，降低运行成本，为创建节约型机关打下了良好的基础。采取保障街道领导和机关工作办公环境的措施，提升了服务管理水平，保障了街道和机关工作的正常运转。及时了解国内外形势、党和国家的方针政策以及街道办公室的重要部署和要求，及时为老干部提供优质高效服务。</w:t>
            </w:r>
          </w:p>
        </w:tc>
        <w:tc>
          <w:tcPr>
            <w:tcW w:w="91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482"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10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8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482"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1492"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综合业务管理</w:t>
            </w:r>
          </w:p>
        </w:tc>
        <w:tc>
          <w:tcPr>
            <w:tcW w:w="1099"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161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协助街道领导组织起草或审核上报区政府以及以街道办公室名义发布的公文；办理街道各部门和下级政府报送的文电；对街道部门间出现的争议问题提出处理意见；组织起草街道领导重要讲话及其他重要文稿；组织专题调研；承办街道领导交办的其他事项。</w:t>
            </w:r>
          </w:p>
        </w:tc>
        <w:tc>
          <w:tcPr>
            <w:tcW w:w="1891"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高质量审核公文，让县领导满意；及时办理各类文电，确保事项在第一时间得到街道批示意见；高质量起草的街道重要讲话及重要文稿。</w:t>
            </w:r>
          </w:p>
        </w:tc>
        <w:tc>
          <w:tcPr>
            <w:tcW w:w="9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综合业务工作完成率</w:t>
            </w:r>
          </w:p>
        </w:tc>
        <w:tc>
          <w:tcPr>
            <w:tcW w:w="482"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1</w:t>
            </w:r>
          </w:p>
        </w:tc>
        <w:tc>
          <w:tcPr>
            <w:tcW w:w="10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80-100%</w:t>
            </w:r>
          </w:p>
        </w:tc>
        <w:tc>
          <w:tcPr>
            <w:tcW w:w="88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60-80%</w:t>
            </w:r>
          </w:p>
        </w:tc>
        <w:tc>
          <w:tcPr>
            <w:tcW w:w="482"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w:t>
            </w:r>
          </w:p>
        </w:tc>
      </w:tr>
    </w:tbl>
    <w:p>
      <w:pPr>
        <w:widowControl/>
        <w:spacing w:line="360" w:lineRule="atLeast"/>
        <w:jc w:val="left"/>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p>
      <w:pPr>
        <w:widowControl/>
        <w:spacing w:line="360" w:lineRule="atLeast"/>
        <w:jc w:val="left"/>
        <w:rPr>
          <w:rFonts w:ascii="仿宋_GB2312" w:eastAsia="仿宋_GB2312" w:cs="宋体"/>
          <w:color w:val="000000"/>
          <w:kern w:val="0"/>
          <w:sz w:val="32"/>
          <w:szCs w:val="32"/>
        </w:rPr>
      </w:pPr>
      <w:r>
        <w:rPr>
          <w:rFonts w:ascii="宋体" w:hAnsi="宋体" w:eastAsia="仿宋_GB2312" w:cs="宋体"/>
          <w:color w:val="000000"/>
          <w:kern w:val="0"/>
          <w:sz w:val="32"/>
          <w:szCs w:val="32"/>
        </w:rPr>
        <w:br w:type="page"/>
      </w:r>
      <w:r>
        <w:rPr>
          <w:rFonts w:hint="eastAsia" w:ascii="黑体" w:eastAsia="黑体" w:cs="宋体"/>
          <w:b/>
          <w:bCs/>
          <w:color w:val="000000"/>
          <w:kern w:val="0"/>
          <w:sz w:val="32"/>
          <w:szCs w:val="32"/>
        </w:rPr>
        <w:t>六、政府采购预算情况</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2017年，我部门未安排政府采购预算。</w:t>
      </w:r>
    </w:p>
    <w:p>
      <w:pPr>
        <w:jc w:val="center"/>
        <w:outlineLvl w:val="0"/>
        <w:rPr>
          <w:rFonts w:ascii="仿宋_GB2312" w:eastAsia="仿宋_GB2312" w:cs="Times New Roman"/>
          <w:sz w:val="28"/>
          <w:szCs w:val="28"/>
        </w:rPr>
      </w:pPr>
      <w:r>
        <w:rPr>
          <w:rFonts w:hint="eastAsia" w:ascii="仿宋_GB2312" w:eastAsia="仿宋_GB2312" w:cs="Times New Roman"/>
          <w:sz w:val="28"/>
          <w:szCs w:val="28"/>
        </w:rPr>
        <w:t>部门政府采购预算</w:t>
      </w:r>
    </w:p>
    <w:tbl>
      <w:tblPr>
        <w:tblStyle w:val="4"/>
        <w:tblW w:w="5114"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270"/>
        <w:gridCol w:w="1013"/>
        <w:gridCol w:w="834"/>
        <w:gridCol w:w="1327"/>
        <w:gridCol w:w="834"/>
        <w:gridCol w:w="834"/>
        <w:gridCol w:w="856"/>
        <w:gridCol w:w="853"/>
        <w:gridCol w:w="853"/>
        <w:gridCol w:w="853"/>
        <w:gridCol w:w="776"/>
        <w:gridCol w:w="837"/>
        <w:gridCol w:w="837"/>
        <w:gridCol w:w="7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95" w:type="pct"/>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仿宋_GB2312" w:eastAsia="仿宋_GB2312" w:cs="Times New Roman"/>
                <w:sz w:val="28"/>
                <w:szCs w:val="28"/>
              </w:rPr>
            </w:pPr>
            <w:r>
              <w:rPr>
                <w:rFonts w:hint="eastAsia" w:ascii="仿宋_GB2312" w:eastAsia="仿宋_GB2312" w:cs="宋体"/>
                <w:color w:val="000000"/>
                <w:kern w:val="0"/>
                <w:sz w:val="28"/>
                <w:szCs w:val="28"/>
              </w:rPr>
              <w:t>廊坊市广阳区解放道办事处</w:t>
            </w:r>
          </w:p>
        </w:tc>
        <w:tc>
          <w:tcPr>
            <w:tcW w:w="2105" w:type="pct"/>
            <w:gridSpan w:val="7"/>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仿宋_GB2312" w:eastAsia="仿宋_GB2312" w:cs="Times New Roman"/>
                <w:sz w:val="28"/>
                <w:szCs w:val="28"/>
              </w:rPr>
            </w:pPr>
            <w:r>
              <w:rPr>
                <w:rFonts w:hint="eastAsia" w:ascii="仿宋_GB2312" w:eastAsia="仿宋_GB2312" w:cs="Times New Roman"/>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193" w:type="pct"/>
            <w:gridSpan w:val="2"/>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政府采购项目来源</w:t>
            </w:r>
          </w:p>
        </w:tc>
        <w:tc>
          <w:tcPr>
            <w:tcW w:w="303"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采购物品名称</w:t>
            </w:r>
          </w:p>
        </w:tc>
        <w:tc>
          <w:tcPr>
            <w:tcW w:w="482"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政府采购目录序号</w:t>
            </w:r>
          </w:p>
        </w:tc>
        <w:tc>
          <w:tcPr>
            <w:tcW w:w="303"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数量  单位</w:t>
            </w:r>
          </w:p>
        </w:tc>
        <w:tc>
          <w:tcPr>
            <w:tcW w:w="303"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数量</w:t>
            </w:r>
          </w:p>
        </w:tc>
        <w:tc>
          <w:tcPr>
            <w:tcW w:w="310"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单价</w:t>
            </w:r>
          </w:p>
        </w:tc>
        <w:tc>
          <w:tcPr>
            <w:tcW w:w="2105" w:type="pct"/>
            <w:gridSpan w:val="7"/>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5"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项目名称</w:t>
            </w:r>
          </w:p>
        </w:tc>
        <w:tc>
          <w:tcPr>
            <w:tcW w:w="367"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预算资金</w:t>
            </w:r>
          </w:p>
        </w:tc>
        <w:tc>
          <w:tcPr>
            <w:tcW w:w="303" w:type="pct"/>
            <w:vMerge w:val="continue"/>
            <w:shd w:val="clear" w:color="auto" w:fill="auto"/>
            <w:vAlign w:val="center"/>
          </w:tcPr>
          <w:p/>
        </w:tc>
        <w:tc>
          <w:tcPr>
            <w:tcW w:w="482" w:type="pct"/>
            <w:vMerge w:val="continue"/>
            <w:shd w:val="clear" w:color="auto" w:fill="auto"/>
            <w:vAlign w:val="center"/>
          </w:tcPr>
          <w:p/>
        </w:tc>
        <w:tc>
          <w:tcPr>
            <w:tcW w:w="303" w:type="pct"/>
            <w:vMerge w:val="continue"/>
            <w:shd w:val="clear" w:color="auto" w:fill="auto"/>
            <w:vAlign w:val="center"/>
          </w:tcPr>
          <w:p/>
        </w:tc>
        <w:tc>
          <w:tcPr>
            <w:tcW w:w="303" w:type="pct"/>
            <w:vMerge w:val="continue"/>
            <w:shd w:val="clear" w:color="auto" w:fill="auto"/>
            <w:vAlign w:val="center"/>
          </w:tcPr>
          <w:p/>
        </w:tc>
        <w:tc>
          <w:tcPr>
            <w:tcW w:w="310" w:type="pct"/>
            <w:vMerge w:val="continue"/>
            <w:shd w:val="clear" w:color="auto" w:fill="auto"/>
            <w:vAlign w:val="center"/>
          </w:tcPr>
          <w:p/>
        </w:tc>
        <w:tc>
          <w:tcPr>
            <w:tcW w:w="310"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总计</w:t>
            </w:r>
          </w:p>
        </w:tc>
        <w:tc>
          <w:tcPr>
            <w:tcW w:w="1510" w:type="pct"/>
            <w:gridSpan w:val="5"/>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当年部门预算安排资金</w:t>
            </w:r>
          </w:p>
        </w:tc>
        <w:tc>
          <w:tcPr>
            <w:tcW w:w="286"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5" w:type="pct"/>
            <w:vMerge w:val="continue"/>
            <w:shd w:val="clear" w:color="auto" w:fill="auto"/>
            <w:vAlign w:val="center"/>
          </w:tcPr>
          <w:p/>
        </w:tc>
        <w:tc>
          <w:tcPr>
            <w:tcW w:w="367" w:type="pct"/>
            <w:vMerge w:val="continue"/>
            <w:shd w:val="clear" w:color="auto" w:fill="auto"/>
            <w:vAlign w:val="center"/>
          </w:tcPr>
          <w:p/>
        </w:tc>
        <w:tc>
          <w:tcPr>
            <w:tcW w:w="303" w:type="pct"/>
            <w:vMerge w:val="continue"/>
            <w:shd w:val="clear" w:color="auto" w:fill="auto"/>
            <w:vAlign w:val="center"/>
          </w:tcPr>
          <w:p/>
        </w:tc>
        <w:tc>
          <w:tcPr>
            <w:tcW w:w="482" w:type="pct"/>
            <w:vMerge w:val="continue"/>
            <w:shd w:val="clear" w:color="auto" w:fill="auto"/>
            <w:vAlign w:val="center"/>
          </w:tcPr>
          <w:p/>
        </w:tc>
        <w:tc>
          <w:tcPr>
            <w:tcW w:w="303" w:type="pct"/>
            <w:vMerge w:val="continue"/>
            <w:shd w:val="clear" w:color="auto" w:fill="auto"/>
            <w:vAlign w:val="center"/>
          </w:tcPr>
          <w:p/>
        </w:tc>
        <w:tc>
          <w:tcPr>
            <w:tcW w:w="303" w:type="pct"/>
            <w:vMerge w:val="continue"/>
            <w:shd w:val="clear" w:color="auto" w:fill="auto"/>
            <w:vAlign w:val="center"/>
          </w:tcPr>
          <w:p/>
        </w:tc>
        <w:tc>
          <w:tcPr>
            <w:tcW w:w="310" w:type="pct"/>
            <w:vMerge w:val="continue"/>
            <w:shd w:val="clear" w:color="auto" w:fill="auto"/>
            <w:vAlign w:val="center"/>
          </w:tcPr>
          <w:p/>
        </w:tc>
        <w:tc>
          <w:tcPr>
            <w:tcW w:w="310" w:type="pct"/>
            <w:vMerge w:val="continue"/>
            <w:shd w:val="clear" w:color="auto" w:fill="auto"/>
            <w:vAlign w:val="center"/>
          </w:tcPr>
          <w:p/>
        </w:tc>
        <w:tc>
          <w:tcPr>
            <w:tcW w:w="310"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合计</w:t>
            </w:r>
          </w:p>
        </w:tc>
        <w:tc>
          <w:tcPr>
            <w:tcW w:w="310"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一般公共预算拨款</w:t>
            </w:r>
          </w:p>
        </w:tc>
        <w:tc>
          <w:tcPr>
            <w:tcW w:w="282"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基金预算拨款</w:t>
            </w:r>
          </w:p>
        </w:tc>
        <w:tc>
          <w:tcPr>
            <w:tcW w:w="304"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财政专户核拨</w:t>
            </w:r>
          </w:p>
        </w:tc>
        <w:tc>
          <w:tcPr>
            <w:tcW w:w="304"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其他来源收入</w:t>
            </w:r>
          </w:p>
        </w:tc>
        <w:tc>
          <w:tcPr>
            <w:tcW w:w="286" w:type="pct"/>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合　计</w:t>
            </w:r>
          </w:p>
        </w:tc>
        <w:tc>
          <w:tcPr>
            <w:tcW w:w="367" w:type="pct"/>
            <w:shd w:val="clear" w:color="auto" w:fill="auto"/>
            <w:vAlign w:val="center"/>
          </w:tcPr>
          <w:p>
            <w:pPr>
              <w:spacing w:line="300" w:lineRule="exact"/>
              <w:jc w:val="center"/>
              <w:rPr>
                <w:rFonts w:ascii="仿宋_GB2312" w:eastAsia="仿宋_GB2312" w:cs="Times New Roman"/>
                <w:b/>
                <w:sz w:val="28"/>
                <w:szCs w:val="28"/>
              </w:rPr>
            </w:pPr>
          </w:p>
        </w:tc>
        <w:tc>
          <w:tcPr>
            <w:tcW w:w="303" w:type="pct"/>
            <w:shd w:val="clear" w:color="auto" w:fill="auto"/>
            <w:vAlign w:val="center"/>
          </w:tcPr>
          <w:p>
            <w:pPr>
              <w:spacing w:line="300" w:lineRule="exact"/>
              <w:jc w:val="center"/>
              <w:rPr>
                <w:rFonts w:ascii="仿宋_GB2312" w:eastAsia="仿宋_GB2312" w:cs="Times New Roman"/>
                <w:b/>
                <w:sz w:val="28"/>
                <w:szCs w:val="28"/>
              </w:rPr>
            </w:pPr>
          </w:p>
        </w:tc>
        <w:tc>
          <w:tcPr>
            <w:tcW w:w="482" w:type="pct"/>
            <w:shd w:val="clear" w:color="auto" w:fill="auto"/>
            <w:vAlign w:val="center"/>
          </w:tcPr>
          <w:p>
            <w:pPr>
              <w:spacing w:line="300" w:lineRule="exact"/>
              <w:jc w:val="center"/>
              <w:rPr>
                <w:rFonts w:ascii="仿宋_GB2312" w:eastAsia="仿宋_GB2312" w:cs="Times New Roman"/>
                <w:b/>
                <w:sz w:val="28"/>
                <w:szCs w:val="28"/>
              </w:rPr>
            </w:pPr>
          </w:p>
        </w:tc>
        <w:tc>
          <w:tcPr>
            <w:tcW w:w="303" w:type="pct"/>
            <w:shd w:val="clear" w:color="auto" w:fill="auto"/>
            <w:vAlign w:val="center"/>
          </w:tcPr>
          <w:p>
            <w:pPr>
              <w:spacing w:line="300" w:lineRule="exact"/>
              <w:jc w:val="center"/>
              <w:rPr>
                <w:rFonts w:ascii="仿宋_GB2312" w:eastAsia="仿宋_GB2312" w:cs="Times New Roman"/>
                <w:b/>
                <w:sz w:val="28"/>
                <w:szCs w:val="28"/>
              </w:rPr>
            </w:pPr>
          </w:p>
        </w:tc>
        <w:tc>
          <w:tcPr>
            <w:tcW w:w="303" w:type="pct"/>
            <w:shd w:val="clear" w:color="auto" w:fill="auto"/>
            <w:vAlign w:val="center"/>
          </w:tcPr>
          <w:p>
            <w:pPr>
              <w:spacing w:line="300" w:lineRule="exact"/>
              <w:jc w:val="center"/>
              <w:rPr>
                <w:rFonts w:ascii="仿宋_GB2312" w:eastAsia="仿宋_GB2312" w:cs="Times New Roman"/>
                <w:b/>
                <w:sz w:val="28"/>
                <w:szCs w:val="28"/>
              </w:rPr>
            </w:pPr>
          </w:p>
        </w:tc>
        <w:tc>
          <w:tcPr>
            <w:tcW w:w="310" w:type="pct"/>
            <w:shd w:val="clear" w:color="auto" w:fill="auto"/>
            <w:vAlign w:val="center"/>
          </w:tcPr>
          <w:p>
            <w:pPr>
              <w:spacing w:line="300" w:lineRule="exact"/>
              <w:jc w:val="center"/>
              <w:rPr>
                <w:rFonts w:ascii="仿宋_GB2312" w:eastAsia="仿宋_GB2312" w:cs="Times New Roman"/>
                <w:b/>
                <w:sz w:val="28"/>
                <w:szCs w:val="28"/>
              </w:rPr>
            </w:pPr>
          </w:p>
        </w:tc>
        <w:tc>
          <w:tcPr>
            <w:tcW w:w="310" w:type="pct"/>
            <w:shd w:val="clear" w:color="auto" w:fill="auto"/>
            <w:vAlign w:val="center"/>
          </w:tcPr>
          <w:p>
            <w:pPr>
              <w:spacing w:line="300" w:lineRule="exact"/>
              <w:jc w:val="center"/>
              <w:rPr>
                <w:rFonts w:ascii="仿宋_GB2312" w:eastAsia="仿宋_GB2312" w:cs="Times New Roman"/>
                <w:b/>
                <w:sz w:val="28"/>
                <w:szCs w:val="28"/>
              </w:rPr>
            </w:pPr>
          </w:p>
        </w:tc>
        <w:tc>
          <w:tcPr>
            <w:tcW w:w="310" w:type="pct"/>
            <w:shd w:val="clear" w:color="auto" w:fill="auto"/>
            <w:vAlign w:val="center"/>
          </w:tcPr>
          <w:p>
            <w:pPr>
              <w:spacing w:line="300" w:lineRule="exact"/>
              <w:jc w:val="center"/>
              <w:rPr>
                <w:rFonts w:ascii="仿宋_GB2312" w:eastAsia="仿宋_GB2312" w:cs="Times New Roman"/>
                <w:b/>
                <w:sz w:val="28"/>
                <w:szCs w:val="28"/>
              </w:rPr>
            </w:pPr>
          </w:p>
        </w:tc>
        <w:tc>
          <w:tcPr>
            <w:tcW w:w="310" w:type="pct"/>
            <w:shd w:val="clear" w:color="auto" w:fill="auto"/>
            <w:vAlign w:val="center"/>
          </w:tcPr>
          <w:p>
            <w:pPr>
              <w:spacing w:line="300" w:lineRule="exact"/>
              <w:jc w:val="center"/>
              <w:rPr>
                <w:rFonts w:ascii="仿宋_GB2312" w:eastAsia="仿宋_GB2312" w:cs="Times New Roman"/>
                <w:b/>
                <w:sz w:val="28"/>
                <w:szCs w:val="28"/>
              </w:rPr>
            </w:pPr>
          </w:p>
        </w:tc>
        <w:tc>
          <w:tcPr>
            <w:tcW w:w="282" w:type="pct"/>
            <w:shd w:val="clear" w:color="auto" w:fill="auto"/>
            <w:vAlign w:val="center"/>
          </w:tcPr>
          <w:p>
            <w:pPr>
              <w:spacing w:line="300" w:lineRule="exact"/>
              <w:jc w:val="center"/>
              <w:rPr>
                <w:rFonts w:ascii="仿宋_GB2312" w:eastAsia="仿宋_GB2312" w:cs="Times New Roman"/>
                <w:b/>
                <w:sz w:val="28"/>
                <w:szCs w:val="28"/>
              </w:rPr>
            </w:pPr>
          </w:p>
        </w:tc>
        <w:tc>
          <w:tcPr>
            <w:tcW w:w="304" w:type="pct"/>
            <w:shd w:val="clear" w:color="auto" w:fill="auto"/>
            <w:vAlign w:val="center"/>
          </w:tcPr>
          <w:p>
            <w:pPr>
              <w:spacing w:line="300" w:lineRule="exact"/>
              <w:jc w:val="center"/>
              <w:rPr>
                <w:rFonts w:ascii="仿宋_GB2312" w:eastAsia="仿宋_GB2312" w:cs="Times New Roman"/>
                <w:b/>
                <w:sz w:val="28"/>
                <w:szCs w:val="28"/>
              </w:rPr>
            </w:pPr>
          </w:p>
        </w:tc>
        <w:tc>
          <w:tcPr>
            <w:tcW w:w="304" w:type="pct"/>
            <w:shd w:val="clear" w:color="auto" w:fill="auto"/>
            <w:vAlign w:val="center"/>
          </w:tcPr>
          <w:p>
            <w:pPr>
              <w:spacing w:line="300" w:lineRule="exact"/>
              <w:jc w:val="center"/>
              <w:rPr>
                <w:rFonts w:ascii="仿宋_GB2312" w:eastAsia="仿宋_GB2312" w:cs="Times New Roman"/>
                <w:b/>
                <w:sz w:val="28"/>
                <w:szCs w:val="28"/>
              </w:rPr>
            </w:pPr>
          </w:p>
        </w:tc>
        <w:tc>
          <w:tcPr>
            <w:tcW w:w="286" w:type="pct"/>
            <w:shd w:val="clear" w:color="auto" w:fill="auto"/>
            <w:vAlign w:val="center"/>
          </w:tcPr>
          <w:p>
            <w:pPr>
              <w:spacing w:line="300" w:lineRule="exact"/>
              <w:jc w:val="center"/>
              <w:rPr>
                <w:rFonts w:ascii="仿宋_GB2312" w:eastAsia="仿宋_GB2312" w:cs="Times New Roman"/>
                <w:b/>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shd w:val="clear" w:color="auto" w:fill="auto"/>
            <w:vAlign w:val="center"/>
          </w:tcPr>
          <w:p>
            <w:pPr>
              <w:spacing w:line="300" w:lineRule="exact"/>
              <w:jc w:val="center"/>
              <w:rPr>
                <w:rFonts w:ascii="仿宋_GB2312" w:eastAsia="仿宋_GB2312" w:cs="Times New Roman"/>
                <w:b/>
                <w:sz w:val="28"/>
                <w:szCs w:val="28"/>
              </w:rPr>
            </w:pPr>
          </w:p>
        </w:tc>
        <w:tc>
          <w:tcPr>
            <w:tcW w:w="367" w:type="pct"/>
            <w:shd w:val="clear" w:color="auto" w:fill="auto"/>
            <w:vAlign w:val="center"/>
          </w:tcPr>
          <w:p>
            <w:pPr>
              <w:spacing w:line="300" w:lineRule="exact"/>
              <w:jc w:val="center"/>
              <w:rPr>
                <w:rFonts w:ascii="仿宋_GB2312" w:eastAsia="仿宋_GB2312" w:cs="Times New Roman"/>
                <w:b/>
                <w:sz w:val="28"/>
                <w:szCs w:val="28"/>
              </w:rPr>
            </w:pPr>
          </w:p>
        </w:tc>
        <w:tc>
          <w:tcPr>
            <w:tcW w:w="303" w:type="pct"/>
            <w:shd w:val="clear" w:color="auto" w:fill="auto"/>
            <w:vAlign w:val="center"/>
          </w:tcPr>
          <w:p>
            <w:pPr>
              <w:spacing w:line="300" w:lineRule="exact"/>
              <w:jc w:val="center"/>
              <w:rPr>
                <w:rFonts w:ascii="仿宋_GB2312" w:eastAsia="仿宋_GB2312" w:cs="Times New Roman"/>
                <w:b/>
                <w:sz w:val="28"/>
                <w:szCs w:val="28"/>
              </w:rPr>
            </w:pPr>
          </w:p>
        </w:tc>
        <w:tc>
          <w:tcPr>
            <w:tcW w:w="482" w:type="pct"/>
            <w:shd w:val="clear" w:color="auto" w:fill="auto"/>
            <w:vAlign w:val="center"/>
          </w:tcPr>
          <w:p>
            <w:pPr>
              <w:spacing w:line="300" w:lineRule="exact"/>
              <w:jc w:val="center"/>
              <w:rPr>
                <w:rFonts w:ascii="仿宋_GB2312" w:eastAsia="仿宋_GB2312" w:cs="Times New Roman"/>
                <w:b/>
                <w:sz w:val="28"/>
                <w:szCs w:val="28"/>
              </w:rPr>
            </w:pPr>
          </w:p>
        </w:tc>
        <w:tc>
          <w:tcPr>
            <w:tcW w:w="303" w:type="pct"/>
            <w:shd w:val="clear" w:color="auto" w:fill="auto"/>
            <w:vAlign w:val="center"/>
          </w:tcPr>
          <w:p>
            <w:pPr>
              <w:spacing w:line="300" w:lineRule="exact"/>
              <w:jc w:val="center"/>
              <w:rPr>
                <w:rFonts w:ascii="仿宋_GB2312" w:eastAsia="仿宋_GB2312" w:cs="Times New Roman"/>
                <w:b/>
                <w:sz w:val="28"/>
                <w:szCs w:val="28"/>
              </w:rPr>
            </w:pPr>
          </w:p>
        </w:tc>
        <w:tc>
          <w:tcPr>
            <w:tcW w:w="303" w:type="pct"/>
            <w:shd w:val="clear" w:color="auto" w:fill="auto"/>
            <w:vAlign w:val="center"/>
          </w:tcPr>
          <w:p>
            <w:pPr>
              <w:spacing w:line="300" w:lineRule="exact"/>
              <w:jc w:val="center"/>
              <w:rPr>
                <w:rFonts w:ascii="仿宋_GB2312" w:eastAsia="仿宋_GB2312" w:cs="Times New Roman"/>
                <w:b/>
                <w:sz w:val="28"/>
                <w:szCs w:val="28"/>
              </w:rPr>
            </w:pPr>
          </w:p>
        </w:tc>
        <w:tc>
          <w:tcPr>
            <w:tcW w:w="310" w:type="pct"/>
            <w:shd w:val="clear" w:color="auto" w:fill="auto"/>
            <w:vAlign w:val="center"/>
          </w:tcPr>
          <w:p>
            <w:pPr>
              <w:spacing w:line="300" w:lineRule="exact"/>
              <w:jc w:val="center"/>
              <w:rPr>
                <w:rFonts w:ascii="仿宋_GB2312" w:eastAsia="仿宋_GB2312" w:cs="Times New Roman"/>
                <w:b/>
                <w:sz w:val="28"/>
                <w:szCs w:val="28"/>
              </w:rPr>
            </w:pPr>
          </w:p>
        </w:tc>
        <w:tc>
          <w:tcPr>
            <w:tcW w:w="310" w:type="pct"/>
            <w:shd w:val="clear" w:color="auto" w:fill="auto"/>
            <w:vAlign w:val="center"/>
          </w:tcPr>
          <w:p>
            <w:pPr>
              <w:spacing w:line="300" w:lineRule="exact"/>
              <w:jc w:val="center"/>
              <w:rPr>
                <w:rFonts w:ascii="仿宋_GB2312" w:eastAsia="仿宋_GB2312" w:cs="Times New Roman"/>
                <w:b/>
                <w:sz w:val="28"/>
                <w:szCs w:val="28"/>
              </w:rPr>
            </w:pPr>
          </w:p>
        </w:tc>
        <w:tc>
          <w:tcPr>
            <w:tcW w:w="310" w:type="pct"/>
            <w:shd w:val="clear" w:color="auto" w:fill="auto"/>
            <w:vAlign w:val="center"/>
          </w:tcPr>
          <w:p>
            <w:pPr>
              <w:spacing w:line="300" w:lineRule="exact"/>
              <w:jc w:val="center"/>
              <w:rPr>
                <w:rFonts w:ascii="仿宋_GB2312" w:eastAsia="仿宋_GB2312" w:cs="Times New Roman"/>
                <w:b/>
                <w:sz w:val="28"/>
                <w:szCs w:val="28"/>
              </w:rPr>
            </w:pPr>
          </w:p>
        </w:tc>
        <w:tc>
          <w:tcPr>
            <w:tcW w:w="310" w:type="pct"/>
            <w:shd w:val="clear" w:color="auto" w:fill="auto"/>
            <w:vAlign w:val="center"/>
          </w:tcPr>
          <w:p>
            <w:pPr>
              <w:spacing w:line="300" w:lineRule="exact"/>
              <w:jc w:val="center"/>
              <w:rPr>
                <w:rFonts w:ascii="仿宋_GB2312" w:eastAsia="仿宋_GB2312" w:cs="Times New Roman"/>
                <w:b/>
                <w:sz w:val="28"/>
                <w:szCs w:val="28"/>
              </w:rPr>
            </w:pPr>
          </w:p>
        </w:tc>
        <w:tc>
          <w:tcPr>
            <w:tcW w:w="282" w:type="pct"/>
            <w:shd w:val="clear" w:color="auto" w:fill="auto"/>
            <w:vAlign w:val="center"/>
          </w:tcPr>
          <w:p>
            <w:pPr>
              <w:spacing w:line="300" w:lineRule="exact"/>
              <w:jc w:val="center"/>
              <w:rPr>
                <w:rFonts w:ascii="仿宋_GB2312" w:eastAsia="仿宋_GB2312" w:cs="Times New Roman"/>
                <w:b/>
                <w:sz w:val="28"/>
                <w:szCs w:val="28"/>
              </w:rPr>
            </w:pPr>
          </w:p>
        </w:tc>
        <w:tc>
          <w:tcPr>
            <w:tcW w:w="304" w:type="pct"/>
            <w:shd w:val="clear" w:color="auto" w:fill="auto"/>
            <w:vAlign w:val="center"/>
          </w:tcPr>
          <w:p>
            <w:pPr>
              <w:spacing w:line="300" w:lineRule="exact"/>
              <w:jc w:val="center"/>
              <w:rPr>
                <w:rFonts w:ascii="仿宋_GB2312" w:eastAsia="仿宋_GB2312" w:cs="Times New Roman"/>
                <w:b/>
                <w:sz w:val="28"/>
                <w:szCs w:val="28"/>
              </w:rPr>
            </w:pPr>
          </w:p>
        </w:tc>
        <w:tc>
          <w:tcPr>
            <w:tcW w:w="304" w:type="pct"/>
            <w:shd w:val="clear" w:color="auto" w:fill="auto"/>
            <w:vAlign w:val="center"/>
          </w:tcPr>
          <w:p>
            <w:pPr>
              <w:spacing w:line="300" w:lineRule="exact"/>
              <w:jc w:val="center"/>
              <w:rPr>
                <w:rFonts w:ascii="仿宋_GB2312" w:eastAsia="仿宋_GB2312" w:cs="Times New Roman"/>
                <w:b/>
                <w:sz w:val="28"/>
                <w:szCs w:val="28"/>
              </w:rPr>
            </w:pPr>
          </w:p>
        </w:tc>
        <w:tc>
          <w:tcPr>
            <w:tcW w:w="286" w:type="pct"/>
            <w:shd w:val="clear" w:color="auto" w:fill="auto"/>
            <w:vAlign w:val="center"/>
          </w:tcPr>
          <w:p>
            <w:pPr>
              <w:spacing w:line="300" w:lineRule="exact"/>
              <w:jc w:val="center"/>
              <w:rPr>
                <w:rFonts w:ascii="仿宋_GB2312" w:eastAsia="仿宋_GB2312" w:cs="Times New Roman"/>
                <w:b/>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shd w:val="clear" w:color="auto" w:fill="auto"/>
            <w:vAlign w:val="center"/>
          </w:tcPr>
          <w:p>
            <w:pPr>
              <w:spacing w:line="300" w:lineRule="exact"/>
              <w:jc w:val="center"/>
              <w:rPr>
                <w:rFonts w:ascii="仿宋_GB2312" w:eastAsia="仿宋_GB2312" w:cs="Times New Roman"/>
                <w:sz w:val="28"/>
                <w:szCs w:val="28"/>
              </w:rPr>
            </w:pPr>
          </w:p>
        </w:tc>
        <w:tc>
          <w:tcPr>
            <w:tcW w:w="367" w:type="pct"/>
            <w:shd w:val="clear" w:color="auto" w:fill="auto"/>
            <w:vAlign w:val="center"/>
          </w:tcPr>
          <w:p>
            <w:pPr>
              <w:spacing w:line="300" w:lineRule="exact"/>
              <w:jc w:val="center"/>
              <w:rPr>
                <w:rFonts w:ascii="仿宋_GB2312" w:eastAsia="仿宋_GB2312" w:cs="Times New Roman"/>
                <w:sz w:val="28"/>
                <w:szCs w:val="28"/>
              </w:rPr>
            </w:pPr>
          </w:p>
        </w:tc>
        <w:tc>
          <w:tcPr>
            <w:tcW w:w="303" w:type="pct"/>
            <w:shd w:val="clear" w:color="auto" w:fill="auto"/>
            <w:vAlign w:val="center"/>
          </w:tcPr>
          <w:p>
            <w:pPr>
              <w:spacing w:line="300" w:lineRule="exact"/>
              <w:jc w:val="center"/>
              <w:rPr>
                <w:rFonts w:ascii="仿宋_GB2312" w:eastAsia="仿宋_GB2312" w:cs="Times New Roman"/>
                <w:sz w:val="28"/>
                <w:szCs w:val="28"/>
              </w:rPr>
            </w:pPr>
          </w:p>
        </w:tc>
        <w:tc>
          <w:tcPr>
            <w:tcW w:w="482" w:type="pct"/>
            <w:shd w:val="clear" w:color="auto" w:fill="auto"/>
            <w:vAlign w:val="center"/>
          </w:tcPr>
          <w:p>
            <w:pPr>
              <w:spacing w:line="300" w:lineRule="exact"/>
              <w:jc w:val="center"/>
              <w:rPr>
                <w:rFonts w:ascii="仿宋_GB2312" w:eastAsia="仿宋_GB2312" w:cs="Times New Roman"/>
                <w:sz w:val="28"/>
                <w:szCs w:val="28"/>
              </w:rPr>
            </w:pPr>
          </w:p>
        </w:tc>
        <w:tc>
          <w:tcPr>
            <w:tcW w:w="303" w:type="pct"/>
            <w:shd w:val="clear" w:color="auto" w:fill="auto"/>
            <w:vAlign w:val="center"/>
          </w:tcPr>
          <w:p>
            <w:pPr>
              <w:spacing w:line="300" w:lineRule="exact"/>
              <w:jc w:val="center"/>
              <w:rPr>
                <w:rFonts w:ascii="仿宋_GB2312" w:eastAsia="仿宋_GB2312" w:cs="Times New Roman"/>
                <w:sz w:val="28"/>
                <w:szCs w:val="28"/>
              </w:rPr>
            </w:pPr>
          </w:p>
        </w:tc>
        <w:tc>
          <w:tcPr>
            <w:tcW w:w="303" w:type="pct"/>
            <w:shd w:val="clear" w:color="auto" w:fill="auto"/>
            <w:vAlign w:val="center"/>
          </w:tcPr>
          <w:p>
            <w:pPr>
              <w:spacing w:line="300" w:lineRule="exact"/>
              <w:jc w:val="center"/>
              <w:rPr>
                <w:rFonts w:ascii="仿宋_GB2312" w:eastAsia="仿宋_GB2312" w:cs="Times New Roman"/>
                <w:sz w:val="28"/>
                <w:szCs w:val="28"/>
              </w:rPr>
            </w:pPr>
          </w:p>
        </w:tc>
        <w:tc>
          <w:tcPr>
            <w:tcW w:w="310" w:type="pct"/>
            <w:shd w:val="clear" w:color="auto" w:fill="auto"/>
            <w:vAlign w:val="center"/>
          </w:tcPr>
          <w:p>
            <w:pPr>
              <w:spacing w:line="300" w:lineRule="exact"/>
              <w:jc w:val="center"/>
              <w:rPr>
                <w:rFonts w:ascii="仿宋_GB2312" w:eastAsia="仿宋_GB2312" w:cs="Times New Roman"/>
                <w:sz w:val="28"/>
                <w:szCs w:val="28"/>
              </w:rPr>
            </w:pPr>
          </w:p>
        </w:tc>
        <w:tc>
          <w:tcPr>
            <w:tcW w:w="310" w:type="pct"/>
            <w:shd w:val="clear" w:color="auto" w:fill="auto"/>
            <w:vAlign w:val="center"/>
          </w:tcPr>
          <w:p>
            <w:pPr>
              <w:spacing w:line="300" w:lineRule="exact"/>
              <w:jc w:val="center"/>
              <w:rPr>
                <w:rFonts w:ascii="仿宋_GB2312" w:eastAsia="仿宋_GB2312" w:cs="Times New Roman"/>
                <w:sz w:val="28"/>
                <w:szCs w:val="28"/>
              </w:rPr>
            </w:pPr>
          </w:p>
        </w:tc>
        <w:tc>
          <w:tcPr>
            <w:tcW w:w="310" w:type="pct"/>
            <w:shd w:val="clear" w:color="auto" w:fill="auto"/>
            <w:vAlign w:val="center"/>
          </w:tcPr>
          <w:p>
            <w:pPr>
              <w:spacing w:line="300" w:lineRule="exact"/>
              <w:jc w:val="center"/>
              <w:rPr>
                <w:rFonts w:ascii="仿宋_GB2312" w:eastAsia="仿宋_GB2312" w:cs="Times New Roman"/>
                <w:sz w:val="28"/>
                <w:szCs w:val="28"/>
              </w:rPr>
            </w:pPr>
          </w:p>
        </w:tc>
        <w:tc>
          <w:tcPr>
            <w:tcW w:w="310" w:type="pct"/>
            <w:shd w:val="clear" w:color="auto" w:fill="auto"/>
            <w:vAlign w:val="center"/>
          </w:tcPr>
          <w:p>
            <w:pPr>
              <w:spacing w:line="300" w:lineRule="exact"/>
              <w:jc w:val="center"/>
              <w:rPr>
                <w:rFonts w:ascii="仿宋_GB2312" w:eastAsia="仿宋_GB2312" w:cs="Times New Roman"/>
                <w:sz w:val="28"/>
                <w:szCs w:val="28"/>
              </w:rPr>
            </w:pPr>
          </w:p>
        </w:tc>
        <w:tc>
          <w:tcPr>
            <w:tcW w:w="282" w:type="pct"/>
            <w:shd w:val="clear" w:color="auto" w:fill="auto"/>
            <w:vAlign w:val="center"/>
          </w:tcPr>
          <w:p>
            <w:pPr>
              <w:spacing w:line="300" w:lineRule="exact"/>
              <w:jc w:val="center"/>
              <w:rPr>
                <w:rFonts w:ascii="仿宋_GB2312" w:eastAsia="仿宋_GB2312" w:cs="Times New Roman"/>
                <w:sz w:val="28"/>
                <w:szCs w:val="28"/>
              </w:rPr>
            </w:pPr>
          </w:p>
        </w:tc>
        <w:tc>
          <w:tcPr>
            <w:tcW w:w="304" w:type="pct"/>
            <w:shd w:val="clear" w:color="auto" w:fill="auto"/>
            <w:vAlign w:val="center"/>
          </w:tcPr>
          <w:p>
            <w:pPr>
              <w:spacing w:line="300" w:lineRule="exact"/>
              <w:jc w:val="center"/>
              <w:rPr>
                <w:rFonts w:ascii="仿宋_GB2312" w:eastAsia="仿宋_GB2312" w:cs="Times New Roman"/>
                <w:sz w:val="28"/>
                <w:szCs w:val="28"/>
              </w:rPr>
            </w:pPr>
          </w:p>
        </w:tc>
        <w:tc>
          <w:tcPr>
            <w:tcW w:w="304" w:type="pct"/>
            <w:shd w:val="clear" w:color="auto" w:fill="auto"/>
            <w:vAlign w:val="center"/>
          </w:tcPr>
          <w:p>
            <w:pPr>
              <w:spacing w:line="300" w:lineRule="exact"/>
              <w:jc w:val="center"/>
              <w:rPr>
                <w:rFonts w:ascii="仿宋_GB2312" w:eastAsia="仿宋_GB2312" w:cs="Times New Roman"/>
                <w:sz w:val="28"/>
                <w:szCs w:val="28"/>
              </w:rPr>
            </w:pPr>
          </w:p>
        </w:tc>
        <w:tc>
          <w:tcPr>
            <w:tcW w:w="286" w:type="pct"/>
            <w:shd w:val="clear" w:color="auto" w:fill="auto"/>
            <w:vAlign w:val="center"/>
          </w:tcPr>
          <w:p>
            <w:pPr>
              <w:spacing w:line="300" w:lineRule="exact"/>
              <w:jc w:val="center"/>
              <w:rPr>
                <w:rFonts w:ascii="仿宋_GB2312" w:eastAsia="仿宋_GB2312" w:cs="Times New Roman"/>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shd w:val="clear" w:color="auto" w:fill="auto"/>
            <w:vAlign w:val="center"/>
          </w:tcPr>
          <w:p>
            <w:pPr>
              <w:spacing w:line="300" w:lineRule="exact"/>
              <w:jc w:val="center"/>
              <w:rPr>
                <w:rFonts w:ascii="仿宋_GB2312" w:eastAsia="仿宋_GB2312" w:cs="Times New Roman"/>
                <w:sz w:val="28"/>
                <w:szCs w:val="28"/>
              </w:rPr>
            </w:pPr>
          </w:p>
        </w:tc>
        <w:tc>
          <w:tcPr>
            <w:tcW w:w="367" w:type="pct"/>
            <w:shd w:val="clear" w:color="auto" w:fill="auto"/>
            <w:vAlign w:val="center"/>
          </w:tcPr>
          <w:p>
            <w:pPr>
              <w:spacing w:line="300" w:lineRule="exact"/>
              <w:jc w:val="center"/>
              <w:rPr>
                <w:rFonts w:ascii="仿宋_GB2312" w:eastAsia="仿宋_GB2312" w:cs="Times New Roman"/>
                <w:sz w:val="28"/>
                <w:szCs w:val="28"/>
              </w:rPr>
            </w:pPr>
          </w:p>
        </w:tc>
        <w:tc>
          <w:tcPr>
            <w:tcW w:w="303" w:type="pct"/>
            <w:shd w:val="clear" w:color="auto" w:fill="auto"/>
            <w:vAlign w:val="center"/>
          </w:tcPr>
          <w:p>
            <w:pPr>
              <w:spacing w:line="300" w:lineRule="exact"/>
              <w:jc w:val="center"/>
              <w:rPr>
                <w:rFonts w:ascii="仿宋_GB2312" w:eastAsia="仿宋_GB2312" w:cs="Times New Roman"/>
                <w:sz w:val="28"/>
                <w:szCs w:val="28"/>
              </w:rPr>
            </w:pPr>
          </w:p>
        </w:tc>
        <w:tc>
          <w:tcPr>
            <w:tcW w:w="482" w:type="pct"/>
            <w:shd w:val="clear" w:color="auto" w:fill="auto"/>
            <w:vAlign w:val="center"/>
          </w:tcPr>
          <w:p>
            <w:pPr>
              <w:spacing w:line="300" w:lineRule="exact"/>
              <w:jc w:val="center"/>
              <w:rPr>
                <w:rFonts w:ascii="仿宋_GB2312" w:eastAsia="仿宋_GB2312" w:cs="Times New Roman"/>
                <w:sz w:val="28"/>
                <w:szCs w:val="28"/>
              </w:rPr>
            </w:pPr>
          </w:p>
        </w:tc>
        <w:tc>
          <w:tcPr>
            <w:tcW w:w="303" w:type="pct"/>
            <w:shd w:val="clear" w:color="auto" w:fill="auto"/>
            <w:vAlign w:val="center"/>
          </w:tcPr>
          <w:p>
            <w:pPr>
              <w:spacing w:line="300" w:lineRule="exact"/>
              <w:jc w:val="center"/>
              <w:rPr>
                <w:rFonts w:ascii="仿宋_GB2312" w:eastAsia="仿宋_GB2312" w:cs="Times New Roman"/>
                <w:sz w:val="28"/>
                <w:szCs w:val="28"/>
              </w:rPr>
            </w:pPr>
          </w:p>
        </w:tc>
        <w:tc>
          <w:tcPr>
            <w:tcW w:w="303" w:type="pct"/>
            <w:shd w:val="clear" w:color="auto" w:fill="auto"/>
            <w:vAlign w:val="center"/>
          </w:tcPr>
          <w:p>
            <w:pPr>
              <w:spacing w:line="300" w:lineRule="exact"/>
              <w:jc w:val="center"/>
              <w:rPr>
                <w:rFonts w:ascii="仿宋_GB2312" w:eastAsia="仿宋_GB2312" w:cs="Times New Roman"/>
                <w:sz w:val="28"/>
                <w:szCs w:val="28"/>
              </w:rPr>
            </w:pPr>
          </w:p>
        </w:tc>
        <w:tc>
          <w:tcPr>
            <w:tcW w:w="310" w:type="pct"/>
            <w:shd w:val="clear" w:color="auto" w:fill="auto"/>
            <w:vAlign w:val="center"/>
          </w:tcPr>
          <w:p>
            <w:pPr>
              <w:spacing w:line="300" w:lineRule="exact"/>
              <w:jc w:val="center"/>
              <w:rPr>
                <w:rFonts w:ascii="仿宋_GB2312" w:eastAsia="仿宋_GB2312" w:cs="Times New Roman"/>
                <w:sz w:val="28"/>
                <w:szCs w:val="28"/>
              </w:rPr>
            </w:pPr>
          </w:p>
        </w:tc>
        <w:tc>
          <w:tcPr>
            <w:tcW w:w="310" w:type="pct"/>
            <w:shd w:val="clear" w:color="auto" w:fill="auto"/>
            <w:vAlign w:val="center"/>
          </w:tcPr>
          <w:p>
            <w:pPr>
              <w:spacing w:line="300" w:lineRule="exact"/>
              <w:jc w:val="center"/>
              <w:rPr>
                <w:rFonts w:ascii="仿宋_GB2312" w:eastAsia="仿宋_GB2312" w:cs="Times New Roman"/>
                <w:sz w:val="28"/>
                <w:szCs w:val="28"/>
              </w:rPr>
            </w:pPr>
          </w:p>
        </w:tc>
        <w:tc>
          <w:tcPr>
            <w:tcW w:w="310" w:type="pct"/>
            <w:shd w:val="clear" w:color="auto" w:fill="auto"/>
            <w:vAlign w:val="center"/>
          </w:tcPr>
          <w:p>
            <w:pPr>
              <w:spacing w:line="300" w:lineRule="exact"/>
              <w:jc w:val="center"/>
              <w:rPr>
                <w:rFonts w:ascii="仿宋_GB2312" w:eastAsia="仿宋_GB2312" w:cs="Times New Roman"/>
                <w:sz w:val="28"/>
                <w:szCs w:val="28"/>
              </w:rPr>
            </w:pPr>
          </w:p>
        </w:tc>
        <w:tc>
          <w:tcPr>
            <w:tcW w:w="310" w:type="pct"/>
            <w:shd w:val="clear" w:color="auto" w:fill="auto"/>
            <w:vAlign w:val="center"/>
          </w:tcPr>
          <w:p>
            <w:pPr>
              <w:spacing w:line="300" w:lineRule="exact"/>
              <w:jc w:val="center"/>
              <w:rPr>
                <w:rFonts w:ascii="仿宋_GB2312" w:eastAsia="仿宋_GB2312" w:cs="Times New Roman"/>
                <w:sz w:val="28"/>
                <w:szCs w:val="28"/>
              </w:rPr>
            </w:pPr>
          </w:p>
        </w:tc>
        <w:tc>
          <w:tcPr>
            <w:tcW w:w="282" w:type="pct"/>
            <w:shd w:val="clear" w:color="auto" w:fill="auto"/>
            <w:vAlign w:val="center"/>
          </w:tcPr>
          <w:p>
            <w:pPr>
              <w:spacing w:line="300" w:lineRule="exact"/>
              <w:jc w:val="center"/>
              <w:rPr>
                <w:rFonts w:ascii="仿宋_GB2312" w:eastAsia="仿宋_GB2312" w:cs="Times New Roman"/>
                <w:sz w:val="28"/>
                <w:szCs w:val="28"/>
              </w:rPr>
            </w:pPr>
          </w:p>
        </w:tc>
        <w:tc>
          <w:tcPr>
            <w:tcW w:w="304" w:type="pct"/>
            <w:shd w:val="clear" w:color="auto" w:fill="auto"/>
            <w:vAlign w:val="center"/>
          </w:tcPr>
          <w:p>
            <w:pPr>
              <w:spacing w:line="300" w:lineRule="exact"/>
              <w:jc w:val="center"/>
              <w:rPr>
                <w:rFonts w:ascii="仿宋_GB2312" w:eastAsia="仿宋_GB2312" w:cs="Times New Roman"/>
                <w:sz w:val="28"/>
                <w:szCs w:val="28"/>
              </w:rPr>
            </w:pPr>
          </w:p>
        </w:tc>
        <w:tc>
          <w:tcPr>
            <w:tcW w:w="304" w:type="pct"/>
            <w:shd w:val="clear" w:color="auto" w:fill="auto"/>
            <w:vAlign w:val="center"/>
          </w:tcPr>
          <w:p>
            <w:pPr>
              <w:spacing w:line="300" w:lineRule="exact"/>
              <w:jc w:val="center"/>
              <w:rPr>
                <w:rFonts w:ascii="仿宋_GB2312" w:eastAsia="仿宋_GB2312" w:cs="Times New Roman"/>
                <w:sz w:val="28"/>
                <w:szCs w:val="28"/>
              </w:rPr>
            </w:pPr>
          </w:p>
        </w:tc>
        <w:tc>
          <w:tcPr>
            <w:tcW w:w="286" w:type="pct"/>
            <w:shd w:val="clear" w:color="auto" w:fill="auto"/>
            <w:vAlign w:val="center"/>
          </w:tcPr>
          <w:p>
            <w:pPr>
              <w:spacing w:line="300" w:lineRule="exact"/>
              <w:jc w:val="center"/>
              <w:rPr>
                <w:rFonts w:ascii="仿宋_GB2312" w:eastAsia="仿宋_GB2312" w:cs="Times New Roman"/>
                <w:sz w:val="28"/>
                <w:szCs w:val="28"/>
              </w:rPr>
            </w:pPr>
          </w:p>
        </w:tc>
      </w:tr>
    </w:tbl>
    <w:p>
      <w:pPr>
        <w:widowControl/>
        <w:spacing w:line="360" w:lineRule="atLeast"/>
        <w:jc w:val="left"/>
        <w:rPr>
          <w:rFonts w:ascii="仿宋_GB2312" w:eastAsia="仿宋_GB2312" w:cs="宋体"/>
          <w:b/>
          <w:bCs/>
          <w:color w:val="000000"/>
          <w:kern w:val="0"/>
          <w:sz w:val="32"/>
          <w:szCs w:val="32"/>
        </w:rPr>
      </w:pPr>
    </w:p>
    <w:p>
      <w:pPr>
        <w:widowControl/>
        <w:spacing w:line="360" w:lineRule="atLeast"/>
        <w:jc w:val="left"/>
        <w:rPr>
          <w:rFonts w:ascii="仿宋_GB2312" w:eastAsia="仿宋_GB2312" w:cs="宋体"/>
          <w:color w:val="000000"/>
          <w:kern w:val="0"/>
          <w:sz w:val="32"/>
          <w:szCs w:val="32"/>
        </w:rPr>
      </w:pPr>
      <w:r>
        <w:rPr>
          <w:rFonts w:ascii="仿宋_GB2312" w:eastAsia="仿宋_GB2312" w:cs="宋体"/>
          <w:b/>
          <w:bCs/>
          <w:color w:val="000000"/>
          <w:kern w:val="0"/>
          <w:sz w:val="32"/>
          <w:szCs w:val="32"/>
        </w:rPr>
        <w:br w:type="page"/>
      </w:r>
      <w:r>
        <w:rPr>
          <w:rFonts w:hint="eastAsia" w:ascii="黑体" w:eastAsia="黑体" w:cs="宋体"/>
          <w:b/>
          <w:bCs/>
          <w:color w:val="000000"/>
          <w:kern w:val="0"/>
          <w:sz w:val="32"/>
          <w:szCs w:val="32"/>
        </w:rPr>
        <w:t>七、国有资产信息</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我部门（含所属单位）上年末固定资产金额为604.34万元，我部门本年度无拟购置固定资产，详见下表。</w:t>
      </w:r>
    </w:p>
    <w:tbl>
      <w:tblPr>
        <w:tblStyle w:val="4"/>
        <w:tblW w:w="10280" w:type="dxa"/>
        <w:tblCellSpacing w:w="0" w:type="dxa"/>
        <w:tblInd w:w="0" w:type="dxa"/>
        <w:tblLayout w:type="autofit"/>
        <w:tblCellMar>
          <w:top w:w="0" w:type="dxa"/>
          <w:left w:w="0" w:type="dxa"/>
          <w:bottom w:w="0" w:type="dxa"/>
          <w:right w:w="0" w:type="dxa"/>
        </w:tblCellMar>
      </w:tblPr>
      <w:tblGrid>
        <w:gridCol w:w="3890"/>
        <w:gridCol w:w="2750"/>
        <w:gridCol w:w="3760"/>
      </w:tblGrid>
      <w:tr>
        <w:tblPrEx>
          <w:tblCellMar>
            <w:top w:w="0" w:type="dxa"/>
            <w:left w:w="0" w:type="dxa"/>
            <w:bottom w:w="0" w:type="dxa"/>
            <w:right w:w="0" w:type="dxa"/>
          </w:tblCellMar>
        </w:tblPrEx>
        <w:trPr>
          <w:trHeight w:val="705" w:hRule="atLeast"/>
          <w:tblCellSpacing w:w="0" w:type="dxa"/>
        </w:trPr>
        <w:tc>
          <w:tcPr>
            <w:tcW w:w="10310" w:type="dxa"/>
            <w:gridSpan w:val="3"/>
            <w:noWrap/>
            <w:vAlign w:val="center"/>
          </w:tcPr>
          <w:p>
            <w:pPr>
              <w:widowControl/>
              <w:jc w:val="center"/>
              <w:rPr>
                <w:rFonts w:ascii="仿宋_GB2312" w:eastAsia="仿宋_GB2312" w:cs="宋体"/>
                <w:kern w:val="0"/>
                <w:sz w:val="28"/>
                <w:szCs w:val="28"/>
              </w:rPr>
            </w:pPr>
            <w:r>
              <w:rPr>
                <w:rFonts w:ascii="宋体" w:hAnsi="宋体" w:eastAsia="仿宋_GB2312" w:cs="宋体"/>
                <w:kern w:val="0"/>
                <w:sz w:val="28"/>
                <w:szCs w:val="28"/>
              </w:rPr>
              <w:t> </w:t>
            </w:r>
            <w:r>
              <w:rPr>
                <w:rFonts w:hint="eastAsia" w:ascii="仿宋_GB2312" w:eastAsia="仿宋_GB2312" w:cs="宋体"/>
                <w:b/>
                <w:bCs/>
                <w:kern w:val="0"/>
                <w:sz w:val="28"/>
                <w:szCs w:val="28"/>
              </w:rPr>
              <w:t>廊坊市广阳区预算部门固定资产占用情况表</w:t>
            </w:r>
          </w:p>
        </w:tc>
      </w:tr>
      <w:tr>
        <w:tblPrEx>
          <w:tblCellMar>
            <w:top w:w="0" w:type="dxa"/>
            <w:left w:w="0" w:type="dxa"/>
            <w:bottom w:w="0" w:type="dxa"/>
            <w:right w:w="0" w:type="dxa"/>
          </w:tblCellMar>
        </w:tblPrEx>
        <w:trPr>
          <w:trHeight w:val="510" w:hRule="atLeast"/>
          <w:tblCellSpacing w:w="0" w:type="dxa"/>
        </w:trPr>
        <w:tc>
          <w:tcPr>
            <w:tcW w:w="6585" w:type="dxa"/>
            <w:gridSpan w:val="2"/>
            <w:noWrap/>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编制部门：</w:t>
            </w:r>
            <w:r>
              <w:rPr>
                <w:rFonts w:hint="eastAsia" w:ascii="仿宋_GB2312" w:eastAsia="仿宋_GB2312" w:cs="宋体"/>
                <w:b/>
                <w:bCs/>
                <w:kern w:val="0"/>
                <w:sz w:val="28"/>
                <w:szCs w:val="28"/>
              </w:rPr>
              <w:t>廊坊市广阳区解放道街道办事处</w:t>
            </w:r>
          </w:p>
        </w:tc>
        <w:tc>
          <w:tcPr>
            <w:tcW w:w="3740" w:type="dxa"/>
            <w:noWrap/>
            <w:vAlign w:val="center"/>
          </w:tcPr>
          <w:p>
            <w:pPr>
              <w:widowControl/>
              <w:jc w:val="left"/>
              <w:rPr>
                <w:rFonts w:ascii="宋体" w:hAnsi="宋体" w:eastAsia="仿宋_GB2312" w:cs="宋体"/>
                <w:kern w:val="0"/>
                <w:sz w:val="28"/>
                <w:szCs w:val="28"/>
              </w:rPr>
            </w:pPr>
            <w:r>
              <w:rPr>
                <w:rFonts w:hint="eastAsia" w:ascii="仿宋_GB2312" w:eastAsia="仿宋_GB2312" w:cs="宋体"/>
                <w:kern w:val="0"/>
                <w:sz w:val="28"/>
                <w:szCs w:val="28"/>
              </w:rPr>
              <w:t>截止时间：2016年12月31日</w:t>
            </w:r>
            <w:r>
              <w:rPr>
                <w:rFonts w:ascii="宋体" w:hAnsi="宋体" w:eastAsia="仿宋_GB2312" w:cs="宋体"/>
                <w:kern w:val="0"/>
                <w:sz w:val="28"/>
                <w:szCs w:val="28"/>
              </w:rPr>
              <w:t> </w:t>
            </w:r>
          </w:p>
        </w:tc>
      </w:tr>
      <w:tr>
        <w:tblPrEx>
          <w:tblCellMar>
            <w:top w:w="0" w:type="dxa"/>
            <w:left w:w="0" w:type="dxa"/>
            <w:bottom w:w="0" w:type="dxa"/>
            <w:right w:w="0" w:type="dxa"/>
          </w:tblCellMar>
        </w:tblPrEx>
        <w:trPr>
          <w:trHeight w:val="645" w:hRule="atLeast"/>
          <w:tblCellSpacing w:w="0" w:type="dxa"/>
        </w:trPr>
        <w:tc>
          <w:tcPr>
            <w:tcW w:w="387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项</w:t>
            </w:r>
            <w:r>
              <w:rPr>
                <w:rFonts w:ascii="宋体" w:hAnsi="宋体" w:eastAsia="仿宋_GB2312" w:cs="宋体"/>
                <w:b/>
                <w:bCs/>
                <w:kern w:val="0"/>
                <w:sz w:val="28"/>
                <w:szCs w:val="28"/>
              </w:rPr>
              <w:t xml:space="preserve">   </w:t>
            </w:r>
            <w:r>
              <w:rPr>
                <w:rFonts w:hint="eastAsia" w:ascii="仿宋_GB2312" w:eastAsia="仿宋_GB2312" w:cs="宋体"/>
                <w:b/>
                <w:bCs/>
                <w:kern w:val="0"/>
                <w:sz w:val="28"/>
                <w:szCs w:val="28"/>
              </w:rPr>
              <w:t>目</w:t>
            </w:r>
          </w:p>
        </w:tc>
        <w:tc>
          <w:tcPr>
            <w:tcW w:w="273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数量</w:t>
            </w:r>
          </w:p>
        </w:tc>
        <w:tc>
          <w:tcPr>
            <w:tcW w:w="374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价值（金额单位：万元）</w:t>
            </w:r>
          </w:p>
        </w:tc>
      </w:tr>
      <w:tr>
        <w:tblPrEx>
          <w:tblCellMar>
            <w:top w:w="0" w:type="dxa"/>
            <w:left w:w="0" w:type="dxa"/>
            <w:bottom w:w="0" w:type="dxa"/>
            <w:right w:w="0" w:type="dxa"/>
          </w:tblCellMar>
        </w:tblPrEx>
        <w:trPr>
          <w:trHeight w:val="645" w:hRule="atLeast"/>
          <w:tblCellSpacing w:w="0" w:type="dxa"/>
        </w:trPr>
        <w:tc>
          <w:tcPr>
            <w:tcW w:w="387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资产总额</w:t>
            </w:r>
          </w:p>
        </w:tc>
        <w:tc>
          <w:tcPr>
            <w:tcW w:w="273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w:t>
            </w:r>
          </w:p>
        </w:tc>
        <w:tc>
          <w:tcPr>
            <w:tcW w:w="37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604.34</w:t>
            </w:r>
          </w:p>
        </w:tc>
      </w:tr>
      <w:tr>
        <w:tblPrEx>
          <w:tblCellMar>
            <w:top w:w="0" w:type="dxa"/>
            <w:left w:w="0" w:type="dxa"/>
            <w:bottom w:w="0" w:type="dxa"/>
            <w:right w:w="0" w:type="dxa"/>
          </w:tblCellMar>
        </w:tblPrEx>
        <w:trPr>
          <w:trHeight w:val="645" w:hRule="atLeast"/>
          <w:tblCellSpacing w:w="0" w:type="dxa"/>
        </w:trPr>
        <w:tc>
          <w:tcPr>
            <w:tcW w:w="387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1、房屋（平方米）</w:t>
            </w:r>
          </w:p>
        </w:tc>
        <w:tc>
          <w:tcPr>
            <w:tcW w:w="273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2930</w:t>
            </w:r>
          </w:p>
        </w:tc>
        <w:tc>
          <w:tcPr>
            <w:tcW w:w="37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473.89</w:t>
            </w:r>
          </w:p>
        </w:tc>
      </w:tr>
      <w:tr>
        <w:tblPrEx>
          <w:tblCellMar>
            <w:top w:w="0" w:type="dxa"/>
            <w:left w:w="0" w:type="dxa"/>
            <w:bottom w:w="0" w:type="dxa"/>
            <w:right w:w="0" w:type="dxa"/>
          </w:tblCellMar>
        </w:tblPrEx>
        <w:trPr>
          <w:trHeight w:val="645" w:hRule="atLeast"/>
          <w:tblCellSpacing w:w="0" w:type="dxa"/>
        </w:trPr>
        <w:tc>
          <w:tcPr>
            <w:tcW w:w="387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ascii="宋体" w:hAnsi="宋体" w:eastAsia="仿宋_GB2312" w:cs="宋体"/>
                <w:kern w:val="0"/>
                <w:sz w:val="28"/>
                <w:szCs w:val="28"/>
              </w:rPr>
              <w:t xml:space="preserve">   </w:t>
            </w:r>
            <w:r>
              <w:rPr>
                <w:rFonts w:hint="eastAsia" w:ascii="仿宋_GB2312" w:eastAsia="仿宋_GB2312" w:cs="宋体"/>
                <w:kern w:val="0"/>
                <w:sz w:val="28"/>
                <w:szCs w:val="28"/>
              </w:rPr>
              <w:t>其中：办公用房（平方米）</w:t>
            </w:r>
          </w:p>
        </w:tc>
        <w:tc>
          <w:tcPr>
            <w:tcW w:w="273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2930</w:t>
            </w:r>
          </w:p>
        </w:tc>
        <w:tc>
          <w:tcPr>
            <w:tcW w:w="37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473.89</w:t>
            </w:r>
          </w:p>
        </w:tc>
      </w:tr>
      <w:tr>
        <w:tblPrEx>
          <w:tblCellMar>
            <w:top w:w="0" w:type="dxa"/>
            <w:left w:w="0" w:type="dxa"/>
            <w:bottom w:w="0" w:type="dxa"/>
            <w:right w:w="0" w:type="dxa"/>
          </w:tblCellMar>
        </w:tblPrEx>
        <w:trPr>
          <w:trHeight w:val="645" w:hRule="atLeast"/>
          <w:tblCellSpacing w:w="0" w:type="dxa"/>
        </w:trPr>
        <w:tc>
          <w:tcPr>
            <w:tcW w:w="387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2、车辆（台、辆）</w:t>
            </w:r>
          </w:p>
        </w:tc>
        <w:tc>
          <w:tcPr>
            <w:tcW w:w="273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3</w:t>
            </w:r>
          </w:p>
        </w:tc>
        <w:tc>
          <w:tcPr>
            <w:tcW w:w="37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51.90</w:t>
            </w:r>
          </w:p>
        </w:tc>
      </w:tr>
      <w:tr>
        <w:tblPrEx>
          <w:tblCellMar>
            <w:top w:w="0" w:type="dxa"/>
            <w:left w:w="0" w:type="dxa"/>
            <w:bottom w:w="0" w:type="dxa"/>
            <w:right w:w="0" w:type="dxa"/>
          </w:tblCellMar>
        </w:tblPrEx>
        <w:trPr>
          <w:trHeight w:val="645" w:hRule="atLeast"/>
          <w:tblCellSpacing w:w="0" w:type="dxa"/>
        </w:trPr>
        <w:tc>
          <w:tcPr>
            <w:tcW w:w="3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3、单价在50万元以上的设备</w:t>
            </w:r>
          </w:p>
        </w:tc>
        <w:tc>
          <w:tcPr>
            <w:tcW w:w="273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0</w:t>
            </w:r>
          </w:p>
        </w:tc>
        <w:tc>
          <w:tcPr>
            <w:tcW w:w="37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78.55</w:t>
            </w:r>
          </w:p>
        </w:tc>
      </w:tr>
      <w:tr>
        <w:tblPrEx>
          <w:tblCellMar>
            <w:top w:w="0" w:type="dxa"/>
            <w:left w:w="0" w:type="dxa"/>
            <w:bottom w:w="0" w:type="dxa"/>
            <w:right w:w="0" w:type="dxa"/>
          </w:tblCellMar>
        </w:tblPrEx>
        <w:trPr>
          <w:trHeight w:val="645" w:hRule="atLeast"/>
          <w:tblCellSpacing w:w="0" w:type="dxa"/>
        </w:trPr>
        <w:tc>
          <w:tcPr>
            <w:tcW w:w="387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4、其他固定资产</w:t>
            </w:r>
          </w:p>
        </w:tc>
        <w:tc>
          <w:tcPr>
            <w:tcW w:w="273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仿宋_GB2312" w:cs="宋体"/>
                <w:kern w:val="0"/>
                <w:sz w:val="28"/>
                <w:szCs w:val="28"/>
              </w:rPr>
            </w:pPr>
            <w:r>
              <w:rPr>
                <w:rFonts w:ascii="宋体" w:hAnsi="宋体" w:eastAsia="仿宋_GB2312" w:cs="宋体"/>
                <w:kern w:val="0"/>
                <w:sz w:val="28"/>
                <w:szCs w:val="28"/>
              </w:rPr>
              <w:t> </w:t>
            </w:r>
          </w:p>
        </w:tc>
        <w:tc>
          <w:tcPr>
            <w:tcW w:w="37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ascii="宋体" w:hAnsi="宋体" w:eastAsia="仿宋_GB2312" w:cs="宋体"/>
                <w:kern w:val="0"/>
                <w:sz w:val="28"/>
                <w:szCs w:val="28"/>
              </w:rPr>
              <w:t> </w:t>
            </w:r>
            <w:r>
              <w:rPr>
                <w:rFonts w:hint="eastAsia" w:ascii="仿宋_GB2312" w:eastAsia="仿宋_GB2312" w:cs="宋体"/>
                <w:kern w:val="0"/>
                <w:sz w:val="28"/>
                <w:szCs w:val="28"/>
              </w:rPr>
              <w:t>0.00</w:t>
            </w:r>
          </w:p>
        </w:tc>
      </w:tr>
    </w:tbl>
    <w:p>
      <w:pPr>
        <w:pStyle w:val="8"/>
        <w:rPr>
          <w:rFonts w:ascii="仿宋_GB2312" w:eastAsia="仿宋_GB2312"/>
          <w:b/>
          <w:bCs/>
          <w:sz w:val="32"/>
          <w:szCs w:val="32"/>
        </w:rPr>
      </w:pPr>
      <w:r>
        <w:rPr>
          <w:rFonts w:hint="eastAsia" w:ascii="黑体" w:eastAsia="黑体" w:cs="宋体"/>
          <w:b/>
          <w:bCs/>
          <w:sz w:val="32"/>
          <w:szCs w:val="32"/>
        </w:rPr>
        <w:t>八、名词解释</w:t>
      </w:r>
      <w:r>
        <w:rPr>
          <w:rFonts w:hint="eastAsia" w:ascii="黑体" w:eastAsia="黑体" w:cs="宋体"/>
          <w:sz w:val="32"/>
          <w:szCs w:val="32"/>
        </w:rPr>
        <w:br w:type="textWrapping"/>
      </w:r>
      <w:r>
        <w:rPr>
          <w:rFonts w:hint="eastAsia" w:ascii="宋体" w:hAnsi="宋体" w:eastAsia="仿宋_GB2312" w:cs="宋体"/>
          <w:sz w:val="32"/>
          <w:szCs w:val="32"/>
        </w:rPr>
        <w:t>   </w:t>
      </w:r>
      <w:r>
        <w:rPr>
          <w:rFonts w:hint="eastAsia"/>
          <w:b/>
          <w:bCs/>
          <w:sz w:val="32"/>
          <w:szCs w:val="32"/>
        </w:rPr>
        <w:t xml:space="preserve">  </w:t>
      </w:r>
      <w:r>
        <w:rPr>
          <w:rFonts w:hint="eastAsia" w:ascii="仿宋_GB2312" w:eastAsia="仿宋_GB2312"/>
          <w:b/>
          <w:bCs/>
          <w:sz w:val="32"/>
          <w:szCs w:val="32"/>
        </w:rPr>
        <w:t>1</w:t>
      </w:r>
      <w:r>
        <w:rPr>
          <w:rFonts w:hint="eastAsia" w:ascii="仿宋_GB2312" w:eastAsia="仿宋_GB2312" w:cs="FZFangSong-Z02"/>
          <w:sz w:val="32"/>
          <w:szCs w:val="32"/>
        </w:rPr>
        <w:t>、一般公共预算拨款收入：指市级财政当年拨付的资金。</w:t>
      </w:r>
    </w:p>
    <w:p>
      <w:pPr>
        <w:pStyle w:val="8"/>
        <w:rPr>
          <w:rFonts w:ascii="仿宋_GB2312" w:eastAsia="仿宋_GB2312" w:cs="FZFangSong-Z02"/>
          <w:sz w:val="32"/>
          <w:szCs w:val="32"/>
        </w:rPr>
      </w:pPr>
      <w:r>
        <w:rPr>
          <w:rFonts w:hint="eastAsia" w:ascii="仿宋_GB2312" w:eastAsia="仿宋_GB2312"/>
          <w:b/>
          <w:bCs/>
          <w:sz w:val="32"/>
          <w:szCs w:val="32"/>
        </w:rPr>
        <w:t xml:space="preserve">    2</w:t>
      </w:r>
      <w:r>
        <w:rPr>
          <w:rFonts w:hint="eastAsia" w:ascii="仿宋_GB2312" w:eastAsia="仿宋_GB2312" w:cs="FZFangSong-Z02"/>
          <w:sz w:val="32"/>
          <w:szCs w:val="32"/>
        </w:rPr>
        <w:t>、事业收入：指事业单位开展专业业务活动及辅助活动所取得的收入。</w:t>
      </w:r>
    </w:p>
    <w:p>
      <w:pPr>
        <w:pStyle w:val="8"/>
        <w:rPr>
          <w:rFonts w:ascii="仿宋_GB2312" w:eastAsia="仿宋_GB2312" w:cs="FZFangSong-Z02"/>
          <w:sz w:val="32"/>
          <w:szCs w:val="32"/>
        </w:rPr>
      </w:pPr>
      <w:r>
        <w:rPr>
          <w:rFonts w:hint="eastAsia" w:ascii="仿宋_GB2312" w:eastAsia="仿宋_GB2312"/>
          <w:b/>
          <w:bCs/>
          <w:sz w:val="32"/>
          <w:szCs w:val="32"/>
        </w:rPr>
        <w:t xml:space="preserve">    3</w:t>
      </w:r>
      <w:r>
        <w:rPr>
          <w:rFonts w:hint="eastAsia" w:ascii="仿宋_GB2312" w:eastAsia="仿宋_GB2312" w:cs="FZFangSong-Z02"/>
          <w:sz w:val="32"/>
          <w:szCs w:val="32"/>
        </w:rPr>
        <w:t>、其他收入：指除上述</w:t>
      </w:r>
      <w:r>
        <w:rPr>
          <w:rFonts w:hint="eastAsia" w:ascii="仿宋_GB2312" w:eastAsia="仿宋_GB2312"/>
          <w:sz w:val="32"/>
          <w:szCs w:val="32"/>
        </w:rPr>
        <w:t>“</w:t>
      </w:r>
      <w:r>
        <w:rPr>
          <w:rFonts w:hint="eastAsia" w:ascii="仿宋_GB2312" w:eastAsia="仿宋_GB2312" w:cs="FZFangSong-Z02"/>
          <w:sz w:val="32"/>
          <w:szCs w:val="32"/>
        </w:rPr>
        <w:t>财政拨款收入</w:t>
      </w:r>
      <w:r>
        <w:rPr>
          <w:rFonts w:hint="eastAsia" w:ascii="仿宋_GB2312" w:eastAsia="仿宋_GB2312"/>
          <w:sz w:val="32"/>
          <w:szCs w:val="32"/>
        </w:rPr>
        <w:t>”</w:t>
      </w:r>
      <w:r>
        <w:rPr>
          <w:rFonts w:hint="eastAsia" w:ascii="仿宋_GB2312" w:eastAsia="仿宋_GB2312" w:cs="FZFangSong-Z02"/>
          <w:sz w:val="32"/>
          <w:szCs w:val="32"/>
        </w:rPr>
        <w:t>、</w:t>
      </w:r>
      <w:r>
        <w:rPr>
          <w:rFonts w:hint="eastAsia" w:ascii="仿宋_GB2312" w:eastAsia="仿宋_GB2312"/>
          <w:sz w:val="32"/>
          <w:szCs w:val="32"/>
        </w:rPr>
        <w:t>“</w:t>
      </w:r>
      <w:r>
        <w:rPr>
          <w:rFonts w:hint="eastAsia" w:ascii="仿宋_GB2312" w:eastAsia="仿宋_GB2312" w:cs="FZFangSong-Z02"/>
          <w:sz w:val="32"/>
          <w:szCs w:val="32"/>
        </w:rPr>
        <w:t>事业收入</w:t>
      </w:r>
      <w:r>
        <w:rPr>
          <w:rFonts w:hint="eastAsia" w:ascii="仿宋_GB2312" w:eastAsia="仿宋_GB2312"/>
          <w:sz w:val="32"/>
          <w:szCs w:val="32"/>
        </w:rPr>
        <w:t>”</w:t>
      </w:r>
      <w:r>
        <w:rPr>
          <w:rFonts w:hint="eastAsia" w:ascii="仿宋_GB2312" w:eastAsia="仿宋_GB2312" w:cs="FZFangSong-Z02"/>
          <w:sz w:val="32"/>
          <w:szCs w:val="32"/>
        </w:rPr>
        <w:t>等以外的收入。主要是按规定动用的租房收入、存款利息收入等。</w:t>
      </w:r>
    </w:p>
    <w:p>
      <w:pPr>
        <w:pStyle w:val="8"/>
        <w:rPr>
          <w:rFonts w:ascii="仿宋_GB2312" w:eastAsia="仿宋_GB2312" w:cs="FZFangSong-Z02"/>
          <w:sz w:val="32"/>
          <w:szCs w:val="32"/>
        </w:rPr>
      </w:pPr>
      <w:r>
        <w:rPr>
          <w:rFonts w:hint="eastAsia" w:ascii="仿宋_GB2312" w:eastAsia="仿宋_GB2312"/>
          <w:b/>
          <w:bCs/>
          <w:sz w:val="32"/>
          <w:szCs w:val="32"/>
        </w:rPr>
        <w:t xml:space="preserve">    4</w:t>
      </w:r>
      <w:r>
        <w:rPr>
          <w:rFonts w:hint="eastAsia" w:ascii="仿宋_GB2312" w:eastAsia="仿宋_GB2312" w:cs="FZFangSong-Z02"/>
          <w:sz w:val="32"/>
          <w:szCs w:val="32"/>
        </w:rPr>
        <w:t>、基本支出：</w:t>
      </w:r>
      <w:r>
        <w:rPr>
          <w:rFonts w:hint="eastAsia" w:ascii="仿宋_GB2312" w:eastAsia="仿宋_GB2312"/>
          <w:sz w:val="32"/>
          <w:szCs w:val="32"/>
        </w:rPr>
        <w:t>指为保障机构正常运转、完成日常工作任务而发生的人员支出和公用支出。</w:t>
      </w:r>
    </w:p>
    <w:p>
      <w:pPr>
        <w:rPr>
          <w:rFonts w:ascii="仿宋_GB2312" w:eastAsia="仿宋_GB2312"/>
          <w:sz w:val="32"/>
          <w:szCs w:val="32"/>
        </w:rPr>
      </w:pPr>
      <w:r>
        <w:rPr>
          <w:rFonts w:hint="eastAsia" w:ascii="仿宋_GB2312" w:eastAsia="仿宋_GB2312"/>
          <w:b/>
          <w:bCs/>
          <w:sz w:val="32"/>
          <w:szCs w:val="32"/>
        </w:rPr>
        <w:t xml:space="preserve">    5</w:t>
      </w:r>
      <w:r>
        <w:rPr>
          <w:rFonts w:hint="eastAsia" w:ascii="仿宋_GB2312" w:eastAsia="仿宋_GB2312" w:cs="FZFangSong-Z02"/>
          <w:sz w:val="32"/>
          <w:szCs w:val="32"/>
        </w:rPr>
        <w:t>、项目支出：</w:t>
      </w:r>
      <w:r>
        <w:rPr>
          <w:rFonts w:hint="eastAsia" w:ascii="仿宋_GB2312" w:eastAsia="仿宋_GB2312"/>
          <w:sz w:val="32"/>
          <w:szCs w:val="32"/>
        </w:rPr>
        <w:t>指在基本支出之外为完成特定行政任务和事业发展目标所发生的支出。</w:t>
      </w:r>
    </w:p>
    <w:p>
      <w:pPr>
        <w:pStyle w:val="8"/>
        <w:rPr>
          <w:rFonts w:ascii="仿宋_GB2312" w:eastAsia="仿宋_GB2312"/>
          <w:sz w:val="32"/>
          <w:szCs w:val="32"/>
        </w:rPr>
      </w:pPr>
      <w:r>
        <w:rPr>
          <w:rFonts w:hint="eastAsia" w:ascii="仿宋_GB2312" w:eastAsia="仿宋_GB2312"/>
          <w:b/>
          <w:bCs/>
          <w:sz w:val="32"/>
          <w:szCs w:val="32"/>
        </w:rPr>
        <w:t xml:space="preserve">    6</w:t>
      </w:r>
      <w:r>
        <w:rPr>
          <w:rFonts w:hint="eastAsia" w:ascii="仿宋_GB2312" w:eastAsia="仿宋_GB2312" w:cs="FZFangSong-Z02"/>
          <w:sz w:val="32"/>
          <w:szCs w:val="32"/>
        </w:rPr>
        <w:t>、上缴上级支出：</w:t>
      </w:r>
      <w:r>
        <w:rPr>
          <w:rFonts w:hint="eastAsia" w:ascii="仿宋_GB2312" w:eastAsia="仿宋_GB2312"/>
          <w:sz w:val="32"/>
          <w:szCs w:val="32"/>
        </w:rPr>
        <w:t>指下级单位上缴上级的支出。</w:t>
      </w:r>
    </w:p>
    <w:p>
      <w:pPr>
        <w:pStyle w:val="8"/>
        <w:rPr>
          <w:rFonts w:ascii="仿宋_GB2312" w:eastAsia="仿宋_GB2312" w:cs="FZFangSong-Z02"/>
          <w:sz w:val="32"/>
          <w:szCs w:val="32"/>
        </w:rPr>
      </w:pPr>
      <w:r>
        <w:rPr>
          <w:rFonts w:hint="eastAsia" w:ascii="仿宋_GB2312" w:eastAsia="仿宋_GB2312"/>
          <w:b/>
          <w:bCs/>
          <w:sz w:val="32"/>
          <w:szCs w:val="32"/>
        </w:rPr>
        <w:t xml:space="preserve">    7</w:t>
      </w:r>
      <w:r>
        <w:rPr>
          <w:rFonts w:hint="eastAsia" w:ascii="仿宋_GB2312" w:eastAsia="仿宋_GB2312" w:cs="FZFangSong-Z02"/>
          <w:sz w:val="32"/>
          <w:szCs w:val="32"/>
        </w:rPr>
        <w:t>、</w:t>
      </w:r>
      <w:r>
        <w:rPr>
          <w:rFonts w:hint="eastAsia" w:ascii="仿宋_GB2312" w:eastAsia="仿宋_GB2312"/>
          <w:b/>
          <w:bCs/>
          <w:sz w:val="32"/>
          <w:szCs w:val="32"/>
        </w:rPr>
        <w:t>“</w:t>
      </w:r>
      <w:r>
        <w:rPr>
          <w:rFonts w:hint="eastAsia" w:ascii="仿宋_GB2312" w:eastAsia="仿宋_GB2312" w:cs="FZFangSong-Z02"/>
          <w:sz w:val="32"/>
          <w:szCs w:val="32"/>
        </w:rPr>
        <w:t>三公</w:t>
      </w:r>
      <w:r>
        <w:rPr>
          <w:rFonts w:hint="eastAsia" w:ascii="仿宋_GB2312" w:eastAsia="仿宋_GB2312"/>
          <w:b/>
          <w:bCs/>
          <w:sz w:val="32"/>
          <w:szCs w:val="32"/>
        </w:rPr>
        <w:t>”</w:t>
      </w:r>
      <w:r>
        <w:rPr>
          <w:rFonts w:hint="eastAsia" w:ascii="仿宋_GB2312" w:eastAsia="仿宋_GB2312" w:cs="FZFangSong-Z02"/>
          <w:sz w:val="32"/>
          <w:szCs w:val="32"/>
        </w:rPr>
        <w:t>经费：纳入市级财政预算管理的</w:t>
      </w:r>
      <w:r>
        <w:rPr>
          <w:rFonts w:hint="eastAsia" w:ascii="仿宋_GB2312" w:eastAsia="仿宋_GB2312"/>
          <w:sz w:val="32"/>
          <w:szCs w:val="32"/>
        </w:rPr>
        <w:t>“</w:t>
      </w:r>
      <w:r>
        <w:rPr>
          <w:rFonts w:hint="eastAsia" w:ascii="仿宋_GB2312" w:eastAsia="仿宋_GB2312" w:cs="FZFangSong-Z02"/>
          <w:sz w:val="32"/>
          <w:szCs w:val="32"/>
        </w:rPr>
        <w:t>三公</w:t>
      </w:r>
      <w:r>
        <w:rPr>
          <w:rFonts w:hint="eastAsia" w:ascii="仿宋_GB2312" w:eastAsia="仿宋_GB2312"/>
          <w:sz w:val="32"/>
          <w:szCs w:val="32"/>
        </w:rPr>
        <w:t>”</w:t>
      </w:r>
      <w:r>
        <w:rPr>
          <w:rFonts w:hint="eastAsia" w:ascii="仿宋_GB2312" w:eastAsia="仿宋_GB2312" w:cs="FZFangSong-Z02"/>
          <w:sz w:val="32"/>
          <w:szCs w:val="32"/>
        </w:rPr>
        <w:t>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rPr>
          <w:rFonts w:ascii="仿宋_GB2312" w:eastAsia="仿宋_GB2312" w:cs="FZFangSong-Z02"/>
          <w:sz w:val="32"/>
          <w:szCs w:val="32"/>
        </w:rPr>
      </w:pPr>
      <w:r>
        <w:rPr>
          <w:rFonts w:hint="eastAsia" w:ascii="仿宋_GB2312" w:eastAsia="仿宋_GB2312"/>
          <w:b/>
          <w:bCs/>
          <w:sz w:val="32"/>
          <w:szCs w:val="32"/>
        </w:rPr>
        <w:t xml:space="preserve">    8</w:t>
      </w:r>
      <w:r>
        <w:rPr>
          <w:rFonts w:hint="eastAsia" w:ascii="仿宋_GB2312" w:eastAsia="仿宋_GB2312" w:cs="FZFangSong-Z02"/>
          <w:sz w:val="32"/>
          <w:szCs w:val="32"/>
        </w:rPr>
        <w:t>、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w:t>
      </w:r>
      <w:r>
        <w:rPr>
          <w:rFonts w:hint="eastAsia" w:ascii="仿宋_GB2312" w:eastAsia="仿宋_GB2312"/>
          <w:sz w:val="32"/>
          <w:szCs w:val="32"/>
        </w:rPr>
        <w:t>其他费用。</w:t>
      </w:r>
    </w:p>
    <w:p>
      <w:pPr>
        <w:widowControl/>
        <w:spacing w:line="360" w:lineRule="atLeast"/>
        <w:jc w:val="left"/>
        <w:rPr>
          <w:rFonts w:ascii="仿宋_GB2312" w:eastAsia="仿宋_GB2312" w:cs="宋体"/>
          <w:color w:val="000000"/>
          <w:kern w:val="0"/>
          <w:sz w:val="32"/>
          <w:szCs w:val="32"/>
        </w:rPr>
      </w:pPr>
      <w:r>
        <w:rPr>
          <w:rFonts w:hint="eastAsia" w:ascii="黑体" w:eastAsia="黑体" w:cs="宋体"/>
          <w:b/>
          <w:bCs/>
          <w:color w:val="000000"/>
          <w:kern w:val="0"/>
          <w:sz w:val="32"/>
          <w:szCs w:val="32"/>
        </w:rPr>
        <w:t>九、其它需要说明的事项</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无其它需要说明的事项。</w:t>
      </w:r>
    </w:p>
    <w:sectPr>
      <w:pgSz w:w="16838" w:h="11906" w:orient="landscape"/>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ZFangSong-Z0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2"/>
  </w:compat>
  <w:rsids>
    <w:rsidRoot w:val="00567490"/>
    <w:rsid w:val="00567490"/>
    <w:rsid w:val="00B22203"/>
    <w:rsid w:val="00DD4FE6"/>
    <w:rsid w:val="3DBC7155"/>
    <w:rsid w:val="603846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b/>
      <w:bCs/>
    </w:rPr>
  </w:style>
  <w:style w:type="character" w:customStyle="1" w:styleId="7">
    <w:name w:val="apple-converted-space"/>
    <w:basedOn w:val="5"/>
    <w:qFormat/>
    <w:uiPriority w:val="0"/>
  </w:style>
  <w:style w:type="paragraph" w:customStyle="1" w:styleId="8">
    <w:name w:val="Default"/>
    <w:next w:val="3"/>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29</Pages>
  <Words>919</Words>
  <Characters>5242</Characters>
  <Lines>43</Lines>
  <Paragraphs>12</Paragraphs>
  <TotalTime>5</TotalTime>
  <ScaleCrop>false</ScaleCrop>
  <LinksUpToDate>false</LinksUpToDate>
  <CharactersWithSpaces>6149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2017-10-27T10:04:00Z</dcterms:created>
  <dc:creator>lenovo</dc:creator>
  <cp:lastModifiedBy>111</cp:lastModifiedBy>
  <dcterms:modified xsi:type="dcterms:W3CDTF">2024-05-15T07:55:03Z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DF6D58C6C8DF406B80DC216DBFA670BE</vt:lpwstr>
  </property>
</Properties>
</file>