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廊坊市广阳区司法局201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1" w:name="_GoBack"/>
      <w:bookmarkEnd w:id="1"/>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司法局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pStyle w:val="8"/>
        <w:widowControl/>
        <w:numPr>
          <w:ilvl w:val="0"/>
          <w:numId w:val="1"/>
        </w:numPr>
        <w:spacing w:line="570" w:lineRule="exact"/>
        <w:ind w:left="420" w:leftChars="200" w:firstLine="0" w:firstLineChars="0"/>
        <w:jc w:val="left"/>
        <w:rPr>
          <w:rFonts w:ascii="宋体" w:eastAsia="宋体" w:cs="宋体"/>
          <w:kern w:val="0"/>
          <w:sz w:val="32"/>
          <w:szCs w:val="32"/>
        </w:rPr>
      </w:pPr>
      <w:r>
        <w:rPr>
          <w:rFonts w:hint="eastAsia" w:ascii="黑体" w:eastAsia="黑体" w:cs="宋体"/>
          <w:b/>
          <w:bCs/>
          <w:color w:val="000000"/>
          <w:kern w:val="0"/>
          <w:sz w:val="32"/>
          <w:szCs w:val="32"/>
        </w:rPr>
        <w:t>部门职责及机构设置情况</w:t>
      </w:r>
    </w:p>
    <w:p>
      <w:pPr>
        <w:pStyle w:val="8"/>
        <w:widowControl/>
        <w:spacing w:line="570" w:lineRule="exact"/>
        <w:ind w:left="420" w:firstLine="0" w:firstLineChars="0"/>
        <w:jc w:val="left"/>
        <w:rPr>
          <w:rFonts w:hint="eastAsia" w:ascii="仿宋_GB2312" w:eastAsia="仿宋_GB2312" w:cs="宋体"/>
          <w:kern w:val="0"/>
          <w:sz w:val="32"/>
          <w:szCs w:val="32"/>
        </w:rPr>
      </w:pPr>
      <w:r>
        <w:rPr>
          <w:rFonts w:hint="eastAsia" w:ascii="仿宋_GB2312" w:eastAsia="仿宋_GB2312" w:cs="宋体"/>
          <w:bCs/>
          <w:kern w:val="0"/>
          <w:sz w:val="32"/>
          <w:szCs w:val="32"/>
        </w:rPr>
        <w:t>部门职责：</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（一）贯彻落实国家有关司法工作的法律、法规及司法行政工作方针政策；制订全区司法行政系统规章、制度，编制全区司法行政工作中期规划、年度计划并组织实施。</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（二）制订全区法制宣传、普及法律常识的规划并组织实施，指导全区各单位、各部门、各行业法制宣传、依法治理工作。</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（三）负责全区社区矫正工作。</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（四）指导、监督全区律师工作和法律顾问工作，对全区法律服务所进行管理。</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（五）指导、监督各乡镇（街办处）司法所、法律服务所建设和人民调解、基层法律服务和安置帮教工作；指导全区人民调解员协会工作。</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（六）监督管理全区的法律援助工作。</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（七）负责机关和下属单位的经费、国有资产进行管理和监督。</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（八）指导、监督全区司法鉴定人和司法鉴定机构工作。</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（九）管理和指导全区司法行政系统的队伍建设和思想政治工作；负责全区司法行政系统警务管理和警务督察工作。</w:t>
      </w:r>
    </w:p>
    <w:p>
      <w:pPr>
        <w:pStyle w:val="8"/>
        <w:widowControl/>
        <w:spacing w:line="570" w:lineRule="exact"/>
        <w:ind w:left="420" w:leftChars="200" w:firstLine="200" w:firstLineChars="0"/>
        <w:jc w:val="left"/>
        <w:rPr>
          <w:rFonts w:hint="eastAsia" w:ascii="仿宋_GB2312" w:eastAsia="仿宋_GB2312" w:cs="宋体"/>
          <w:kern w:val="0"/>
          <w:sz w:val="32"/>
          <w:szCs w:val="32"/>
        </w:rPr>
      </w:pPr>
      <w:r>
        <w:rPr>
          <w:rFonts w:hint="eastAsia" w:ascii="仿宋_GB2312" w:eastAsia="仿宋_GB2312" w:cs="宋体"/>
          <w:kern w:val="0"/>
          <w:sz w:val="32"/>
          <w:szCs w:val="32"/>
        </w:rPr>
        <w:t>（十）承担区政府和上级机关交办的其他事项。</w:t>
      </w:r>
    </w:p>
    <w:p>
      <w:pPr>
        <w:widowControl/>
        <w:spacing w:line="570" w:lineRule="exac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三、部门预算安排的总体情况</w:t>
      </w:r>
    </w:p>
    <w:p>
      <w:pPr>
        <w:widowControl/>
        <w:spacing w:line="570" w:lineRule="exact"/>
        <w:ind w:firstLine="640" w:firstLineChars="200"/>
        <w:jc w:val="left"/>
        <w:rPr>
          <w:rFonts w:hint="eastAsia" w:ascii="仿宋_GB2312" w:eastAsia="仿宋_GB2312" w:cs="宋体"/>
          <w:bCs/>
          <w:kern w:val="0"/>
          <w:sz w:val="32"/>
          <w:szCs w:val="32"/>
        </w:rPr>
      </w:pPr>
      <w:r>
        <w:rPr>
          <w:rFonts w:hint="eastAsia" w:ascii="仿宋_GB2312" w:eastAsia="仿宋_GB2312" w:cs="宋体"/>
          <w:kern w:val="0"/>
          <w:sz w:val="32"/>
          <w:szCs w:val="32"/>
        </w:rPr>
        <w:t>按照预算管理有关规定，目前我区部门预算的编制实行综合预算制度，即全部收入和支出都反映在预算中。</w:t>
      </w:r>
    </w:p>
    <w:p>
      <w:pPr>
        <w:widowControl/>
        <w:spacing w:line="570" w:lineRule="exact"/>
        <w:ind w:left="640" w:leftChars="228" w:hanging="161" w:hangingChars="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17"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95"/>
        <w:gridCol w:w="2075"/>
        <w:gridCol w:w="1790"/>
        <w:gridCol w:w="42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19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90"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5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19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廊坊市广阳区司法局</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790"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科级</w:t>
            </w:r>
          </w:p>
        </w:tc>
        <w:tc>
          <w:tcPr>
            <w:tcW w:w="425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kern w:val="0"/>
          <w:sz w:val="32"/>
          <w:szCs w:val="32"/>
        </w:rPr>
        <w:t>  按照预算管理有关规定，目前我区部门预算的编制实行综合预</w:t>
      </w:r>
      <w:r>
        <w:rPr>
          <w:rFonts w:hint="eastAsia" w:ascii="仿宋_GB2312" w:eastAsia="仿宋_GB2312" w:cs="宋体"/>
          <w:color w:val="000000"/>
          <w:kern w:val="0"/>
          <w:sz w:val="32"/>
          <w:szCs w:val="32"/>
        </w:rPr>
        <w:t>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司法局</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466.34</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466.34</w:t>
      </w:r>
      <w:r>
        <w:rPr>
          <w:rFonts w:hint="eastAsia" w:ascii="仿宋_GB2312" w:eastAsia="仿宋_GB2312" w:cs="宋体"/>
          <w:color w:val="000000"/>
          <w:kern w:val="0"/>
          <w:sz w:val="32"/>
          <w:szCs w:val="32"/>
        </w:rPr>
        <w:t>万元，政府性基金收入0万元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hint="eastAsia" w:ascii="仿宋_GB2312" w:eastAsia="仿宋_GB2312" w:cs="宋体"/>
          <w:color w:val="000000"/>
          <w:kern w:val="0"/>
          <w:sz w:val="32"/>
          <w:szCs w:val="32"/>
          <w:lang w:eastAsia="zh-CN"/>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廊坊市广阳区司法局</w:t>
      </w:r>
      <w:r>
        <w:rPr>
          <w:rFonts w:ascii="仿宋_GB2312" w:eastAsia="仿宋_GB2312" w:cs="宋体"/>
          <w:color w:val="000000"/>
          <w:kern w:val="0"/>
          <w:sz w:val="32"/>
          <w:szCs w:val="32"/>
        </w:rPr>
        <w:t>年度部门预算中支出预算的总体情况。2018年支出预算466.34万元，其中基本支出402.51万元，包括人员经费</w:t>
      </w:r>
      <w:r>
        <w:rPr>
          <w:rFonts w:hint="eastAsia" w:ascii="仿宋_GB2312" w:eastAsia="仿宋_GB2312" w:cs="宋体"/>
          <w:color w:val="000000"/>
          <w:kern w:val="0"/>
          <w:sz w:val="32"/>
          <w:szCs w:val="32"/>
          <w:lang w:val="en-US" w:eastAsia="zh-CN"/>
        </w:rPr>
        <w:t>369.74万元</w:t>
      </w:r>
      <w:r>
        <w:rPr>
          <w:rFonts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lang w:val="en-US" w:eastAsia="zh-CN"/>
        </w:rPr>
        <w:t>32.77万元</w:t>
      </w:r>
      <w:r>
        <w:rPr>
          <w:rFonts w:ascii="仿宋_GB2312" w:eastAsia="仿宋_GB2312" w:cs="宋体"/>
          <w:color w:val="000000"/>
          <w:kern w:val="0"/>
          <w:sz w:val="32"/>
          <w:szCs w:val="32"/>
        </w:rPr>
        <w:t>；项目支出63.83万元</w:t>
      </w:r>
      <w:r>
        <w:rPr>
          <w:rFonts w:hint="eastAsia" w:ascii="仿宋_GB2312" w:eastAsia="仿宋_GB2312" w:cs="宋体"/>
          <w:color w:val="000000"/>
          <w:kern w:val="0"/>
          <w:sz w:val="32"/>
          <w:szCs w:val="32"/>
          <w:lang w:eastAsia="zh-CN"/>
        </w:rPr>
        <w:t>，主要为普法宣传经费、社区矫正经费、政法公检法司转移支付资金。</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年预算收支安排466.34万元，较201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156.85</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144.05</w:t>
      </w:r>
      <w:r>
        <w:rPr>
          <w:rFonts w:hint="eastAsia" w:ascii="仿宋_GB2312" w:eastAsia="仿宋_GB2312" w:cs="宋体"/>
          <w:color w:val="000000"/>
          <w:kern w:val="0"/>
          <w:sz w:val="32"/>
          <w:szCs w:val="32"/>
        </w:rPr>
        <w:t>万元，主要为公务员工资增加；项目支出增加</w:t>
      </w:r>
      <w:r>
        <w:rPr>
          <w:rFonts w:ascii="仿宋_GB2312" w:eastAsia="仿宋_GB2312" w:cs="宋体"/>
          <w:color w:val="000000"/>
          <w:kern w:val="0"/>
          <w:sz w:val="32"/>
          <w:szCs w:val="32"/>
        </w:rPr>
        <w:t>12.8</w:t>
      </w:r>
      <w:r>
        <w:rPr>
          <w:rFonts w:hint="eastAsia" w:ascii="仿宋_GB2312" w:eastAsia="仿宋_GB2312" w:cs="宋体"/>
          <w:color w:val="000000"/>
          <w:kern w:val="0"/>
          <w:sz w:val="32"/>
          <w:szCs w:val="32"/>
        </w:rPr>
        <w:t>万元，主要增加</w:t>
      </w:r>
      <w:r>
        <w:rPr>
          <w:rFonts w:ascii="仿宋_GB2312" w:eastAsia="仿宋_GB2312" w:cs="宋体"/>
          <w:color w:val="000000"/>
          <w:kern w:val="0"/>
          <w:sz w:val="32"/>
          <w:szCs w:val="32"/>
        </w:rPr>
        <w:t>普法宣传等项目支出</w:t>
      </w:r>
      <w:r>
        <w:rPr>
          <w:rFonts w:hint="eastAsia" w:ascii="仿宋_GB2312" w:eastAsia="仿宋_GB2312" w:cs="宋体"/>
          <w:color w:val="000000"/>
          <w:kern w:val="0"/>
          <w:sz w:val="32"/>
          <w:szCs w:val="32"/>
        </w:rPr>
        <w:t>。</w:t>
      </w:r>
    </w:p>
    <w:p>
      <w:pPr>
        <w:widowControl/>
        <w:spacing w:line="570" w:lineRule="exact"/>
        <w:ind w:firstLine="643" w:firstLineChars="200"/>
        <w:jc w:val="left"/>
        <w:rPr>
          <w:rFonts w:ascii="黑体" w:eastAsia="黑体" w:cs="宋体"/>
          <w:b/>
          <w:bCs/>
          <w:color w:val="000000"/>
          <w:kern w:val="0"/>
          <w:sz w:val="32"/>
          <w:szCs w:val="32"/>
        </w:rPr>
      </w:pP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0.89</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0.89</w:t>
      </w:r>
      <w:r>
        <w:rPr>
          <w:rFonts w:hint="eastAsia" w:ascii="仿宋_GB2312" w:eastAsia="仿宋_GB2312" w:cs="宋体"/>
          <w:color w:val="000000"/>
          <w:kern w:val="0"/>
          <w:sz w:val="32"/>
          <w:szCs w:val="32"/>
        </w:rPr>
        <w:t>万元，其他业务费无。主要用于机关办公区的日常维修、办公用房水电费、办公用房取暖费、办公用房物业管理费等日常运行支出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ind w:firstLine="643" w:firstLineChars="200"/>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kern w:val="0"/>
          <w:sz w:val="32"/>
          <w:szCs w:val="32"/>
        </w:rPr>
        <w:t>年，我部门“三公”经费预算安排6.9万元，其中因公出国（境）费0万元；公务用车购置及运维费6.9万元（其中：公</w:t>
      </w:r>
      <w:r>
        <w:rPr>
          <w:rFonts w:hint="eastAsia" w:ascii="仿宋_GB2312" w:eastAsia="仿宋_GB2312" w:cs="宋体"/>
          <w:color w:val="000000"/>
          <w:kern w:val="0"/>
          <w:sz w:val="32"/>
          <w:szCs w:val="32"/>
        </w:rPr>
        <w:t>务用车购置费为0万元，公务用车运行费为6.9万元)；公务接待费0万元。</w:t>
      </w:r>
      <w:r>
        <w:rPr>
          <w:rFonts w:hint="eastAsia" w:ascii="仿宋_GB2312" w:eastAsia="仿宋_GB2312" w:cs="仿宋_GB2312"/>
          <w:color w:val="000000"/>
          <w:kern w:val="0"/>
          <w:sz w:val="32"/>
          <w:szCs w:val="32"/>
        </w:rPr>
        <w:t>较2017年增加6.9万元，主要原因是2017年我部门无“三公”经费预算安排。</w:t>
      </w:r>
    </w:p>
    <w:p>
      <w:pPr>
        <w:autoSpaceDE w:val="0"/>
        <w:autoSpaceDN w:val="0"/>
        <w:adjustRightInd w:val="0"/>
        <w:spacing w:line="570" w:lineRule="exact"/>
        <w:ind w:left="198" w:firstLine="643" w:firstLineChars="200"/>
        <w:jc w:val="left"/>
        <w:rPr>
          <w:rFonts w:ascii="黑体" w:eastAsia="黑体" w:cs="宋体"/>
          <w:b/>
          <w:bCs/>
          <w:color w:val="000000"/>
          <w:kern w:val="0"/>
          <w:sz w:val="32"/>
          <w:szCs w:val="32"/>
        </w:rPr>
      </w:pPr>
      <w:r>
        <w:rPr>
          <w:rFonts w:hint="eastAsia" w:ascii="黑体" w:eastAsia="黑体" w:cs="宋体"/>
          <w:b/>
          <w:bCs/>
          <w:color w:val="000000"/>
          <w:kern w:val="0"/>
          <w:sz w:val="32"/>
          <w:szCs w:val="32"/>
        </w:rPr>
        <w:t>五、绩效预算信息</w:t>
      </w:r>
    </w:p>
    <w:p>
      <w:pPr>
        <w:autoSpaceDE w:val="0"/>
        <w:autoSpaceDN w:val="0"/>
        <w:adjustRightInd w:val="0"/>
        <w:spacing w:line="570" w:lineRule="exact"/>
        <w:ind w:left="198" w:firstLine="643" w:firstLineChars="20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总体绩效目标：</w:t>
      </w:r>
    </w:p>
    <w:p>
      <w:pPr>
        <w:autoSpaceDE w:val="0"/>
        <w:autoSpaceDN w:val="0"/>
        <w:adjustRightInd w:val="0"/>
        <w:spacing w:line="570" w:lineRule="exact"/>
        <w:ind w:left="198"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2018年全区司法行政工作将继续围绕“精良管理当先锋，高端发展做贡献”主题实践活动，和政法干警核心价值观教育实践活动，深入开展社会矛盾化解、社会管理创新、公正廉洁执法和干部队伍建设四项重点任务，积极拓展矛盾纠纷调解、法律服务、法制宣传领域，进一步加强基层基础建设和队伍建设，深化司法行政体制改革和工作机制改革，努力提高司法行政工作专业化、规范化、法制化、信息化水平。</w:t>
      </w:r>
    </w:p>
    <w:p>
      <w:pPr>
        <w:autoSpaceDE w:val="0"/>
        <w:autoSpaceDN w:val="0"/>
        <w:adjustRightInd w:val="0"/>
        <w:spacing w:line="570" w:lineRule="exact"/>
        <w:ind w:left="198" w:firstLine="643" w:firstLineChars="20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职责分类绩效目标：</w:t>
      </w:r>
    </w:p>
    <w:p>
      <w:pPr>
        <w:jc w:val="left"/>
        <w:outlineLvl w:val="0"/>
        <w:rPr>
          <w:rFonts w:hint="eastAsia" w:ascii="方正小标宋_GBK" w:eastAsia="方正小标宋_GBK"/>
          <w:sz w:val="32"/>
        </w:rPr>
      </w:pPr>
      <w:r>
        <w:rPr>
          <w:rFonts w:hint="eastAsia" w:ascii="仿宋_GB2312" w:eastAsia="仿宋_GB2312" w:cs="宋体"/>
          <w:kern w:val="0"/>
          <w:sz w:val="32"/>
          <w:szCs w:val="32"/>
        </w:rPr>
        <w:t>（一）贯彻落实国家有关司法工作的法律、法规及司法行政工作方针政策；制订全区司法行政系统规章、制度，编制全区司法行政工作中期规划、年度计划并组织实施。</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（二）制订全区法制宣传、普及法律常识的规划并组织实施，指导全区各单位、各部门、各行业法制宣传、依法治理工作。</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（三）负责全区社区矫正工作。</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（四）指导、监督全区律师工作和法律顾问工作，对全区法律服务所进行管理。</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（五）指导、监督各乡镇（街办处）司法所、法律服务所建设和人民调解、基层法律服务和安置帮教工作；指导全区人民调解员协会工作。</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（六）监督管理全区的法律援助工作。</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（七）负责机关和下属单位的经费、国有资产进行管理和监督。</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（八）指导、监督全区司法鉴定人和司法鉴定机构工作。</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（九）管理和指导全区司法行政系统的队伍建设和思想政治工作；负责全区司法行政系统警务管理和警务督察工作。</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（十）承担区政府和上级机关交办的其他事项。</w:t>
      </w:r>
      <w:r>
        <w:rPr>
          <w:rFonts w:hint="eastAsia" w:ascii="仿宋_GB2312" w:eastAsia="仿宋_GB2312" w:cs="宋体"/>
          <w:kern w:val="0"/>
          <w:sz w:val="32"/>
          <w:szCs w:val="32"/>
        </w:rPr>
        <w:br w:type="textWrapping"/>
      </w:r>
      <w:r>
        <w:rPr>
          <w:rFonts w:hint="eastAsia" w:ascii="宋体" w:hAnsi="宋体" w:eastAsia="仿宋_GB2312" w:cs="宋体"/>
          <w:color w:val="000000"/>
          <w:kern w:val="0"/>
          <w:sz w:val="32"/>
          <w:szCs w:val="32"/>
        </w:rPr>
        <w:t>  </w:t>
      </w:r>
      <w:bookmarkStart w:id="0" w:name="_Toc505072792"/>
      <w:r>
        <w:rPr>
          <w:rFonts w:hint="eastAsia" w:ascii="宋体" w:hAnsi="宋体" w:eastAsia="仿宋_GB2312" w:cs="宋体"/>
          <w:color w:val="000000"/>
          <w:kern w:val="0"/>
          <w:sz w:val="32"/>
          <w:szCs w:val="32"/>
          <w:lang w:val="en-US" w:eastAsia="zh-CN"/>
        </w:rPr>
        <w:t xml:space="preserve">                     </w:t>
      </w:r>
      <w:r>
        <w:rPr>
          <w:rFonts w:hint="eastAsia" w:ascii="方正小标宋_GBK" w:eastAsia="方正小标宋_GBK"/>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375廊坊市广阳区司法局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一、司法行政管理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贯彻落实国家司法行政工作方针政策；拟订有关法规规章，制定全区司法行政中长期规划并组织实施。</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提升全区司法行政管理水平</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1、普法宣传</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拟订全区法制宣传教育规划并组织实施；指导全市法制宣传、依法治理工作；组织、指导法制宣传报道；组织全区司法行政系统的宣传；承担全区法制教育领导小组办公室工作。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提高全区人民法律意识和法律素质，增强法治化管理水平，促进全区民主与法制建设。</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宣传资料印刷与散发宣传资料</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组织领导干部及行政执法人员法治培训次数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网络舆情处置率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普法考核通过率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督导检查和验收次数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组织主题宣传活动场次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1400.00%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1800.00%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2、律师公证管理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指导、监督全区律师工作、公证工作并承担相应责任；指导全区律师协会、全区公证员协会。</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充分发挥法律服务职能，规范律师、公证行业管理。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年检机构满意率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98.00%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协会指导工作完成情况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圆满完成工作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提供法律咨询数量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98.00%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机构年检率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3、基层司法业务指导</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指导、监督全区社区矫正、人民调解、安置帮教、基层法律服务和基层司法所工作，负责全区基层法律服务工作者执业核准；会同人民法院指导人民陪审员工作；指导人民调解员协会工作。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深化人民调解、社区矫正和安置帮教工作，最大限度降低重新违法犯罪和社会不稳定因素发生率。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人民调解案件数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27000.00%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31000.00%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人民调解民调通·领导通</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15000.00%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人民调解委员会指导工作完成情况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再犯罪减低率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千分之一</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千分之二</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千分之三</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服刑人员信息核查率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安置帮教率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新入矫人员心理矫正</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入矫人员司法e通手机定位监管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社区矫正人员集中教育率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政府购买方式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98.00%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强化与北京接边全区辖5个乡镇、5个办事处</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98.00%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积极推进司法所外观标识规范化、所务管理规范化、办公设施齐备、网络平台，与京津冀协调发展</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4、法律援助</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指导、检查全区法律援助工作；规划法律援助事业发展布局；监督管理全区法律援助机构和法律援助从业人员；办理法律援助案件，政府购买法律服务；管理“7803148”法律援助专线。</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建立完善的法律援助法律法规体系、工作体制和机制，扩大法律援助覆盖面，推动全市法律援助工作长足发展。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法律援助案件受理数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4300.00%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政府购买法律服务一村（居委会）一律师</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法律援助案件群众满意度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法律援助咨询解答率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印制法律援助宣传资料</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法律援助案件指派率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5、司法鉴定管理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拟定全区司法鉴定管理规定和技术规范；完成全区司法鉴定人和司法鉴定机构登记管理工作；负责区级司法鉴定机构的遴选和管理工作；指导面向社会的司法鉴定资质管理、质量管理和司法鉴定人继续教育培训。</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规范司法鉴定机构和司法鉴定人的管理，提高司法鉴定人员素质，促进司法鉴定的公正、公平。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年度新许可司法鉴定人参加转岗培训率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98.00%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参加司法鉴定人培训率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司法鉴定机构年检率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圆满完成工作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司法鉴定准确率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97.00%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6、一村（居）一法律顾问</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指导、协助做好村（居）自治管理、协助村（居）委会做好疑难矛盾纠纷排查调解工作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实现全区“一村（居）一法律顾问”的工作目标，使村（居）法律服务更加便民快捷。</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提供法律咨询数量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98.00%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政府购买法律服务一村（居委会）一律师</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积极推进完善与司法调解衔接联动机制。促进诉讼与人民调解程序的无缝对接，增强人民调解工作的公信力。</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二、司法政务管理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55.83</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负责系统综合业务管理和机关直属事业单位综合事务管理。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提高司法行政系统执法能力</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55.83</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负责系统物资装备管理；中央国债资金管理；指导监督系统计划财务工作；指导监督系统队伍建设；负责系统警务管理和警务督察工作。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加强机关后勤保障，确保正常办公环境需要</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监督率100%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按时办结率100%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督导夯实</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较好完成工作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各项保障工作完成率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p>
        </w:tc>
      </w:tr>
    </w:tbl>
    <w:p>
      <w:pPr>
        <w:widowControl/>
        <w:spacing w:line="570" w:lineRule="exact"/>
        <w:jc w:val="left"/>
        <w:rPr>
          <w:rFonts w:ascii="宋体" w:hAnsi="宋体" w:eastAsia="仿宋_GB2312" w:cs="宋体"/>
          <w:color w:val="000000"/>
          <w:kern w:val="0"/>
          <w:sz w:val="32"/>
          <w:szCs w:val="32"/>
        </w:rPr>
      </w:pPr>
    </w:p>
    <w:p>
      <w:pPr>
        <w:widowControl/>
        <w:spacing w:line="570" w:lineRule="exact"/>
        <w:jc w:val="left"/>
        <w:rPr>
          <w:rFonts w:ascii="仿宋_GB2312" w:eastAsia="仿宋_GB2312" w:cs="宋体"/>
          <w:color w:val="000000"/>
          <w:kern w:val="0"/>
          <w:sz w:val="32"/>
          <w:szCs w:val="32"/>
        </w:rPr>
      </w:pPr>
      <w:r>
        <w:rPr>
          <w:rFonts w:ascii="宋体" w:hAnsi="宋体" w:eastAsia="仿宋_GB2312" w:cs="宋体"/>
          <w:color w:val="000000"/>
          <w:kern w:val="0"/>
          <w:sz w:val="32"/>
          <w:szCs w:val="32"/>
        </w:rPr>
        <w:br w:type="page"/>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年，我部门未安排政府采购预算，具体内容见下表。</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6"/>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7"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lang w:val="en-US" w:eastAsia="zh-CN"/>
              </w:rPr>
              <w:t>375</w:t>
            </w:r>
            <w:r>
              <w:rPr>
                <w:rFonts w:hint="eastAsia" w:ascii="仿宋_GB2312" w:eastAsia="仿宋_GB2312" w:cs="Times New Roman"/>
                <w:sz w:val="28"/>
                <w:szCs w:val="28"/>
              </w:rPr>
              <w:t>廊坊市广阳区司法局</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6"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6"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6"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7"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6"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7"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6"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7" w:type="dxa"/>
            <w:shd w:val="clear" w:color="auto" w:fill="auto"/>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6"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7" w:type="dxa"/>
            <w:shd w:val="clear" w:color="auto" w:fill="auto"/>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6"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7" w:type="dxa"/>
            <w:shd w:val="clear" w:color="auto" w:fill="auto"/>
            <w:vAlign w:val="center"/>
          </w:tcPr>
          <w:p>
            <w:pPr>
              <w:spacing w:line="570" w:lineRule="exact"/>
              <w:jc w:val="center"/>
              <w:rPr>
                <w:rFonts w:ascii="仿宋_GB2312" w:eastAsia="仿宋_GB2312" w:cs="Times New Roman"/>
                <w:sz w:val="28"/>
                <w:szCs w:val="28"/>
              </w:rPr>
            </w:pPr>
          </w:p>
        </w:tc>
      </w:tr>
    </w:tbl>
    <w:p>
      <w:pPr>
        <w:widowControl/>
        <w:spacing w:line="570" w:lineRule="exact"/>
        <w:ind w:left="160"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广阳区司法局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上年末固定资产金额为265.72万元，我部门本年度</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拟购置固定资产，详见下表。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375</w:t>
            </w:r>
            <w:r>
              <w:rPr>
                <w:rFonts w:hint="eastAsia" w:ascii="仿宋_GB2312" w:eastAsia="仿宋_GB2312" w:cs="宋体"/>
                <w:b/>
                <w:bCs/>
                <w:kern w:val="0"/>
                <w:sz w:val="28"/>
                <w:szCs w:val="28"/>
              </w:rPr>
              <w:t>廊坊市广阳区司法局</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265.72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635.5</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635.5</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147.26</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FZFangSong-Z02">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30DBC"/>
    <w:multiLevelType w:val="multilevel"/>
    <w:tmpl w:val="60A30DBC"/>
    <w:lvl w:ilvl="0" w:tentative="0">
      <w:start w:val="1"/>
      <w:numFmt w:val="japaneseCounting"/>
      <w:lvlText w:val="%1、"/>
      <w:lvlJc w:val="left"/>
      <w:pPr>
        <w:tabs>
          <w:tab w:val="left" w:pos="0"/>
        </w:tabs>
        <w:ind w:left="720" w:hanging="720"/>
      </w:pPr>
      <w:rPr>
        <w:rFonts w:hint="default" w:ascii="黑体" w:hAnsi="黑体" w:eastAsia="黑体"/>
        <w:b/>
        <w:sz w:val="32"/>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8584BB4"/>
    <w:rsid w:val="4B8E35C6"/>
    <w:rsid w:val="5AF81591"/>
    <w:rsid w:val="61E11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21</Pages>
  <Words>5138</Words>
  <Characters>5539</Characters>
  <Lines>815</Lines>
  <Paragraphs>359</Paragraphs>
  <TotalTime>0</TotalTime>
  <ScaleCrop>false</ScaleCrop>
  <LinksUpToDate>false</LinksUpToDate>
  <CharactersWithSpaces>5610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2024-01-18T01:50:26Z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EF27209715A64E2695DE68CEB7D323D8</vt:lpwstr>
  </property>
</Properties>
</file>