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廊坊市广阳区司法局201</w:t>
      </w:r>
      <w:r>
        <w:rPr>
          <w:rFonts w:ascii="方正小标宋简体" w:eastAsia="方正小标宋简体" w:cs="宋体"/>
          <w:b/>
          <w:bCs/>
          <w:color w:val="000000"/>
          <w:kern w:val="0"/>
          <w:sz w:val="44"/>
          <w:szCs w:val="44"/>
        </w:rPr>
        <w:t>8</w:t>
      </w:r>
      <w:r>
        <w:rPr>
          <w:rFonts w:hint="eastAsia" w:ascii="方正小标宋简体" w:eastAsia="方正小标宋简体" w:cs="宋体"/>
          <w:b/>
          <w:bCs/>
          <w:color w:val="000000"/>
          <w:kern w:val="0"/>
          <w:sz w:val="44"/>
          <w:szCs w:val="44"/>
        </w:rPr>
        <w:t>年部门预算信息公开</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1" w:name="_GoBack"/>
      <w:bookmarkEnd w:id="1"/>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w:t>
      </w:r>
      <w:r>
        <w:rPr>
          <w:rFonts w:ascii="仿宋_GB2312" w:eastAsia="仿宋_GB2312" w:cs="宋体"/>
          <w:color w:val="000000"/>
          <w:kern w:val="0"/>
          <w:sz w:val="32"/>
          <w:szCs w:val="32"/>
        </w:rPr>
        <w:t>司法局</w:t>
      </w:r>
      <w:r>
        <w:rPr>
          <w:rFonts w:hint="eastAsia" w:ascii="仿宋_GB2312" w:eastAsia="仿宋_GB2312"/>
          <w:sz w:val="32"/>
          <w:szCs w:val="32"/>
        </w:rPr>
        <w:t>201</w:t>
      </w:r>
      <w:r>
        <w:rPr>
          <w:rFonts w:ascii="仿宋_GB2312" w:eastAsia="仿宋_GB2312"/>
          <w:sz w:val="32"/>
          <w:szCs w:val="32"/>
        </w:rPr>
        <w:t>8</w:t>
      </w:r>
      <w:r>
        <w:rPr>
          <w:rFonts w:hint="eastAsia" w:ascii="仿宋_GB2312" w:eastAsia="仿宋_GB2312"/>
          <w:sz w:val="32"/>
          <w:szCs w:val="32"/>
        </w:rPr>
        <w:t>年部门预算公开如下：</w:t>
      </w:r>
    </w:p>
    <w:p>
      <w:pPr>
        <w:pStyle w:val="8"/>
        <w:widowControl/>
        <w:numPr>
          <w:ilvl w:val="0"/>
          <w:numId w:val="1"/>
        </w:numPr>
        <w:spacing w:line="570" w:lineRule="exact"/>
        <w:ind w:left="420" w:leftChars="200" w:firstLine="0" w:firstLineChars="0"/>
        <w:jc w:val="left"/>
        <w:rPr>
          <w:rFonts w:ascii="宋体" w:eastAsia="宋体" w:cs="宋体"/>
          <w:kern w:val="0"/>
          <w:sz w:val="32"/>
          <w:szCs w:val="32"/>
        </w:rPr>
      </w:pPr>
      <w:r>
        <w:rPr>
          <w:rFonts w:hint="eastAsia" w:ascii="黑体" w:eastAsia="黑体" w:cs="宋体"/>
          <w:b/>
          <w:bCs/>
          <w:color w:val="000000"/>
          <w:kern w:val="0"/>
          <w:sz w:val="32"/>
          <w:szCs w:val="32"/>
        </w:rPr>
        <w:t>部门职责及机构设置情况</w:t>
      </w:r>
    </w:p>
    <w:p>
      <w:pPr>
        <w:pStyle w:val="8"/>
        <w:widowControl/>
        <w:spacing w:line="570" w:lineRule="exact"/>
        <w:ind w:left="420" w:firstLine="0" w:firstLineChars="0"/>
        <w:jc w:val="left"/>
        <w:rPr>
          <w:rFonts w:hint="eastAsia" w:ascii="仿宋_GB2312" w:eastAsia="仿宋_GB2312" w:cs="宋体"/>
          <w:kern w:val="0"/>
          <w:sz w:val="32"/>
          <w:szCs w:val="32"/>
        </w:rPr>
      </w:pPr>
      <w:r>
        <w:rPr>
          <w:rFonts w:hint="eastAsia" w:ascii="仿宋_GB2312" w:eastAsia="仿宋_GB2312" w:cs="宋体"/>
          <w:bCs/>
          <w:kern w:val="0"/>
          <w:sz w:val="32"/>
          <w:szCs w:val="32"/>
        </w:rPr>
        <w:t>部门职责：</w:t>
      </w:r>
    </w:p>
    <w:p>
      <w:pPr>
        <w:pStyle w:val="8"/>
        <w:widowControl/>
        <w:spacing w:line="570" w:lineRule="exact"/>
        <w:ind w:left="420" w:leftChars="200" w:firstLine="200" w:firstLineChars="0"/>
        <w:jc w:val="left"/>
        <w:rPr>
          <w:rFonts w:hint="eastAsia" w:ascii="仿宋_GB2312" w:eastAsia="仿宋_GB2312" w:cs="宋体"/>
          <w:kern w:val="0"/>
          <w:sz w:val="32"/>
          <w:szCs w:val="32"/>
        </w:rPr>
      </w:pPr>
      <w:r>
        <w:rPr>
          <w:rFonts w:hint="eastAsia" w:ascii="仿宋_GB2312" w:eastAsia="仿宋_GB2312" w:cs="宋体"/>
          <w:kern w:val="0"/>
          <w:sz w:val="32"/>
          <w:szCs w:val="32"/>
        </w:rPr>
        <w:t>（一）贯彻落实国家有关司法工作的法律、法规及司法行政工作方针政策；制订全区司法行政系统规章、制度，编制全区司法行政工作中期规划、年度计划并组织实施。</w:t>
      </w:r>
    </w:p>
    <w:p>
      <w:pPr>
        <w:pStyle w:val="8"/>
        <w:widowControl/>
        <w:spacing w:line="570" w:lineRule="exact"/>
        <w:ind w:left="420" w:leftChars="200" w:firstLine="200" w:firstLineChars="0"/>
        <w:jc w:val="left"/>
        <w:rPr>
          <w:rFonts w:hint="eastAsia" w:ascii="仿宋_GB2312" w:eastAsia="仿宋_GB2312" w:cs="宋体"/>
          <w:kern w:val="0"/>
          <w:sz w:val="32"/>
          <w:szCs w:val="32"/>
        </w:rPr>
      </w:pPr>
      <w:r>
        <w:rPr>
          <w:rFonts w:hint="eastAsia" w:ascii="仿宋_GB2312" w:eastAsia="仿宋_GB2312" w:cs="宋体"/>
          <w:kern w:val="0"/>
          <w:sz w:val="32"/>
          <w:szCs w:val="32"/>
        </w:rPr>
        <w:t>（二）制订全区法制宣传、普及法律常识的规划并组织实施，指导全区各单位、各部门、各行业法制宣传、依法治理工作。</w:t>
      </w:r>
    </w:p>
    <w:p>
      <w:pPr>
        <w:pStyle w:val="8"/>
        <w:widowControl/>
        <w:spacing w:line="570" w:lineRule="exact"/>
        <w:ind w:left="420" w:leftChars="200" w:firstLine="200" w:firstLineChars="0"/>
        <w:jc w:val="left"/>
        <w:rPr>
          <w:rFonts w:hint="eastAsia" w:ascii="仿宋_GB2312" w:eastAsia="仿宋_GB2312" w:cs="宋体"/>
          <w:kern w:val="0"/>
          <w:sz w:val="32"/>
          <w:szCs w:val="32"/>
        </w:rPr>
      </w:pPr>
      <w:r>
        <w:rPr>
          <w:rFonts w:hint="eastAsia" w:ascii="仿宋_GB2312" w:eastAsia="仿宋_GB2312" w:cs="宋体"/>
          <w:kern w:val="0"/>
          <w:sz w:val="32"/>
          <w:szCs w:val="32"/>
        </w:rPr>
        <w:t>（三）负责全区社区矫正工作。</w:t>
      </w:r>
    </w:p>
    <w:p>
      <w:pPr>
        <w:pStyle w:val="8"/>
        <w:widowControl/>
        <w:spacing w:line="570" w:lineRule="exact"/>
        <w:ind w:left="420" w:leftChars="200" w:firstLine="200" w:firstLineChars="0"/>
        <w:jc w:val="left"/>
        <w:rPr>
          <w:rFonts w:hint="eastAsia" w:ascii="仿宋_GB2312" w:eastAsia="仿宋_GB2312" w:cs="宋体"/>
          <w:kern w:val="0"/>
          <w:sz w:val="32"/>
          <w:szCs w:val="32"/>
        </w:rPr>
      </w:pPr>
      <w:r>
        <w:rPr>
          <w:rFonts w:hint="eastAsia" w:ascii="仿宋_GB2312" w:eastAsia="仿宋_GB2312" w:cs="宋体"/>
          <w:kern w:val="0"/>
          <w:sz w:val="32"/>
          <w:szCs w:val="32"/>
        </w:rPr>
        <w:t>（四）指导、监督全区律师工作和法律顾问工作，对全区法律服务所进行管理。</w:t>
      </w:r>
    </w:p>
    <w:p>
      <w:pPr>
        <w:pStyle w:val="8"/>
        <w:widowControl/>
        <w:spacing w:line="570" w:lineRule="exact"/>
        <w:ind w:left="420" w:leftChars="200" w:firstLine="200" w:firstLineChars="0"/>
        <w:jc w:val="left"/>
        <w:rPr>
          <w:rFonts w:hint="eastAsia" w:ascii="仿宋_GB2312" w:eastAsia="仿宋_GB2312" w:cs="宋体"/>
          <w:kern w:val="0"/>
          <w:sz w:val="32"/>
          <w:szCs w:val="32"/>
        </w:rPr>
      </w:pPr>
      <w:r>
        <w:rPr>
          <w:rFonts w:hint="eastAsia" w:ascii="仿宋_GB2312" w:eastAsia="仿宋_GB2312" w:cs="宋体"/>
          <w:kern w:val="0"/>
          <w:sz w:val="32"/>
          <w:szCs w:val="32"/>
        </w:rPr>
        <w:t>（五）指导、监督各乡镇（街办处）司法所、法律服务所建设和人民调解、基层法律服务和安置帮教工作；指导全区人民调解员协会工作。</w:t>
      </w:r>
    </w:p>
    <w:p>
      <w:pPr>
        <w:pStyle w:val="8"/>
        <w:widowControl/>
        <w:spacing w:line="570" w:lineRule="exact"/>
        <w:ind w:left="420" w:leftChars="200" w:firstLine="200" w:firstLineChars="0"/>
        <w:jc w:val="left"/>
        <w:rPr>
          <w:rFonts w:hint="eastAsia" w:ascii="仿宋_GB2312" w:eastAsia="仿宋_GB2312" w:cs="宋体"/>
          <w:kern w:val="0"/>
          <w:sz w:val="32"/>
          <w:szCs w:val="32"/>
        </w:rPr>
      </w:pPr>
      <w:r>
        <w:rPr>
          <w:rFonts w:hint="eastAsia" w:ascii="仿宋_GB2312" w:eastAsia="仿宋_GB2312" w:cs="宋体"/>
          <w:kern w:val="0"/>
          <w:sz w:val="32"/>
          <w:szCs w:val="32"/>
        </w:rPr>
        <w:t>（六）监督管理全区的法律援助工作。</w:t>
      </w:r>
    </w:p>
    <w:p>
      <w:pPr>
        <w:pStyle w:val="8"/>
        <w:widowControl/>
        <w:spacing w:line="570" w:lineRule="exact"/>
        <w:ind w:left="420" w:leftChars="200" w:firstLine="200" w:firstLineChars="0"/>
        <w:jc w:val="left"/>
        <w:rPr>
          <w:rFonts w:hint="eastAsia" w:ascii="仿宋_GB2312" w:eastAsia="仿宋_GB2312" w:cs="宋体"/>
          <w:kern w:val="0"/>
          <w:sz w:val="32"/>
          <w:szCs w:val="32"/>
        </w:rPr>
      </w:pPr>
      <w:r>
        <w:rPr>
          <w:rFonts w:hint="eastAsia" w:ascii="仿宋_GB2312" w:eastAsia="仿宋_GB2312" w:cs="宋体"/>
          <w:kern w:val="0"/>
          <w:sz w:val="32"/>
          <w:szCs w:val="32"/>
        </w:rPr>
        <w:t>（七）负责机关和下属单位的经费、国有资产进行管理和监督。</w:t>
      </w:r>
    </w:p>
    <w:p>
      <w:pPr>
        <w:pStyle w:val="8"/>
        <w:widowControl/>
        <w:spacing w:line="570" w:lineRule="exact"/>
        <w:ind w:left="420" w:leftChars="200" w:firstLine="200" w:firstLineChars="0"/>
        <w:jc w:val="left"/>
        <w:rPr>
          <w:rFonts w:hint="eastAsia" w:ascii="仿宋_GB2312" w:eastAsia="仿宋_GB2312" w:cs="宋体"/>
          <w:kern w:val="0"/>
          <w:sz w:val="32"/>
          <w:szCs w:val="32"/>
        </w:rPr>
      </w:pPr>
      <w:r>
        <w:rPr>
          <w:rFonts w:hint="eastAsia" w:ascii="仿宋_GB2312" w:eastAsia="仿宋_GB2312" w:cs="宋体"/>
          <w:kern w:val="0"/>
          <w:sz w:val="32"/>
          <w:szCs w:val="32"/>
        </w:rPr>
        <w:t>（八）指导、监督全区司法鉴定人和司法鉴定机构工作。</w:t>
      </w:r>
    </w:p>
    <w:p>
      <w:pPr>
        <w:pStyle w:val="8"/>
        <w:widowControl/>
        <w:spacing w:line="570" w:lineRule="exact"/>
        <w:ind w:left="420" w:leftChars="200" w:firstLine="200" w:firstLineChars="0"/>
        <w:jc w:val="left"/>
        <w:rPr>
          <w:rFonts w:hint="eastAsia" w:ascii="仿宋_GB2312" w:eastAsia="仿宋_GB2312" w:cs="宋体"/>
          <w:kern w:val="0"/>
          <w:sz w:val="32"/>
          <w:szCs w:val="32"/>
        </w:rPr>
      </w:pPr>
      <w:r>
        <w:rPr>
          <w:rFonts w:hint="eastAsia" w:ascii="仿宋_GB2312" w:eastAsia="仿宋_GB2312" w:cs="宋体"/>
          <w:kern w:val="0"/>
          <w:sz w:val="32"/>
          <w:szCs w:val="32"/>
        </w:rPr>
        <w:t>（九）管理和指导全区司法行政系统的队伍建设和思想政治工作；负责全区司法行政系统警务管理和警务督察工作。</w:t>
      </w:r>
    </w:p>
    <w:p>
      <w:pPr>
        <w:pStyle w:val="8"/>
        <w:widowControl/>
        <w:spacing w:line="570" w:lineRule="exact"/>
        <w:ind w:left="420" w:leftChars="200" w:firstLine="200" w:firstLineChars="0"/>
        <w:jc w:val="left"/>
        <w:rPr>
          <w:rFonts w:hint="eastAsia" w:ascii="仿宋_GB2312" w:eastAsia="仿宋_GB2312" w:cs="宋体"/>
          <w:kern w:val="0"/>
          <w:sz w:val="32"/>
          <w:szCs w:val="32"/>
        </w:rPr>
      </w:pPr>
      <w:r>
        <w:rPr>
          <w:rFonts w:hint="eastAsia" w:ascii="仿宋_GB2312" w:eastAsia="仿宋_GB2312" w:cs="宋体"/>
          <w:kern w:val="0"/>
          <w:sz w:val="32"/>
          <w:szCs w:val="32"/>
        </w:rPr>
        <w:t>（十）承担区政府和上级机关交办的其他事项。</w:t>
      </w:r>
    </w:p>
    <w:p>
      <w:pPr>
        <w:widowControl/>
        <w:spacing w:line="57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三、部门预算安排的总体情况</w:t>
      </w:r>
    </w:p>
    <w:p>
      <w:pPr>
        <w:widowControl/>
        <w:spacing w:line="570" w:lineRule="exact"/>
        <w:ind w:firstLine="640" w:firstLineChars="200"/>
        <w:jc w:val="left"/>
        <w:rPr>
          <w:rFonts w:hint="eastAsia" w:ascii="仿宋_GB2312" w:eastAsia="仿宋_GB2312" w:cs="宋体"/>
          <w:bCs/>
          <w:kern w:val="0"/>
          <w:sz w:val="32"/>
          <w:szCs w:val="32"/>
        </w:rPr>
      </w:pPr>
      <w:r>
        <w:rPr>
          <w:rFonts w:hint="eastAsia" w:ascii="仿宋_GB2312" w:eastAsia="仿宋_GB2312" w:cs="宋体"/>
          <w:kern w:val="0"/>
          <w:sz w:val="32"/>
          <w:szCs w:val="32"/>
        </w:rPr>
        <w:t>按照预算管理有关规定，目前我区部门预算的编制实行综合预算制度，即全部收入和支出都反映在预算中。</w:t>
      </w:r>
    </w:p>
    <w:p>
      <w:pPr>
        <w:widowControl/>
        <w:spacing w:line="570" w:lineRule="exact"/>
        <w:ind w:left="640" w:leftChars="228" w:hanging="161" w:hangingChars="5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机构设置：</w:t>
      </w:r>
    </w:p>
    <w:p>
      <w:pPr>
        <w:widowControl/>
        <w:spacing w:line="57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4"/>
        <w:tblW w:w="12317"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95"/>
        <w:gridCol w:w="2075"/>
        <w:gridCol w:w="1790"/>
        <w:gridCol w:w="42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83" w:hRule="atLeast"/>
          <w:tblHeader/>
          <w:tblCellSpacing w:w="0" w:type="dxa"/>
        </w:trPr>
        <w:tc>
          <w:tcPr>
            <w:tcW w:w="4195"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2075"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790"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425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trPr>
        <w:tc>
          <w:tcPr>
            <w:tcW w:w="4195"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廊坊市广阳区司法局</w:t>
            </w:r>
          </w:p>
        </w:tc>
        <w:tc>
          <w:tcPr>
            <w:tcW w:w="2075"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行政单位</w:t>
            </w:r>
          </w:p>
        </w:tc>
        <w:tc>
          <w:tcPr>
            <w:tcW w:w="1790"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w:t>
            </w:r>
          </w:p>
        </w:tc>
        <w:tc>
          <w:tcPr>
            <w:tcW w:w="425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spacing w:line="570" w:lineRule="exact"/>
        <w:jc w:val="left"/>
        <w:rPr>
          <w:rFonts w:ascii="仿宋_GB2312" w:eastAsia="仿宋_GB2312" w:cs="宋体"/>
          <w:color w:val="000000"/>
          <w:kern w:val="0"/>
          <w:sz w:val="32"/>
          <w:szCs w:val="32"/>
        </w:rPr>
      </w:pPr>
      <w:r>
        <w:rPr>
          <w:rFonts w:hint="eastAsia"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kern w:val="0"/>
          <w:sz w:val="32"/>
          <w:szCs w:val="32"/>
        </w:rPr>
        <w:t>  按照预算管理有关规定，目前我区部门预算的编制实行综合预</w:t>
      </w:r>
      <w:r>
        <w:rPr>
          <w:rFonts w:hint="eastAsia" w:ascii="仿宋_GB2312" w:eastAsia="仿宋_GB2312" w:cs="宋体"/>
          <w:color w:val="000000"/>
          <w:kern w:val="0"/>
          <w:sz w:val="32"/>
          <w:szCs w:val="32"/>
        </w:rPr>
        <w:t>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w:t>
      </w:r>
      <w:r>
        <w:rPr>
          <w:rFonts w:hint="eastAsia" w:ascii="仿宋_GB2312" w:eastAsia="仿宋_GB2312" w:cs="宋体"/>
          <w:color w:val="000000"/>
          <w:kern w:val="0"/>
          <w:sz w:val="32"/>
          <w:szCs w:val="32"/>
          <w:lang w:eastAsia="zh-CN"/>
        </w:rPr>
        <w:t>司法局</w:t>
      </w:r>
      <w:r>
        <w:rPr>
          <w:rFonts w:hint="eastAsia" w:ascii="仿宋_GB2312" w:hAnsi="Times New Roman" w:eastAsia="仿宋_GB2312" w:cs="Times New Roman"/>
          <w:sz w:val="32"/>
          <w:szCs w:val="32"/>
        </w:rPr>
        <w:t>机关及所属事业单位的收支包含在部门预算中</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widowControl/>
        <w:spacing w:line="570" w:lineRule="exact"/>
        <w:ind w:firstLine="640" w:firstLineChars="200"/>
        <w:jc w:val="left"/>
        <w:rPr>
          <w:rFonts w:hint="eastAsia" w:ascii="仿宋_GB2312" w:eastAsia="仿宋_GB2312" w:cs="宋体"/>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466.34</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466.34</w:t>
      </w:r>
      <w:r>
        <w:rPr>
          <w:rFonts w:hint="eastAsia" w:ascii="仿宋_GB2312" w:eastAsia="仿宋_GB2312" w:cs="宋体"/>
          <w:color w:val="000000"/>
          <w:kern w:val="0"/>
          <w:sz w:val="32"/>
          <w:szCs w:val="32"/>
        </w:rPr>
        <w:t>万元，政府性基金收入0万元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事业收入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，其他收入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w:t>
      </w:r>
    </w:p>
    <w:p>
      <w:pPr>
        <w:widowControl/>
        <w:spacing w:line="570" w:lineRule="exact"/>
        <w:ind w:firstLine="643" w:firstLineChars="200"/>
        <w:jc w:val="left"/>
        <w:rPr>
          <w:rFonts w:ascii="仿宋_GB2312" w:eastAsia="仿宋_GB2312" w:cs="宋体"/>
          <w:color w:val="000000"/>
          <w:kern w:val="0"/>
          <w:sz w:val="32"/>
          <w:szCs w:val="32"/>
        </w:rPr>
      </w:pPr>
      <w:r>
        <w:rPr>
          <w:rFonts w:hint="eastAsia" w:ascii="楷体_GB2312" w:eastAsia="楷体_GB2312" w:cs="宋体"/>
          <w:b/>
          <w:bCs/>
          <w:color w:val="000000"/>
          <w:kern w:val="0"/>
          <w:sz w:val="32"/>
          <w:szCs w:val="32"/>
        </w:rPr>
        <w:t>2、支出说明</w:t>
      </w:r>
    </w:p>
    <w:p>
      <w:pPr>
        <w:spacing w:line="570" w:lineRule="exact"/>
        <w:ind w:firstLine="640"/>
        <w:rPr>
          <w:rFonts w:hint="eastAsia" w:ascii="仿宋_GB2312" w:eastAsia="仿宋_GB2312" w:cs="宋体"/>
          <w:color w:val="000000"/>
          <w:kern w:val="0"/>
          <w:sz w:val="32"/>
          <w:szCs w:val="32"/>
          <w:lang w:eastAsia="zh-CN"/>
        </w:rPr>
      </w:pPr>
      <w:r>
        <w:rPr>
          <w:rFonts w:ascii="仿宋_GB2312" w:eastAsia="仿宋_GB2312" w:cs="宋体"/>
          <w:color w:val="000000"/>
          <w:kern w:val="0"/>
          <w:sz w:val="32"/>
          <w:szCs w:val="32"/>
        </w:rPr>
        <w:t>收支预算总表支出栏、基本支出表、项目支出表按经济分类和支出功能分类科目编制，反映河北省</w:t>
      </w:r>
      <w:r>
        <w:rPr>
          <w:rFonts w:hint="eastAsia" w:ascii="仿宋_GB2312" w:eastAsia="仿宋_GB2312" w:cs="宋体"/>
          <w:color w:val="000000"/>
          <w:kern w:val="0"/>
          <w:sz w:val="32"/>
          <w:szCs w:val="32"/>
        </w:rPr>
        <w:t>廊坊市广阳区司法局</w:t>
      </w:r>
      <w:r>
        <w:rPr>
          <w:rFonts w:ascii="仿宋_GB2312" w:eastAsia="仿宋_GB2312" w:cs="宋体"/>
          <w:color w:val="000000"/>
          <w:kern w:val="0"/>
          <w:sz w:val="32"/>
          <w:szCs w:val="32"/>
        </w:rPr>
        <w:t>年度部门预算中支出预算的总体情况。2018年支出预算466.34万元，其中基本支出402.51万元，包括人员经费</w:t>
      </w:r>
      <w:r>
        <w:rPr>
          <w:rFonts w:hint="eastAsia" w:ascii="仿宋_GB2312" w:eastAsia="仿宋_GB2312" w:cs="宋体"/>
          <w:color w:val="000000"/>
          <w:kern w:val="0"/>
          <w:sz w:val="32"/>
          <w:szCs w:val="32"/>
          <w:lang w:val="en-US" w:eastAsia="zh-CN"/>
        </w:rPr>
        <w:t>369.74万元</w:t>
      </w:r>
      <w:r>
        <w:rPr>
          <w:rFonts w:ascii="仿宋_GB2312" w:eastAsia="仿宋_GB2312" w:cs="宋体"/>
          <w:color w:val="000000"/>
          <w:kern w:val="0"/>
          <w:sz w:val="32"/>
          <w:szCs w:val="32"/>
        </w:rPr>
        <w:t>和日常公用经费</w:t>
      </w:r>
      <w:r>
        <w:rPr>
          <w:rFonts w:hint="eastAsia" w:ascii="仿宋_GB2312" w:eastAsia="仿宋_GB2312" w:cs="宋体"/>
          <w:color w:val="000000"/>
          <w:kern w:val="0"/>
          <w:sz w:val="32"/>
          <w:szCs w:val="32"/>
          <w:lang w:val="en-US" w:eastAsia="zh-CN"/>
        </w:rPr>
        <w:t>32.77万元</w:t>
      </w:r>
      <w:r>
        <w:rPr>
          <w:rFonts w:ascii="仿宋_GB2312" w:eastAsia="仿宋_GB2312" w:cs="宋体"/>
          <w:color w:val="000000"/>
          <w:kern w:val="0"/>
          <w:sz w:val="32"/>
          <w:szCs w:val="32"/>
        </w:rPr>
        <w:t>；项目支出63.83万元</w:t>
      </w:r>
      <w:r>
        <w:rPr>
          <w:rFonts w:hint="eastAsia" w:ascii="仿宋_GB2312" w:eastAsia="仿宋_GB2312" w:cs="宋体"/>
          <w:color w:val="000000"/>
          <w:kern w:val="0"/>
          <w:sz w:val="32"/>
          <w:szCs w:val="32"/>
          <w:lang w:eastAsia="zh-CN"/>
        </w:rPr>
        <w:t>，主要为普法宣传经费、社区矫正经费、政法公检法司转移支付资金。</w:t>
      </w:r>
    </w:p>
    <w:p>
      <w:pPr>
        <w:widowControl/>
        <w:spacing w:line="570" w:lineRule="exact"/>
        <w:ind w:firstLine="643" w:firstLineChars="200"/>
        <w:jc w:val="left"/>
        <w:rPr>
          <w:rFonts w:ascii="楷体_GB2312" w:eastAsia="楷体_GB2312" w:cs="宋体"/>
          <w:b/>
          <w:bCs/>
          <w:color w:val="000000"/>
          <w:kern w:val="0"/>
          <w:sz w:val="32"/>
          <w:szCs w:val="32"/>
        </w:rPr>
      </w:pPr>
      <w:r>
        <w:rPr>
          <w:rFonts w:hint="eastAsia" w:ascii="楷体_GB2312" w:eastAsia="楷体_GB2312" w:cs="宋体"/>
          <w:b/>
          <w:bCs/>
          <w:color w:val="000000"/>
          <w:kern w:val="0"/>
          <w:sz w:val="32"/>
          <w:szCs w:val="32"/>
        </w:rPr>
        <w:t>3、比上年增减情况</w:t>
      </w:r>
    </w:p>
    <w:p>
      <w:pPr>
        <w:widowControl/>
        <w:spacing w:line="57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年预算收支安排466.34万元，较201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年预算增加</w:t>
      </w:r>
      <w:r>
        <w:rPr>
          <w:rFonts w:ascii="仿宋_GB2312" w:eastAsia="仿宋_GB2312" w:cs="宋体"/>
          <w:color w:val="000000"/>
          <w:kern w:val="0"/>
          <w:sz w:val="32"/>
          <w:szCs w:val="32"/>
        </w:rPr>
        <w:t>156.85</w:t>
      </w:r>
      <w:r>
        <w:rPr>
          <w:rFonts w:hint="eastAsia" w:ascii="仿宋_GB2312" w:eastAsia="仿宋_GB2312" w:cs="宋体"/>
          <w:color w:val="000000"/>
          <w:kern w:val="0"/>
          <w:sz w:val="32"/>
          <w:szCs w:val="32"/>
        </w:rPr>
        <w:t>万元，其中：基本支出增加</w:t>
      </w:r>
      <w:r>
        <w:rPr>
          <w:rFonts w:ascii="仿宋_GB2312" w:eastAsia="仿宋_GB2312" w:cs="宋体"/>
          <w:color w:val="000000"/>
          <w:kern w:val="0"/>
          <w:sz w:val="32"/>
          <w:szCs w:val="32"/>
        </w:rPr>
        <w:t>144.05</w:t>
      </w:r>
      <w:r>
        <w:rPr>
          <w:rFonts w:hint="eastAsia" w:ascii="仿宋_GB2312" w:eastAsia="仿宋_GB2312" w:cs="宋体"/>
          <w:color w:val="000000"/>
          <w:kern w:val="0"/>
          <w:sz w:val="32"/>
          <w:szCs w:val="32"/>
        </w:rPr>
        <w:t>万元，主要为公务员工资增加；项目支出增加</w:t>
      </w:r>
      <w:r>
        <w:rPr>
          <w:rFonts w:ascii="仿宋_GB2312" w:eastAsia="仿宋_GB2312" w:cs="宋体"/>
          <w:color w:val="000000"/>
          <w:kern w:val="0"/>
          <w:sz w:val="32"/>
          <w:szCs w:val="32"/>
        </w:rPr>
        <w:t>12.8</w:t>
      </w:r>
      <w:r>
        <w:rPr>
          <w:rFonts w:hint="eastAsia" w:ascii="仿宋_GB2312" w:eastAsia="仿宋_GB2312" w:cs="宋体"/>
          <w:color w:val="000000"/>
          <w:kern w:val="0"/>
          <w:sz w:val="32"/>
          <w:szCs w:val="32"/>
        </w:rPr>
        <w:t>万元，主要增加</w:t>
      </w:r>
      <w:r>
        <w:rPr>
          <w:rFonts w:ascii="仿宋_GB2312" w:eastAsia="仿宋_GB2312" w:cs="宋体"/>
          <w:color w:val="000000"/>
          <w:kern w:val="0"/>
          <w:sz w:val="32"/>
          <w:szCs w:val="32"/>
        </w:rPr>
        <w:t>普法宣传等项目支出</w:t>
      </w:r>
      <w:r>
        <w:rPr>
          <w:rFonts w:hint="eastAsia" w:ascii="仿宋_GB2312" w:eastAsia="仿宋_GB2312" w:cs="宋体"/>
          <w:color w:val="000000"/>
          <w:kern w:val="0"/>
          <w:sz w:val="32"/>
          <w:szCs w:val="32"/>
        </w:rPr>
        <w:t>。</w:t>
      </w:r>
    </w:p>
    <w:p>
      <w:pPr>
        <w:widowControl/>
        <w:spacing w:line="570" w:lineRule="exact"/>
        <w:ind w:firstLine="643" w:firstLineChars="200"/>
        <w:jc w:val="left"/>
        <w:rPr>
          <w:rFonts w:ascii="黑体" w:eastAsia="黑体" w:cs="宋体"/>
          <w:b/>
          <w:bCs/>
          <w:color w:val="000000"/>
          <w:kern w:val="0"/>
          <w:sz w:val="32"/>
          <w:szCs w:val="32"/>
        </w:rPr>
      </w:pPr>
      <w:r>
        <w:rPr>
          <w:rFonts w:hint="eastAsia" w:ascii="黑体" w:eastAsia="黑体" w:cs="宋体"/>
          <w:b/>
          <w:bCs/>
          <w:color w:val="000000"/>
          <w:kern w:val="0"/>
          <w:sz w:val="32"/>
          <w:szCs w:val="32"/>
        </w:rPr>
        <w:t>三、机关运行经费安排情况</w:t>
      </w:r>
    </w:p>
    <w:p>
      <w:pPr>
        <w:widowControl/>
        <w:spacing w:line="570" w:lineRule="exac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年预算安排我部门机关运行经费</w:t>
      </w:r>
      <w:r>
        <w:rPr>
          <w:rFonts w:ascii="仿宋_GB2312" w:eastAsia="仿宋_GB2312" w:cs="宋体"/>
          <w:color w:val="000000"/>
          <w:kern w:val="0"/>
          <w:sz w:val="32"/>
          <w:szCs w:val="32"/>
        </w:rPr>
        <w:t>0.89</w:t>
      </w:r>
      <w:r>
        <w:rPr>
          <w:rFonts w:hint="eastAsia" w:ascii="仿宋_GB2312" w:eastAsia="仿宋_GB2312" w:cs="宋体"/>
          <w:color w:val="000000"/>
          <w:kern w:val="0"/>
          <w:sz w:val="32"/>
          <w:szCs w:val="32"/>
        </w:rPr>
        <w:t>万元，其中办公经费</w:t>
      </w:r>
      <w:r>
        <w:rPr>
          <w:rFonts w:ascii="仿宋_GB2312" w:eastAsia="仿宋_GB2312" w:cs="宋体"/>
          <w:color w:val="000000"/>
          <w:kern w:val="0"/>
          <w:sz w:val="32"/>
          <w:szCs w:val="32"/>
        </w:rPr>
        <w:t>0.89</w:t>
      </w:r>
      <w:r>
        <w:rPr>
          <w:rFonts w:hint="eastAsia" w:ascii="仿宋_GB2312" w:eastAsia="仿宋_GB2312" w:cs="宋体"/>
          <w:color w:val="000000"/>
          <w:kern w:val="0"/>
          <w:sz w:val="32"/>
          <w:szCs w:val="32"/>
        </w:rPr>
        <w:t>万元，其他业务费无。主要用于机关办公区的日常维修、办公用房水电费、办公用房取暖费、办公用房物业管理费等日常运行支出</w:t>
      </w:r>
      <w:r>
        <w:rPr>
          <w:rFonts w:ascii="仿宋_GB2312" w:eastAsia="仿宋_GB2312" w:cs="宋体"/>
          <w:color w:val="000000"/>
          <w:kern w:val="0"/>
          <w:sz w:val="32"/>
          <w:szCs w:val="32"/>
        </w:rPr>
        <w:t>。</w:t>
      </w:r>
    </w:p>
    <w:p>
      <w:pPr>
        <w:widowControl/>
        <w:spacing w:line="570" w:lineRule="exact"/>
        <w:ind w:firstLine="643" w:firstLineChars="200"/>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spacing w:line="570" w:lineRule="exact"/>
        <w:ind w:left="198"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kern w:val="0"/>
          <w:sz w:val="32"/>
          <w:szCs w:val="32"/>
        </w:rPr>
        <w:t>年，我部门“三公”经费预算安排6.9万元，其中因公出国（境）费0万元；公务用车购置及运维费6.9万元（其中：公</w:t>
      </w:r>
      <w:r>
        <w:rPr>
          <w:rFonts w:hint="eastAsia" w:ascii="仿宋_GB2312" w:eastAsia="仿宋_GB2312" w:cs="宋体"/>
          <w:color w:val="000000"/>
          <w:kern w:val="0"/>
          <w:sz w:val="32"/>
          <w:szCs w:val="32"/>
        </w:rPr>
        <w:t>务用车购置费为0万元，公务用车运行费为6.9万元)；公务接待费0万元。</w:t>
      </w:r>
      <w:r>
        <w:rPr>
          <w:rFonts w:hint="eastAsia" w:ascii="仿宋_GB2312" w:eastAsia="仿宋_GB2312" w:cs="仿宋_GB2312"/>
          <w:color w:val="000000"/>
          <w:kern w:val="0"/>
          <w:sz w:val="32"/>
          <w:szCs w:val="32"/>
        </w:rPr>
        <w:t>较2017年增加6.9万元，主要原因是2017年我部门无“三公”经费预算安排。</w:t>
      </w:r>
    </w:p>
    <w:p>
      <w:pPr>
        <w:autoSpaceDE w:val="0"/>
        <w:autoSpaceDN w:val="0"/>
        <w:adjustRightInd w:val="0"/>
        <w:spacing w:line="570" w:lineRule="exact"/>
        <w:ind w:left="198" w:firstLine="643" w:firstLineChars="200"/>
        <w:jc w:val="left"/>
        <w:rPr>
          <w:rFonts w:ascii="黑体" w:eastAsia="黑体" w:cs="宋体"/>
          <w:b/>
          <w:bCs/>
          <w:color w:val="000000"/>
          <w:kern w:val="0"/>
          <w:sz w:val="32"/>
          <w:szCs w:val="32"/>
        </w:rPr>
      </w:pPr>
      <w:r>
        <w:rPr>
          <w:rFonts w:hint="eastAsia" w:ascii="黑体" w:eastAsia="黑体" w:cs="宋体"/>
          <w:b/>
          <w:bCs/>
          <w:color w:val="000000"/>
          <w:kern w:val="0"/>
          <w:sz w:val="32"/>
          <w:szCs w:val="32"/>
        </w:rPr>
        <w:t>五、绩效预算信息</w:t>
      </w:r>
    </w:p>
    <w:p>
      <w:pPr>
        <w:autoSpaceDE w:val="0"/>
        <w:autoSpaceDN w:val="0"/>
        <w:adjustRightInd w:val="0"/>
        <w:spacing w:line="570" w:lineRule="exact"/>
        <w:ind w:left="198" w:firstLine="643" w:firstLineChars="200"/>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总体绩效目标：</w:t>
      </w:r>
    </w:p>
    <w:p>
      <w:pPr>
        <w:autoSpaceDE w:val="0"/>
        <w:autoSpaceDN w:val="0"/>
        <w:adjustRightInd w:val="0"/>
        <w:spacing w:line="570" w:lineRule="exact"/>
        <w:ind w:left="198"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2018年全区司法行政工作将继续围绕“精良管理当先锋，高端发展做贡献”主题实践活动，和政法干警核心价值观教育实践活动，深入开展社会矛盾化解、社会管理创新、公正廉洁执法和干部队伍建设四项重点任务，积极拓展矛盾纠纷调解、法律服务、法制宣传领域，进一步加强基层基础建设和队伍建设，深化司法行政体制改革和工作机制改革，努力提高司法行政工作专业化、规范化、法制化、信息化水平。</w:t>
      </w:r>
    </w:p>
    <w:p>
      <w:pPr>
        <w:autoSpaceDE w:val="0"/>
        <w:autoSpaceDN w:val="0"/>
        <w:adjustRightInd w:val="0"/>
        <w:spacing w:line="570" w:lineRule="exact"/>
        <w:ind w:left="198" w:firstLine="643" w:firstLineChars="200"/>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职责分类绩效目标：</w:t>
      </w:r>
    </w:p>
    <w:p>
      <w:pPr>
        <w:jc w:val="left"/>
        <w:outlineLvl w:val="0"/>
        <w:rPr>
          <w:rFonts w:hint="eastAsia" w:ascii="方正小标宋_GBK" w:eastAsia="方正小标宋_GBK"/>
          <w:sz w:val="32"/>
        </w:rPr>
      </w:pPr>
      <w:r>
        <w:rPr>
          <w:rFonts w:hint="eastAsia" w:ascii="仿宋_GB2312" w:eastAsia="仿宋_GB2312" w:cs="宋体"/>
          <w:kern w:val="0"/>
          <w:sz w:val="32"/>
          <w:szCs w:val="32"/>
        </w:rPr>
        <w:t>（一）贯彻落实国家有关司法工作的法律、法规及司法行政工作方针政策；制订全区司法行政系统规章、制度，编制全区司法行政工作中期规划、年度计划并组织实施。</w:t>
      </w:r>
      <w:r>
        <w:rPr>
          <w:rFonts w:hint="eastAsia" w:ascii="仿宋_GB2312" w:eastAsia="仿宋_GB2312" w:cs="宋体"/>
          <w:kern w:val="0"/>
          <w:sz w:val="32"/>
          <w:szCs w:val="32"/>
        </w:rPr>
        <w:br w:type="textWrapping"/>
      </w:r>
      <w:r>
        <w:rPr>
          <w:rFonts w:hint="eastAsia" w:ascii="仿宋_GB2312" w:eastAsia="仿宋_GB2312" w:cs="宋体"/>
          <w:kern w:val="0"/>
          <w:sz w:val="32"/>
          <w:szCs w:val="32"/>
        </w:rPr>
        <w:t>（二）制订全区法制宣传、普及法律常识的规划并组织实施，指导全区各单位、各部门、各行业法制宣传、依法治理工作。</w:t>
      </w:r>
      <w:r>
        <w:rPr>
          <w:rFonts w:hint="eastAsia" w:ascii="仿宋_GB2312" w:eastAsia="仿宋_GB2312" w:cs="宋体"/>
          <w:kern w:val="0"/>
          <w:sz w:val="32"/>
          <w:szCs w:val="32"/>
        </w:rPr>
        <w:br w:type="textWrapping"/>
      </w:r>
      <w:r>
        <w:rPr>
          <w:rFonts w:hint="eastAsia" w:ascii="仿宋_GB2312" w:eastAsia="仿宋_GB2312" w:cs="宋体"/>
          <w:kern w:val="0"/>
          <w:sz w:val="32"/>
          <w:szCs w:val="32"/>
        </w:rPr>
        <w:t>（三）负责全区社区矫正工作。</w:t>
      </w:r>
      <w:r>
        <w:rPr>
          <w:rFonts w:hint="eastAsia" w:ascii="仿宋_GB2312" w:eastAsia="仿宋_GB2312" w:cs="宋体"/>
          <w:kern w:val="0"/>
          <w:sz w:val="32"/>
          <w:szCs w:val="32"/>
        </w:rPr>
        <w:br w:type="textWrapping"/>
      </w:r>
      <w:r>
        <w:rPr>
          <w:rFonts w:hint="eastAsia" w:ascii="仿宋_GB2312" w:eastAsia="仿宋_GB2312" w:cs="宋体"/>
          <w:kern w:val="0"/>
          <w:sz w:val="32"/>
          <w:szCs w:val="32"/>
        </w:rPr>
        <w:t>（四）指导、监督全区律师工作和法律顾问工作，对全区法律服务所进行管理。</w:t>
      </w:r>
      <w:r>
        <w:rPr>
          <w:rFonts w:hint="eastAsia" w:ascii="仿宋_GB2312" w:eastAsia="仿宋_GB2312" w:cs="宋体"/>
          <w:kern w:val="0"/>
          <w:sz w:val="32"/>
          <w:szCs w:val="32"/>
        </w:rPr>
        <w:br w:type="textWrapping"/>
      </w:r>
      <w:r>
        <w:rPr>
          <w:rFonts w:hint="eastAsia" w:ascii="仿宋_GB2312" w:eastAsia="仿宋_GB2312" w:cs="宋体"/>
          <w:kern w:val="0"/>
          <w:sz w:val="32"/>
          <w:szCs w:val="32"/>
        </w:rPr>
        <w:t>（五）指导、监督各乡镇（街办处）司法所、法律服务所建设和人民调解、基层法律服务和安置帮教工作；指导全区人民调解员协会工作。</w:t>
      </w:r>
      <w:r>
        <w:rPr>
          <w:rFonts w:hint="eastAsia" w:ascii="仿宋_GB2312" w:eastAsia="仿宋_GB2312" w:cs="宋体"/>
          <w:kern w:val="0"/>
          <w:sz w:val="32"/>
          <w:szCs w:val="32"/>
        </w:rPr>
        <w:br w:type="textWrapping"/>
      </w:r>
      <w:r>
        <w:rPr>
          <w:rFonts w:hint="eastAsia" w:ascii="仿宋_GB2312" w:eastAsia="仿宋_GB2312" w:cs="宋体"/>
          <w:kern w:val="0"/>
          <w:sz w:val="32"/>
          <w:szCs w:val="32"/>
        </w:rPr>
        <w:t>（六）监督管理全区的法律援助工作。</w:t>
      </w:r>
      <w:r>
        <w:rPr>
          <w:rFonts w:hint="eastAsia" w:ascii="仿宋_GB2312" w:eastAsia="仿宋_GB2312" w:cs="宋体"/>
          <w:kern w:val="0"/>
          <w:sz w:val="32"/>
          <w:szCs w:val="32"/>
        </w:rPr>
        <w:br w:type="textWrapping"/>
      </w:r>
      <w:r>
        <w:rPr>
          <w:rFonts w:hint="eastAsia" w:ascii="仿宋_GB2312" w:eastAsia="仿宋_GB2312" w:cs="宋体"/>
          <w:kern w:val="0"/>
          <w:sz w:val="32"/>
          <w:szCs w:val="32"/>
        </w:rPr>
        <w:t>（七）负责机关和下属单位的经费、国有资产进行管理和监督。</w:t>
      </w:r>
      <w:r>
        <w:rPr>
          <w:rFonts w:hint="eastAsia" w:ascii="仿宋_GB2312" w:eastAsia="仿宋_GB2312" w:cs="宋体"/>
          <w:kern w:val="0"/>
          <w:sz w:val="32"/>
          <w:szCs w:val="32"/>
        </w:rPr>
        <w:br w:type="textWrapping"/>
      </w:r>
      <w:r>
        <w:rPr>
          <w:rFonts w:hint="eastAsia" w:ascii="仿宋_GB2312" w:eastAsia="仿宋_GB2312" w:cs="宋体"/>
          <w:kern w:val="0"/>
          <w:sz w:val="32"/>
          <w:szCs w:val="32"/>
        </w:rPr>
        <w:t>（八）指导、监督全区司法鉴定人和司法鉴定机构工作。</w:t>
      </w:r>
      <w:r>
        <w:rPr>
          <w:rFonts w:hint="eastAsia" w:ascii="仿宋_GB2312" w:eastAsia="仿宋_GB2312" w:cs="宋体"/>
          <w:kern w:val="0"/>
          <w:sz w:val="32"/>
          <w:szCs w:val="32"/>
        </w:rPr>
        <w:br w:type="textWrapping"/>
      </w:r>
      <w:r>
        <w:rPr>
          <w:rFonts w:hint="eastAsia" w:ascii="仿宋_GB2312" w:eastAsia="仿宋_GB2312" w:cs="宋体"/>
          <w:kern w:val="0"/>
          <w:sz w:val="32"/>
          <w:szCs w:val="32"/>
        </w:rPr>
        <w:t>（九）管理和指导全区司法行政系统的队伍建设和思想政治工作；负责全区司法行政系统警务管理和警务督察工作。</w:t>
      </w:r>
      <w:r>
        <w:rPr>
          <w:rFonts w:hint="eastAsia" w:ascii="仿宋_GB2312" w:eastAsia="仿宋_GB2312" w:cs="宋体"/>
          <w:kern w:val="0"/>
          <w:sz w:val="32"/>
          <w:szCs w:val="32"/>
        </w:rPr>
        <w:br w:type="textWrapping"/>
      </w:r>
      <w:r>
        <w:rPr>
          <w:rFonts w:hint="eastAsia" w:ascii="仿宋_GB2312" w:eastAsia="仿宋_GB2312" w:cs="宋体"/>
          <w:kern w:val="0"/>
          <w:sz w:val="32"/>
          <w:szCs w:val="32"/>
        </w:rPr>
        <w:t>（十）承担区政府和上级机关交办的其他事项。</w:t>
      </w:r>
      <w:r>
        <w:rPr>
          <w:rFonts w:hint="eastAsia" w:ascii="仿宋_GB2312" w:eastAsia="仿宋_GB2312" w:cs="宋体"/>
          <w:kern w:val="0"/>
          <w:sz w:val="32"/>
          <w:szCs w:val="32"/>
        </w:rPr>
        <w:br w:type="textWrapping"/>
      </w:r>
      <w:r>
        <w:rPr>
          <w:rFonts w:hint="eastAsia" w:ascii="宋体" w:hAnsi="宋体" w:eastAsia="仿宋_GB2312" w:cs="宋体"/>
          <w:color w:val="000000"/>
          <w:kern w:val="0"/>
          <w:sz w:val="32"/>
          <w:szCs w:val="32"/>
        </w:rPr>
        <w:t>  </w:t>
      </w:r>
      <w:bookmarkStart w:id="0" w:name="_Toc505072792"/>
      <w:r>
        <w:rPr>
          <w:rFonts w:hint="eastAsia" w:ascii="宋体" w:hAnsi="宋体" w:eastAsia="仿宋_GB2312" w:cs="宋体"/>
          <w:color w:val="000000"/>
          <w:kern w:val="0"/>
          <w:sz w:val="32"/>
          <w:szCs w:val="32"/>
          <w:lang w:val="en-US" w:eastAsia="zh-CN"/>
        </w:rPr>
        <w:t xml:space="preserve">                     </w:t>
      </w:r>
      <w:r>
        <w:rPr>
          <w:rFonts w:hint="eastAsia" w:ascii="方正小标宋_GBK" w:eastAsia="方正小标宋_GBK"/>
          <w:sz w:val="32"/>
        </w:rPr>
        <w:t>部门职责-工作活动绩效目标</w:t>
      </w:r>
      <w:bookmarkEnd w:id="0"/>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4"/>
              </w:rPr>
            </w:pPr>
            <w:r>
              <w:rPr>
                <w:rFonts w:hint="eastAsia" w:ascii="方正小标宋_GBK" w:eastAsia="方正小标宋_GBK"/>
                <w:sz w:val="24"/>
              </w:rPr>
              <w:t>375廊坊市广阳区司法局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vMerge w:val="continue"/>
            <w:shd w:val="clear" w:color="auto" w:fill="auto"/>
            <w:vAlign w:val="center"/>
          </w:tcP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一、司法行政管理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8.00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贯彻落实国家司法行政工作方针政策；拟订有关法规规章，制定全区司法行政中长期规划并组织实施。</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提升全区司法行政管理水平</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1、普法宣传</w:t>
            </w:r>
          </w:p>
        </w:tc>
        <w:tc>
          <w:tcPr>
            <w:tcW w:w="12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8.00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拟订全区法制宣传教育规划并组织实施；指导全市法制宣传、依法治理工作；组织、指导法制宣传报道；组织全区司法行政系统的宣传；承担全区法制教育领导小组办公室工作。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提高全区人民法律意识和法律素质，增强法治化管理水平，促进全区民主与法制建设。</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宣传资料印刷与散发宣传资料</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组织领导干部及行政执法人员法治培训次数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400.00%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网络舆情处置率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普法考核通过率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督导检查和验收次数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400.00%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组织主题宣传活动场次</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1400.00%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1800.00%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2、律师公证管理</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指导、监督全区律师工作、公证工作并承担相应责任；指导全区律师协会、全区公证员协会。</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充分发挥法律服务职能，规范律师、公证行业管理。</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年检机构满意率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98.00%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协会指导工作完成情况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圆满完成工作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提供法律咨询数量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98.00%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机构年检率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3、基层司法业务指导</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指导、监督全区社区矫正、人民调解、安置帮教、基层法律服务和基层司法所工作，负责全区基层法律服务工作者执业核准；会同人民法院指导人民陪审员工作；指导人民调解员协会工作。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深化人民调解、社区矫正和安置帮教工作，最大限度降低重新违法犯罪和社会不稳定因素发生率。</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人民调解案件数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27000.00%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31000.00%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20000.00%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人民调解民调通·领导通</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15000.00%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人民调解委员会指导工作完成情况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再犯罪减低率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千分之一</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千分之二</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千分之三</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服刑人员信息核查率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安置帮教率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新入矫人员心理矫正</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入矫人员司法e通手机定位监管</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社区矫正人员集中教育率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政府购买方式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98.00%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强化与北京接边全区辖5个乡镇、5个办事处</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98.00%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积极推进司法所外观标识规范化、所务管理规范化、办公设施齐备、网络平台，与京津冀协调发展</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4、法律援助</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指导、检查全区法律援助工作；规划法律援助事业发展布局；监督管理全区法律援助机构和法律援助从业人员；办理法律援助案件，政府购买法律服务；管理“7803148”法律援助专线。</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建立完善的法律援助法律法规体系、工作体制和机制，扩大法律援助覆盖面，推动全市法律援助工作长足发展。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法律援助案件受理数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4300.00%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政府购买法律服务一村（居委会）一律师</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法律援助案件群众满意度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法律援助咨询解答率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印制法律援助宣传资料</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法律援助案件指派率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5、司法鉴定管理</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拟定全区司法鉴定管理规定和技术规范；完成全区司法鉴定人和司法鉴定机构登记管理工作；负责区级司法鉴定机构的遴选和管理工作；指导面向社会的司法鉴定资质管理、质量管理和司法鉴定人继续教育培训。</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规范司法鉴定机构和司法鉴定人的管理，提高司法鉴定人员素质，促进司法鉴定的公正、公平。</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年度新许可司法鉴定人参加转岗培训率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98.00%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参加司法鉴定人培训率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司法鉴定机构年检率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圆满完成工作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司法鉴定准确率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97.00%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6、一村（居）一法律顾问</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指导、协助做好村（居）自治管理、协助村（居）委会做好疑难矛盾纠纷排查调解工作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实现全区“一村（居）一法律顾问”的工作目标，使村（居）法律服务更加便民快捷。</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提供法律咨询数量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98.00%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政府购买法律服务一村（居委会）一律师</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积极推进完善与司法调解衔接联动机制。促进诉讼与人民调解程序的无缝对接，增强人民调解工作的公信力。</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二、司法政务管理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55.83</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负责系统综合业务管理和机关直属事业单位综合事务管理。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提高司法行政系统执法能力</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55.83</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负责系统物资装备管理；中央国债资金管理；指导监督系统计划财务工作；指导监督系统队伍建设；负责系统警务管理和警务督察工作。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加强机关后勤保障，确保正常办公环境需要</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监督率100%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按时办结率100%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督导夯实</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较好完成工作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各项保障工作完成率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p>
        </w:tc>
      </w:tr>
    </w:tbl>
    <w:p>
      <w:pPr>
        <w:widowControl/>
        <w:spacing w:line="570" w:lineRule="exact"/>
        <w:jc w:val="left"/>
        <w:rPr>
          <w:rFonts w:ascii="宋体" w:hAnsi="宋体" w:eastAsia="仿宋_GB2312" w:cs="宋体"/>
          <w:color w:val="000000"/>
          <w:kern w:val="0"/>
          <w:sz w:val="32"/>
          <w:szCs w:val="32"/>
        </w:rPr>
      </w:pPr>
    </w:p>
    <w:p>
      <w:pPr>
        <w:widowControl/>
        <w:spacing w:line="570" w:lineRule="exact"/>
        <w:jc w:val="left"/>
        <w:rPr>
          <w:rFonts w:ascii="仿宋_GB2312" w:eastAsia="仿宋_GB2312" w:cs="宋体"/>
          <w:color w:val="000000"/>
          <w:kern w:val="0"/>
          <w:sz w:val="32"/>
          <w:szCs w:val="32"/>
        </w:rPr>
      </w:pPr>
      <w:r>
        <w:rPr>
          <w:rFonts w:ascii="宋体" w:hAnsi="宋体" w:eastAsia="仿宋_GB2312" w:cs="宋体"/>
          <w:color w:val="000000"/>
          <w:kern w:val="0"/>
          <w:sz w:val="32"/>
          <w:szCs w:val="32"/>
        </w:rPr>
        <w:br w:type="page"/>
      </w:r>
      <w:r>
        <w:rPr>
          <w:rFonts w:hint="eastAsia" w:ascii="黑体" w:eastAsia="黑体" w:cs="宋体"/>
          <w:b/>
          <w:bCs/>
          <w:color w:val="000000"/>
          <w:kern w:val="0"/>
          <w:sz w:val="32"/>
          <w:szCs w:val="32"/>
        </w:rPr>
        <w:t>六、政府采购预算情况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年，我部门未安排政府采购预算，具体内容见下表。</w:t>
      </w:r>
    </w:p>
    <w:p>
      <w:pPr>
        <w:spacing w:line="570" w:lineRule="exact"/>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4"/>
        <w:tblW w:w="137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0"/>
        <w:gridCol w:w="1013"/>
        <w:gridCol w:w="834"/>
        <w:gridCol w:w="1326"/>
        <w:gridCol w:w="834"/>
        <w:gridCol w:w="834"/>
        <w:gridCol w:w="856"/>
        <w:gridCol w:w="853"/>
        <w:gridCol w:w="853"/>
        <w:gridCol w:w="853"/>
        <w:gridCol w:w="776"/>
        <w:gridCol w:w="837"/>
        <w:gridCol w:w="837"/>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7"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left"/>
              <w:rPr>
                <w:rFonts w:ascii="仿宋_GB2312" w:eastAsia="仿宋_GB2312" w:cs="Times New Roman"/>
                <w:sz w:val="28"/>
                <w:szCs w:val="28"/>
              </w:rPr>
            </w:pPr>
            <w:r>
              <w:rPr>
                <w:rFonts w:hint="eastAsia" w:ascii="仿宋_GB2312" w:eastAsia="仿宋_GB2312" w:cs="Times New Roman"/>
                <w:sz w:val="28"/>
                <w:szCs w:val="28"/>
                <w:lang w:val="en-US" w:eastAsia="zh-CN"/>
              </w:rPr>
              <w:t>375</w:t>
            </w:r>
            <w:r>
              <w:rPr>
                <w:rFonts w:hint="eastAsia" w:ascii="仿宋_GB2312" w:eastAsia="仿宋_GB2312" w:cs="Times New Roman"/>
                <w:sz w:val="28"/>
                <w:szCs w:val="28"/>
              </w:rPr>
              <w:t>廊坊市广阳区司法局</w:t>
            </w:r>
          </w:p>
        </w:tc>
        <w:tc>
          <w:tcPr>
            <w:tcW w:w="5796"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3" w:type="dxa"/>
            <w:gridSpan w:val="2"/>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1326"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5796" w:type="dxa"/>
            <w:gridSpan w:val="7"/>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0"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shd w:val="clear" w:color="auto" w:fill="auto"/>
            <w:vAlign w:val="center"/>
          </w:tcPr>
          <w:p/>
        </w:tc>
        <w:tc>
          <w:tcPr>
            <w:tcW w:w="1326"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7"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70" w:type="dxa"/>
            <w:vMerge w:val="continue"/>
            <w:shd w:val="clear" w:color="auto" w:fill="auto"/>
            <w:vAlign w:val="center"/>
          </w:tcPr>
          <w:p/>
        </w:tc>
        <w:tc>
          <w:tcPr>
            <w:tcW w:w="1013" w:type="dxa"/>
            <w:vMerge w:val="continue"/>
            <w:shd w:val="clear" w:color="auto" w:fill="auto"/>
            <w:vAlign w:val="center"/>
          </w:tcPr>
          <w:p/>
        </w:tc>
        <w:tc>
          <w:tcPr>
            <w:tcW w:w="834" w:type="dxa"/>
            <w:vMerge w:val="continue"/>
            <w:shd w:val="clear" w:color="auto" w:fill="auto"/>
            <w:vAlign w:val="center"/>
          </w:tcPr>
          <w:p/>
        </w:tc>
        <w:tc>
          <w:tcPr>
            <w:tcW w:w="1326"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continue"/>
            <w:shd w:val="clear" w:color="auto" w:fill="auto"/>
            <w:vAlign w:val="center"/>
          </w:tcPr>
          <w:p/>
        </w:tc>
        <w:tc>
          <w:tcPr>
            <w:tcW w:w="853"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853"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78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jc w:val="center"/>
        </w:trPr>
        <w:tc>
          <w:tcPr>
            <w:tcW w:w="2270"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1013"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1326"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56"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776"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787" w:type="dxa"/>
            <w:shd w:val="clear" w:color="auto" w:fill="auto"/>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jc w:val="center"/>
        </w:trPr>
        <w:tc>
          <w:tcPr>
            <w:tcW w:w="2270" w:type="dxa"/>
            <w:shd w:val="clear" w:color="auto" w:fill="auto"/>
            <w:vAlign w:val="center"/>
          </w:tcPr>
          <w:p>
            <w:pPr>
              <w:spacing w:line="570" w:lineRule="exact"/>
              <w:jc w:val="center"/>
              <w:rPr>
                <w:rFonts w:ascii="仿宋_GB2312" w:eastAsia="仿宋_GB2312" w:cs="Times New Roman"/>
                <w:b/>
                <w:sz w:val="28"/>
                <w:szCs w:val="28"/>
              </w:rPr>
            </w:pPr>
          </w:p>
        </w:tc>
        <w:tc>
          <w:tcPr>
            <w:tcW w:w="1013"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1326"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56"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776"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787" w:type="dxa"/>
            <w:shd w:val="clear" w:color="auto" w:fill="auto"/>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jc w:val="center"/>
        </w:trPr>
        <w:tc>
          <w:tcPr>
            <w:tcW w:w="2270" w:type="dxa"/>
            <w:shd w:val="clear" w:color="auto" w:fill="auto"/>
            <w:vAlign w:val="center"/>
          </w:tcPr>
          <w:p>
            <w:pPr>
              <w:spacing w:line="570" w:lineRule="exact"/>
              <w:jc w:val="center"/>
              <w:rPr>
                <w:rFonts w:ascii="仿宋_GB2312" w:eastAsia="仿宋_GB2312" w:cs="Times New Roman"/>
                <w:sz w:val="28"/>
                <w:szCs w:val="28"/>
              </w:rPr>
            </w:pPr>
          </w:p>
        </w:tc>
        <w:tc>
          <w:tcPr>
            <w:tcW w:w="1013"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1326"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56"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776"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787" w:type="dxa"/>
            <w:shd w:val="clear" w:color="auto" w:fill="auto"/>
            <w:vAlign w:val="center"/>
          </w:tcPr>
          <w:p>
            <w:pPr>
              <w:spacing w:line="570" w:lineRule="exact"/>
              <w:jc w:val="center"/>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jc w:val="center"/>
        </w:trPr>
        <w:tc>
          <w:tcPr>
            <w:tcW w:w="2270" w:type="dxa"/>
            <w:shd w:val="clear" w:color="auto" w:fill="auto"/>
            <w:vAlign w:val="center"/>
          </w:tcPr>
          <w:p>
            <w:pPr>
              <w:spacing w:line="570" w:lineRule="exact"/>
              <w:jc w:val="center"/>
              <w:rPr>
                <w:rFonts w:ascii="仿宋_GB2312" w:eastAsia="仿宋_GB2312" w:cs="Times New Roman"/>
                <w:sz w:val="28"/>
                <w:szCs w:val="28"/>
              </w:rPr>
            </w:pPr>
          </w:p>
        </w:tc>
        <w:tc>
          <w:tcPr>
            <w:tcW w:w="1013"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1326"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56"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776"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787" w:type="dxa"/>
            <w:shd w:val="clear" w:color="auto" w:fill="auto"/>
            <w:vAlign w:val="center"/>
          </w:tcPr>
          <w:p>
            <w:pPr>
              <w:spacing w:line="570" w:lineRule="exact"/>
              <w:jc w:val="center"/>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jc w:val="center"/>
        </w:trPr>
        <w:tc>
          <w:tcPr>
            <w:tcW w:w="2270" w:type="dxa"/>
            <w:shd w:val="clear" w:color="auto" w:fill="auto"/>
            <w:vAlign w:val="center"/>
          </w:tcPr>
          <w:p>
            <w:pPr>
              <w:spacing w:line="570" w:lineRule="exact"/>
              <w:jc w:val="center"/>
              <w:rPr>
                <w:rFonts w:ascii="仿宋_GB2312" w:eastAsia="仿宋_GB2312" w:cs="Times New Roman"/>
                <w:sz w:val="28"/>
                <w:szCs w:val="28"/>
              </w:rPr>
            </w:pPr>
          </w:p>
        </w:tc>
        <w:tc>
          <w:tcPr>
            <w:tcW w:w="1013"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1326"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56"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776"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787" w:type="dxa"/>
            <w:shd w:val="clear" w:color="auto" w:fill="auto"/>
            <w:vAlign w:val="center"/>
          </w:tcPr>
          <w:p>
            <w:pPr>
              <w:spacing w:line="570" w:lineRule="exact"/>
              <w:jc w:val="center"/>
              <w:rPr>
                <w:rFonts w:ascii="仿宋_GB2312" w:eastAsia="仿宋_GB2312" w:cs="Times New Roman"/>
                <w:sz w:val="28"/>
                <w:szCs w:val="28"/>
              </w:rPr>
            </w:pPr>
          </w:p>
        </w:tc>
      </w:tr>
    </w:tbl>
    <w:p>
      <w:pPr>
        <w:widowControl/>
        <w:spacing w:line="570" w:lineRule="exact"/>
        <w:ind w:left="160" w:hanging="161" w:hangingChars="50"/>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br w:type="page"/>
      </w: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广阳区司法局</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上年末固定资产金额为265.72万元，我部门本年度</w:t>
      </w:r>
      <w:r>
        <w:rPr>
          <w:rFonts w:ascii="仿宋_GB2312" w:eastAsia="仿宋_GB2312" w:cs="宋体"/>
          <w:color w:val="000000"/>
          <w:kern w:val="0"/>
          <w:sz w:val="32"/>
          <w:szCs w:val="32"/>
        </w:rPr>
        <w:t>无</w:t>
      </w:r>
      <w:r>
        <w:rPr>
          <w:rFonts w:hint="eastAsia" w:ascii="仿宋_GB2312" w:eastAsia="仿宋_GB2312" w:cs="宋体"/>
          <w:color w:val="000000"/>
          <w:kern w:val="0"/>
          <w:sz w:val="32"/>
          <w:szCs w:val="32"/>
        </w:rPr>
        <w:t>拟购置固定资产，详见下表。</w:t>
      </w:r>
    </w:p>
    <w:tbl>
      <w:tblPr>
        <w:tblStyle w:val="4"/>
        <w:tblW w:w="103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05"/>
        <w:gridCol w:w="2565"/>
        <w:gridCol w:w="3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5" w:hRule="atLeast"/>
          <w:tblCellSpacing w:w="0" w:type="dxa"/>
          <w:jc w:val="center"/>
        </w:trPr>
        <w:tc>
          <w:tcPr>
            <w:tcW w:w="10340" w:type="dxa"/>
            <w:gridSpan w:val="3"/>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6570" w:type="dxa"/>
            <w:gridSpan w:val="2"/>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kern w:val="0"/>
                <w:sz w:val="28"/>
                <w:szCs w:val="28"/>
                <w:lang w:val="en-US" w:eastAsia="zh-CN"/>
              </w:rPr>
              <w:t>375</w:t>
            </w:r>
            <w:r>
              <w:rPr>
                <w:rFonts w:hint="eastAsia" w:ascii="仿宋_GB2312" w:eastAsia="仿宋_GB2312" w:cs="宋体"/>
                <w:b/>
                <w:bCs/>
                <w:kern w:val="0"/>
                <w:sz w:val="28"/>
                <w:szCs w:val="28"/>
              </w:rPr>
              <w:t>廊坊市广阳区司法局</w:t>
            </w:r>
          </w:p>
        </w:tc>
        <w:tc>
          <w:tcPr>
            <w:tcW w:w="3770" w:type="dxa"/>
            <w:vAlign w:val="center"/>
          </w:tcPr>
          <w:p>
            <w:pPr>
              <w:widowControl/>
              <w:spacing w:line="570" w:lineRule="exact"/>
              <w:jc w:val="center"/>
              <w:rPr>
                <w:rFonts w:ascii="宋体" w:hAnsi="宋体" w:eastAsia="仿宋_GB2312" w:cs="宋体"/>
                <w:kern w:val="0"/>
                <w:sz w:val="28"/>
                <w:szCs w:val="28"/>
              </w:rPr>
            </w:pPr>
            <w:r>
              <w:rPr>
                <w:rFonts w:hint="eastAsia" w:ascii="仿宋_GB2312" w:eastAsia="仿宋_GB2312" w:cs="宋体"/>
                <w:kern w:val="0"/>
                <w:sz w:val="28"/>
                <w:szCs w:val="28"/>
              </w:rPr>
              <w:t>截止时间：201</w:t>
            </w:r>
            <w:r>
              <w:rPr>
                <w:rFonts w:ascii="仿宋_GB2312" w:eastAsia="仿宋_GB2312" w:cs="宋体"/>
                <w:kern w:val="0"/>
                <w:sz w:val="28"/>
                <w:szCs w:val="28"/>
              </w:rPr>
              <w:t>7</w:t>
            </w:r>
            <w:r>
              <w:rPr>
                <w:rFonts w:hint="eastAsia" w:ascii="仿宋_GB2312" w:eastAsia="仿宋_GB2312" w:cs="宋体"/>
                <w:kern w:val="0"/>
                <w:sz w:val="28"/>
                <w:szCs w:val="28"/>
              </w:rPr>
              <w:t>年12月31日</w:t>
            </w:r>
            <w:r>
              <w:rPr>
                <w:rFonts w:ascii="宋体" w:hAnsi="宋体" w:eastAsia="仿宋_GB2312"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265.72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635.5</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635.5</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3</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41.46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147.26</w:t>
            </w:r>
          </w:p>
        </w:tc>
      </w:tr>
    </w:tbl>
    <w:p>
      <w:pPr>
        <w:pStyle w:val="7"/>
        <w:spacing w:line="570" w:lineRule="exact"/>
        <w:rPr>
          <w:rFonts w:ascii="黑体" w:eastAsia="黑体" w:cs="宋体"/>
          <w:b/>
          <w:bCs/>
          <w:sz w:val="32"/>
          <w:szCs w:val="32"/>
        </w:rPr>
      </w:pPr>
    </w:p>
    <w:p>
      <w:pPr>
        <w:pStyle w:val="7"/>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ind w:left="643" w:hanging="643" w:hangingChars="200"/>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w:t>
      </w:r>
      <w:r>
        <w:rPr>
          <w:rFonts w:hint="eastAsia" w:ascii="黑体" w:eastAsia="黑体" w:cs="宋体"/>
          <w:b/>
          <w:bCs/>
          <w:color w:val="000000"/>
          <w:kern w:val="0"/>
          <w:sz w:val="32"/>
          <w:szCs w:val="32"/>
          <w:lang w:eastAsia="zh-CN"/>
        </w:rPr>
        <w:t>他</w:t>
      </w:r>
      <w:r>
        <w:rPr>
          <w:rFonts w:hint="eastAsia" w:ascii="黑体" w:eastAsia="黑体" w:cs="宋体"/>
          <w:b/>
          <w:bCs/>
          <w:color w:val="000000"/>
          <w:kern w:val="0"/>
          <w:sz w:val="32"/>
          <w:szCs w:val="32"/>
        </w:rPr>
        <w:t>需要说明的事项</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无其</w:t>
      </w:r>
      <w:r>
        <w:rPr>
          <w:rFonts w:hint="eastAsia" w:ascii="仿宋_GB2312" w:eastAsia="仿宋_GB2312" w:cs="宋体"/>
          <w:color w:val="000000"/>
          <w:kern w:val="0"/>
          <w:sz w:val="32"/>
          <w:szCs w:val="32"/>
          <w:lang w:eastAsia="zh-CN"/>
        </w:rPr>
        <w:t>他</w:t>
      </w:r>
      <w:r>
        <w:rPr>
          <w:rFonts w:hint="eastAsia" w:ascii="仿宋_GB2312" w:eastAsia="仿宋_GB2312" w:cs="宋体"/>
          <w:color w:val="000000"/>
          <w:kern w:val="0"/>
          <w:sz w:val="32"/>
          <w:szCs w:val="32"/>
        </w:rPr>
        <w:t>需要说明的事项。</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p>
    <w:p>
      <w:pPr>
        <w:spacing w:line="570" w:lineRule="exact"/>
        <w:rPr>
          <w:rFonts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FZFangSong-Z02">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30DBC"/>
    <w:multiLevelType w:val="multilevel"/>
    <w:tmpl w:val="60A30DBC"/>
    <w:lvl w:ilvl="0" w:tentative="0">
      <w:start w:val="1"/>
      <w:numFmt w:val="japaneseCounting"/>
      <w:lvlText w:val="%1、"/>
      <w:lvlJc w:val="left"/>
      <w:pPr>
        <w:tabs>
          <w:tab w:val="left" w:pos="0"/>
        </w:tabs>
        <w:ind w:left="720" w:hanging="720"/>
      </w:pPr>
      <w:rPr>
        <w:rFonts w:hint="default" w:ascii="黑体" w:hAnsi="黑体" w:eastAsia="黑体"/>
        <w:b/>
        <w:sz w:val="32"/>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18584BB4"/>
    <w:rsid w:val="4B8E35C6"/>
    <w:rsid w:val="5AF81591"/>
    <w:rsid w:val="61E11B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21</Pages>
  <Words>5138</Words>
  <Characters>5539</Characters>
  <Lines>815</Lines>
  <Paragraphs>359</Paragraphs>
  <TotalTime>0</TotalTime>
  <ScaleCrop>false</ScaleCrop>
  <LinksUpToDate>false</LinksUpToDate>
  <CharactersWithSpaces>5610</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Administrator</cp:lastModifiedBy>
  <dcterms:modified xsi:type="dcterms:W3CDTF">2024-01-18T01:50:26Z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EF27209715A64E2695DE68CEB7D323D8</vt:lpwstr>
  </property>
</Properties>
</file>