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s="宋体"/>
          <w:color w:val="000000"/>
          <w:kern w:val="0"/>
          <w:sz w:val="44"/>
          <w:szCs w:val="44"/>
        </w:rPr>
      </w:pPr>
      <w:r>
        <w:rPr>
          <w:rFonts w:hint="eastAsia" w:ascii="方正小标宋简体" w:eastAsia="方正小标宋简体" w:cs="宋体"/>
          <w:b/>
          <w:bCs/>
          <w:color w:val="000000"/>
          <w:kern w:val="0"/>
          <w:sz w:val="44"/>
          <w:szCs w:val="44"/>
        </w:rPr>
        <w:t>廊坊市广阳区供销</w:t>
      </w:r>
      <w:r>
        <w:rPr>
          <w:rFonts w:hint="eastAsia" w:ascii="方正小标宋简体" w:eastAsia="方正小标宋简体" w:cs="宋体"/>
          <w:b/>
          <w:bCs/>
          <w:color w:val="000000"/>
          <w:kern w:val="0"/>
          <w:sz w:val="44"/>
          <w:szCs w:val="44"/>
          <w:lang w:eastAsia="zh-CN"/>
        </w:rPr>
        <w:t>合作社联合</w:t>
      </w:r>
      <w:r>
        <w:rPr>
          <w:rFonts w:hint="eastAsia" w:ascii="方正小标宋简体" w:eastAsia="方正小标宋简体" w:cs="宋体"/>
          <w:b/>
          <w:bCs/>
          <w:color w:val="000000"/>
          <w:kern w:val="0"/>
          <w:sz w:val="44"/>
          <w:szCs w:val="44"/>
        </w:rPr>
        <w:t>社2018年部门预算</w:t>
      </w:r>
      <w:r>
        <w:rPr>
          <w:rFonts w:hint="eastAsia" w:ascii="方正小标宋简体" w:eastAsia="方正小标宋简体"/>
          <w:sz w:val="44"/>
          <w:szCs w:val="44"/>
        </w:rPr>
        <w:t>信息</w:t>
      </w:r>
      <w:r>
        <w:rPr>
          <w:rFonts w:hint="eastAsia" w:ascii="方正小标宋简体" w:eastAsia="方正小标宋简体" w:cs="宋体"/>
          <w:b/>
          <w:bCs/>
          <w:color w:val="000000"/>
          <w:kern w:val="0"/>
          <w:sz w:val="44"/>
          <w:szCs w:val="44"/>
        </w:rPr>
        <w:t>公开</w:t>
      </w:r>
      <w:r>
        <w:rPr>
          <w:rFonts w:hint="eastAsia" w:ascii="方正小标宋简体" w:eastAsia="方正小标宋简体" w:cs="宋体"/>
          <w:color w:val="000000"/>
          <w:kern w:val="0"/>
          <w:sz w:val="44"/>
          <w:szCs w:val="44"/>
        </w:rPr>
        <w:t> </w:t>
      </w:r>
    </w:p>
    <w:p>
      <w:pPr>
        <w:ind w:firstLine="640" w:firstLineChars="200"/>
        <w:rPr>
          <w:rFonts w:ascii="仿宋_GB2312" w:eastAsia="仿宋_GB2312"/>
          <w:sz w:val="32"/>
          <w:szCs w:val="32"/>
        </w:rPr>
      </w:pPr>
      <w:r>
        <w:rPr>
          <w:rFonts w:hint="eastAsia" w:ascii="仿宋_GB2312" w:eastAsia="仿宋_GB2312"/>
          <w:sz w:val="32"/>
          <w:szCs w:val="32"/>
        </w:rPr>
        <w:t>按照《预算法》、《地方预决算公开操作规程》和《河北省省级预算公开办法》规定，现将</w:t>
      </w:r>
      <w:r>
        <w:rPr>
          <w:rFonts w:hint="eastAsia" w:ascii="仿宋_GB2312" w:eastAsia="仿宋_GB2312" w:cs="宋体"/>
          <w:color w:val="000000"/>
          <w:kern w:val="0"/>
          <w:sz w:val="32"/>
          <w:szCs w:val="32"/>
        </w:rPr>
        <w:t>廊坊市广阳区供销</w:t>
      </w:r>
      <w:r>
        <w:rPr>
          <w:rFonts w:hint="eastAsia" w:ascii="仿宋_GB2312" w:eastAsia="仿宋_GB2312" w:cs="宋体"/>
          <w:color w:val="000000"/>
          <w:kern w:val="0"/>
          <w:sz w:val="32"/>
          <w:szCs w:val="32"/>
          <w:lang w:eastAsia="zh-CN"/>
        </w:rPr>
        <w:t>合作社联合</w:t>
      </w:r>
      <w:r>
        <w:rPr>
          <w:rFonts w:hint="eastAsia" w:ascii="仿宋_GB2312" w:eastAsia="仿宋_GB2312" w:cs="宋体"/>
          <w:color w:val="000000"/>
          <w:kern w:val="0"/>
          <w:sz w:val="32"/>
          <w:szCs w:val="32"/>
        </w:rPr>
        <w:t>社</w:t>
      </w:r>
      <w:r>
        <w:rPr>
          <w:rFonts w:hint="eastAsia" w:ascii="仿宋_GB2312" w:eastAsia="仿宋_GB2312"/>
          <w:sz w:val="32"/>
          <w:szCs w:val="32"/>
        </w:rPr>
        <w:t xml:space="preserve">2018年部门预算公开如下：  </w:t>
      </w:r>
    </w:p>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一、部门职责及机构设置情况</w:t>
      </w:r>
      <w:r>
        <w:rPr>
          <w:rFonts w:hint="eastAsia" w:ascii="黑体" w:eastAsia="黑体" w:cs="宋体"/>
          <w:b/>
          <w:bCs/>
          <w:color w:val="000000"/>
          <w:kern w:val="0"/>
          <w:sz w:val="32"/>
          <w:szCs w:val="32"/>
        </w:rPr>
        <w:br w:type="textWrapping"/>
      </w:r>
      <w:r>
        <w:rPr>
          <w:rFonts w:hint="eastAsia" w:ascii="宋体" w:hAnsi="宋体" w:eastAsia="仿宋_GB2312" w:cs="宋体"/>
          <w:b/>
          <w:bCs/>
          <w:color w:val="000000"/>
          <w:kern w:val="0"/>
          <w:sz w:val="32"/>
          <w:szCs w:val="32"/>
        </w:rPr>
        <w:t>    </w:t>
      </w:r>
      <w:r>
        <w:rPr>
          <w:rFonts w:hint="eastAsia" w:ascii="仿宋_GB2312" w:eastAsia="仿宋_GB2312" w:cs="宋体"/>
          <w:b/>
          <w:bCs/>
          <w:color w:val="000000"/>
          <w:kern w:val="0"/>
          <w:sz w:val="32"/>
          <w:szCs w:val="32"/>
        </w:rPr>
        <w:t>部门职责：</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（一） 是贯彻区委、区政府有关农村工作和社会发展的方针、政策；</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（二）是按照区政府授权，对全区农业生产资料、日用消费品、棉花、食盐、烟花爆竹喝废旧再生资源等进行组织、协调和管理；</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是负责指导全区供销社的业务工作，参与、推动和服务农业产业化经营，发展龙头企业、专业合作社和消费合作社，加快农业社会服务体系和农产品市场体系建设，开拓城乡市场。同时，承办区委、区政府和市供销社交办的其它事项。</w:t>
      </w:r>
    </w:p>
    <w:p>
      <w:pPr>
        <w:widowControl/>
        <w:spacing w:line="360" w:lineRule="atLeast"/>
        <w:jc w:val="left"/>
        <w:rPr>
          <w:rFonts w:ascii="仿宋_GB2312" w:eastAsia="仿宋_GB2312" w:cs="宋体"/>
          <w:b/>
          <w:bCs/>
          <w:color w:val="000000"/>
          <w:kern w:val="0"/>
          <w:sz w:val="32"/>
          <w:szCs w:val="32"/>
        </w:rPr>
      </w:pP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机构设置：</w:t>
      </w:r>
    </w:p>
    <w:p>
      <w:pPr>
        <w:widowControl/>
        <w:spacing w:line="360" w:lineRule="atLeast"/>
        <w:jc w:val="center"/>
        <w:rPr>
          <w:rFonts w:ascii="宋体" w:hAnsi="宋体" w:eastAsia="仿宋_GB2312" w:cs="宋体"/>
          <w:color w:val="000000"/>
          <w:kern w:val="0"/>
          <w:sz w:val="28"/>
          <w:szCs w:val="28"/>
        </w:rPr>
      </w:pPr>
      <w:r>
        <w:rPr>
          <w:rFonts w:hint="eastAsia" w:ascii="宋体" w:hAnsi="宋体" w:eastAsia="仿宋_GB2312" w:cs="宋体"/>
          <w:color w:val="000000"/>
          <w:kern w:val="0"/>
          <w:sz w:val="28"/>
          <w:szCs w:val="28"/>
        </w:rPr>
        <w:t xml:space="preserve">    </w:t>
      </w:r>
    </w:p>
    <w:p>
      <w:pPr>
        <w:widowControl/>
        <w:spacing w:line="360" w:lineRule="atLeast"/>
        <w:jc w:val="center"/>
        <w:rPr>
          <w:rFonts w:ascii="宋体" w:hAnsi="宋体" w:eastAsia="仿宋_GB2312" w:cs="宋体"/>
          <w:color w:val="000000"/>
          <w:kern w:val="0"/>
          <w:sz w:val="28"/>
          <w:szCs w:val="28"/>
        </w:rPr>
      </w:pPr>
    </w:p>
    <w:p>
      <w:pPr>
        <w:widowControl/>
        <w:spacing w:line="360" w:lineRule="atLeast"/>
        <w:jc w:val="center"/>
        <w:rPr>
          <w:rFonts w:ascii="宋体" w:hAnsi="宋体" w:eastAsia="仿宋_GB2312" w:cs="宋体"/>
          <w:color w:val="000000"/>
          <w:kern w:val="0"/>
          <w:sz w:val="28"/>
          <w:szCs w:val="28"/>
        </w:rPr>
      </w:pPr>
    </w:p>
    <w:p>
      <w:pPr>
        <w:widowControl/>
        <w:spacing w:line="360" w:lineRule="atLeast"/>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部门机构设置情况</w:t>
      </w:r>
    </w:p>
    <w:tbl>
      <w:tblPr>
        <w:tblStyle w:val="6"/>
        <w:tblW w:w="9512"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93"/>
        <w:gridCol w:w="1388"/>
        <w:gridCol w:w="1273"/>
        <w:gridCol w:w="255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34" w:hRule="atLeast"/>
          <w:tblHeader/>
          <w:tblCellSpacing w:w="0" w:type="dxa"/>
          <w:jc w:val="center"/>
        </w:trPr>
        <w:tc>
          <w:tcPr>
            <w:tcW w:w="429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单位名称</w:t>
            </w:r>
          </w:p>
        </w:tc>
        <w:tc>
          <w:tcPr>
            <w:tcW w:w="138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单位性质</w:t>
            </w:r>
          </w:p>
        </w:tc>
        <w:tc>
          <w:tcPr>
            <w:tcW w:w="1273"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单位规格</w:t>
            </w:r>
          </w:p>
        </w:tc>
        <w:tc>
          <w:tcPr>
            <w:tcW w:w="2558" w:type="dxa"/>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eastAsia="仿宋_GB2312" w:cs="宋体"/>
                <w:b/>
                <w:bCs/>
                <w:kern w:val="0"/>
                <w:sz w:val="28"/>
                <w:szCs w:val="28"/>
              </w:rPr>
            </w:pPr>
            <w:r>
              <w:rPr>
                <w:rFonts w:hint="eastAsia" w:ascii="仿宋_GB2312" w:eastAsia="仿宋_GB2312" w:cs="宋体"/>
                <w:b/>
                <w:bCs/>
                <w:kern w:val="0"/>
                <w:sz w:val="28"/>
                <w:szCs w:val="28"/>
              </w:rPr>
              <w:t>经费保障形式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225" w:hRule="atLeast"/>
          <w:tblCellSpacing w:w="0" w:type="dxa"/>
          <w:jc w:val="center"/>
        </w:trPr>
        <w:tc>
          <w:tcPr>
            <w:tcW w:w="4293"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28"/>
                <w:szCs w:val="28"/>
              </w:rPr>
            </w:pPr>
            <w:r>
              <w:rPr>
                <w:rFonts w:hint="eastAsia" w:ascii="仿宋_GB2312" w:eastAsia="仿宋_GB2312" w:cs="宋体"/>
                <w:kern w:val="0"/>
                <w:sz w:val="28"/>
                <w:szCs w:val="28"/>
              </w:rPr>
              <w:t>廊坊市广阳区供销合作社联合社</w:t>
            </w:r>
          </w:p>
        </w:tc>
        <w:tc>
          <w:tcPr>
            <w:tcW w:w="138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28"/>
                <w:szCs w:val="28"/>
              </w:rPr>
            </w:pPr>
            <w:r>
              <w:rPr>
                <w:rFonts w:hint="eastAsia" w:ascii="仿宋_GB2312" w:eastAsia="仿宋_GB2312" w:cs="宋体"/>
                <w:kern w:val="0"/>
                <w:sz w:val="28"/>
                <w:szCs w:val="28"/>
              </w:rPr>
              <w:t>行政单位</w:t>
            </w:r>
          </w:p>
        </w:tc>
        <w:tc>
          <w:tcPr>
            <w:tcW w:w="1273"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28"/>
                <w:szCs w:val="28"/>
              </w:rPr>
            </w:pPr>
            <w:r>
              <w:rPr>
                <w:rFonts w:hint="eastAsia" w:ascii="仿宋_GB2312" w:eastAsia="仿宋_GB2312" w:cs="宋体"/>
                <w:kern w:val="0"/>
                <w:sz w:val="28"/>
                <w:szCs w:val="28"/>
              </w:rPr>
              <w:t>正科级</w:t>
            </w:r>
          </w:p>
        </w:tc>
        <w:tc>
          <w:tcPr>
            <w:tcW w:w="2558" w:type="dxa"/>
            <w:tcBorders>
              <w:top w:val="outset" w:color="auto" w:sz="6" w:space="0"/>
              <w:left w:val="outset" w:color="auto" w:sz="6" w:space="0"/>
              <w:bottom w:val="outset" w:color="auto" w:sz="6" w:space="0"/>
              <w:right w:val="outset" w:color="auto" w:sz="6" w:space="0"/>
            </w:tcBorders>
            <w:vAlign w:val="center"/>
          </w:tcPr>
          <w:p>
            <w:pPr>
              <w:widowControl/>
              <w:spacing w:line="225" w:lineRule="atLeast"/>
              <w:jc w:val="center"/>
              <w:rPr>
                <w:rFonts w:ascii="仿宋_GB2312" w:eastAsia="仿宋_GB2312" w:cs="宋体"/>
                <w:kern w:val="0"/>
                <w:sz w:val="28"/>
                <w:szCs w:val="28"/>
              </w:rPr>
            </w:pPr>
            <w:r>
              <w:rPr>
                <w:rFonts w:hint="eastAsia" w:ascii="仿宋_GB2312" w:eastAsia="仿宋_GB2312" w:cs="宋体"/>
                <w:kern w:val="0"/>
                <w:sz w:val="28"/>
                <w:szCs w:val="28"/>
              </w:rPr>
              <w:t>财政拨款</w:t>
            </w:r>
          </w:p>
        </w:tc>
      </w:tr>
    </w:tbl>
    <w:p>
      <w:pPr>
        <w:widowControl/>
        <w:spacing w:line="570" w:lineRule="exac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二、部门预算安排的总体情况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按照预算管理有关规定，目前我区部门预算的编制实行综合预算制度，即全部收入和支出都反映在预算中。</w:t>
      </w:r>
      <w:r>
        <w:rPr>
          <w:rFonts w:hint="eastAsia" w:ascii="仿宋_GB2312" w:hAnsi="Times New Roman" w:eastAsia="仿宋_GB2312" w:cs="Times New Roman"/>
          <w:sz w:val="32"/>
          <w:szCs w:val="32"/>
        </w:rPr>
        <w:t>廊坊市</w:t>
      </w:r>
      <w:r>
        <w:rPr>
          <w:rFonts w:hint="eastAsia" w:ascii="仿宋_GB2312" w:eastAsia="仿宋_GB2312" w:cs="宋体"/>
          <w:color w:val="000000"/>
          <w:kern w:val="0"/>
          <w:sz w:val="32"/>
          <w:szCs w:val="32"/>
        </w:rPr>
        <w:t>广阳区供销</w:t>
      </w:r>
      <w:r>
        <w:rPr>
          <w:rFonts w:hint="eastAsia" w:ascii="仿宋_GB2312" w:eastAsia="仿宋_GB2312" w:cs="宋体"/>
          <w:color w:val="000000"/>
          <w:kern w:val="0"/>
          <w:sz w:val="32"/>
          <w:szCs w:val="32"/>
          <w:lang w:eastAsia="zh-CN"/>
        </w:rPr>
        <w:t>合作社联合</w:t>
      </w:r>
      <w:r>
        <w:rPr>
          <w:rFonts w:hint="eastAsia" w:ascii="仿宋_GB2312" w:eastAsia="仿宋_GB2312" w:cs="宋体"/>
          <w:color w:val="000000"/>
          <w:kern w:val="0"/>
          <w:sz w:val="32"/>
          <w:szCs w:val="32"/>
        </w:rPr>
        <w:t>社</w:t>
      </w:r>
      <w:r>
        <w:rPr>
          <w:rFonts w:hint="eastAsia" w:ascii="仿宋_GB2312" w:hAnsi="Times New Roman" w:eastAsia="仿宋_GB2312" w:cs="Times New Roman"/>
          <w:sz w:val="32"/>
          <w:szCs w:val="32"/>
        </w:rPr>
        <w:t>机关及所属事业单位的收支包含在部门预算中。</w:t>
      </w:r>
      <w:r>
        <w:rPr>
          <w:rFonts w:hint="eastAsia" w:ascii="仿宋_GB2312" w:eastAsia="仿宋_GB2312" w:cs="宋体"/>
          <w:color w:val="000000"/>
          <w:kern w:val="0"/>
          <w:sz w:val="32"/>
          <w:szCs w:val="32"/>
        </w:rPr>
        <w:br w:type="textWrapping"/>
      </w: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1、收入说明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2018年预算收入697.62万元，其中：一般公共预算收入697.62万元，政府性基金收入0万元。财政专户核拨收入0万元，其他来源收入0万元</w:t>
      </w:r>
      <w:r>
        <w:rPr>
          <w:rFonts w:hint="eastAsia" w:ascii="仿宋_GB2312" w:eastAsia="仿宋_GB2312" w:cs="宋体"/>
          <w:color w:val="000000"/>
          <w:kern w:val="0"/>
          <w:sz w:val="32"/>
          <w:szCs w:val="32"/>
          <w:lang w:eastAsia="zh-CN"/>
        </w:rPr>
        <w:t>。</w:t>
      </w:r>
    </w:p>
    <w:p>
      <w:pPr>
        <w:widowControl/>
        <w:spacing w:line="360" w:lineRule="atLeast"/>
        <w:jc w:val="left"/>
        <w:rPr>
          <w:rFonts w:ascii="仿宋_GB2312" w:eastAsia="仿宋_GB2312" w:cs="宋体"/>
          <w:color w:val="000000"/>
          <w:kern w:val="0"/>
          <w:sz w:val="32"/>
          <w:szCs w:val="32"/>
        </w:rPr>
      </w:pPr>
      <w:r>
        <w:rPr>
          <w:rFonts w:hint="eastAsia" w:ascii="宋体" w:hAnsi="宋体" w:eastAsia="楷体_GB2312" w:cs="宋体"/>
          <w:b/>
          <w:bCs/>
          <w:color w:val="000000"/>
          <w:kern w:val="0"/>
          <w:sz w:val="32"/>
          <w:szCs w:val="32"/>
        </w:rPr>
        <w:t xml:space="preserve">    </w:t>
      </w:r>
      <w:r>
        <w:rPr>
          <w:rFonts w:hint="eastAsia" w:ascii="楷体_GB2312" w:eastAsia="楷体_GB2312" w:cs="宋体"/>
          <w:b/>
          <w:bCs/>
          <w:color w:val="000000"/>
          <w:kern w:val="0"/>
          <w:sz w:val="32"/>
          <w:szCs w:val="32"/>
        </w:rPr>
        <w:t>2、支出说明</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color w:val="000000"/>
          <w:kern w:val="0"/>
          <w:sz w:val="32"/>
          <w:szCs w:val="32"/>
        </w:rPr>
        <w:t>收支预算总表支出栏、基本支出表、项目支出表按经济分类和支出功能分类科目编制，反映河北省廊坊市广阳区供销</w:t>
      </w:r>
      <w:r>
        <w:rPr>
          <w:rFonts w:hint="eastAsia" w:ascii="仿宋_GB2312" w:eastAsia="仿宋_GB2312" w:cs="宋体"/>
          <w:color w:val="000000"/>
          <w:kern w:val="0"/>
          <w:sz w:val="32"/>
          <w:szCs w:val="32"/>
          <w:lang w:eastAsia="zh-CN"/>
        </w:rPr>
        <w:t>合作社联合</w:t>
      </w:r>
      <w:r>
        <w:rPr>
          <w:rFonts w:hint="eastAsia" w:ascii="仿宋_GB2312" w:eastAsia="仿宋_GB2312" w:cs="宋体"/>
          <w:color w:val="000000"/>
          <w:kern w:val="0"/>
          <w:sz w:val="32"/>
          <w:szCs w:val="32"/>
        </w:rPr>
        <w:t>社2018年度部门预算中支出预算的总体情况。</w:t>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2018年支出预算697.62万元，其中基本支出</w:t>
      </w:r>
      <w:r>
        <w:rPr>
          <w:rFonts w:hint="eastAsia" w:ascii="仿宋_GB2312" w:eastAsia="仿宋_GB2312" w:cs="宋体"/>
          <w:color w:val="000000"/>
          <w:kern w:val="0"/>
          <w:sz w:val="32"/>
          <w:szCs w:val="32"/>
          <w:lang w:val="en-US" w:eastAsia="zh-CN"/>
        </w:rPr>
        <w:t>692.62</w:t>
      </w:r>
      <w:r>
        <w:rPr>
          <w:rFonts w:hint="eastAsia" w:ascii="仿宋_GB2312" w:eastAsia="仿宋_GB2312" w:cs="宋体"/>
          <w:color w:val="000000"/>
          <w:kern w:val="0"/>
          <w:sz w:val="32"/>
          <w:szCs w:val="32"/>
        </w:rPr>
        <w:t>万元，包括人员经费</w:t>
      </w:r>
      <w:r>
        <w:rPr>
          <w:rFonts w:hint="eastAsia" w:ascii="仿宋_GB2312" w:eastAsia="仿宋_GB2312" w:cs="宋体"/>
          <w:color w:val="000000"/>
          <w:kern w:val="0"/>
          <w:sz w:val="32"/>
          <w:szCs w:val="32"/>
          <w:lang w:val="en-US" w:eastAsia="zh-CN"/>
        </w:rPr>
        <w:t>646.05万元</w:t>
      </w:r>
      <w:r>
        <w:rPr>
          <w:rFonts w:hint="eastAsia" w:ascii="仿宋_GB2312" w:eastAsia="仿宋_GB2312" w:cs="宋体"/>
          <w:color w:val="000000"/>
          <w:kern w:val="0"/>
          <w:sz w:val="32"/>
          <w:szCs w:val="32"/>
        </w:rPr>
        <w:t>和日常公用经费</w:t>
      </w:r>
      <w:r>
        <w:rPr>
          <w:rFonts w:hint="eastAsia" w:ascii="仿宋_GB2312" w:eastAsia="仿宋_GB2312" w:cs="宋体"/>
          <w:color w:val="000000"/>
          <w:kern w:val="0"/>
          <w:sz w:val="32"/>
          <w:szCs w:val="32"/>
          <w:lang w:val="en-US" w:eastAsia="zh-CN"/>
        </w:rPr>
        <w:t>46.57万元</w:t>
      </w:r>
      <w:r>
        <w:rPr>
          <w:rFonts w:hint="eastAsia" w:ascii="仿宋_GB2312" w:eastAsia="仿宋_GB2312" w:cs="宋体"/>
          <w:color w:val="000000"/>
          <w:kern w:val="0"/>
          <w:sz w:val="32"/>
          <w:szCs w:val="32"/>
        </w:rPr>
        <w:t>，项目支出5万元</w:t>
      </w:r>
      <w:r>
        <w:rPr>
          <w:rFonts w:hint="eastAsia" w:ascii="仿宋_GB2312" w:eastAsia="仿宋_GB2312" w:cs="宋体"/>
          <w:color w:val="000000"/>
          <w:kern w:val="0"/>
          <w:sz w:val="32"/>
          <w:szCs w:val="32"/>
          <w:lang w:eastAsia="zh-CN"/>
        </w:rPr>
        <w:t>，为农民专业合作社建设扶持资金。</w:t>
      </w:r>
      <w:r>
        <w:rPr>
          <w:rFonts w:hint="eastAsia" w:ascii="仿宋_GB2312" w:eastAsia="仿宋_GB2312" w:cs="宋体"/>
          <w:color w:val="000000"/>
          <w:kern w:val="0"/>
          <w:sz w:val="32"/>
          <w:szCs w:val="32"/>
        </w:rPr>
        <w:t>。</w:t>
      </w:r>
      <w:bookmarkStart w:id="1" w:name="_GoBack"/>
      <w:bookmarkEnd w:id="1"/>
    </w:p>
    <w:p>
      <w:pPr>
        <w:widowControl/>
        <w:spacing w:line="570" w:lineRule="exact"/>
        <w:ind w:firstLine="643" w:firstLineChars="200"/>
        <w:jc w:val="left"/>
        <w:rPr>
          <w:rFonts w:ascii="仿宋_GB2312" w:eastAsia="仿宋_GB2312" w:cs="宋体"/>
          <w:color w:val="000000"/>
          <w:kern w:val="0"/>
          <w:sz w:val="32"/>
          <w:szCs w:val="32"/>
        </w:rPr>
      </w:pPr>
      <w:r>
        <w:rPr>
          <w:rFonts w:hint="eastAsia" w:ascii="楷体_GB2312" w:eastAsia="楷体_GB2312" w:cs="宋体"/>
          <w:b/>
          <w:bCs/>
          <w:color w:val="000000"/>
          <w:kern w:val="0"/>
          <w:sz w:val="32"/>
          <w:szCs w:val="32"/>
        </w:rPr>
        <w:t>3、比上年增减情况</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2018年预算收支安排697.62万元，较2017年预算增加110.63万元，其中：基本支出增加105.63万元，主要为增加人员经费支出；项目支出增加5万元，主要为农民专业合作社建设扶持资金。</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三、机关运行经费安排情况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2018年预算安排我部门机关运行经费1.71万元，其中办公经费1.71万元</w:t>
      </w:r>
      <w:r>
        <w:rPr>
          <w:rFonts w:hint="eastAsia" w:ascii="仿宋_GB2312" w:eastAsia="仿宋_GB2312" w:cs="宋体"/>
          <w:color w:val="000000"/>
          <w:kern w:val="0"/>
          <w:sz w:val="32"/>
          <w:szCs w:val="32"/>
          <w:lang w:eastAsia="zh-CN"/>
        </w:rPr>
        <w:t>，</w:t>
      </w:r>
      <w:r>
        <w:rPr>
          <w:rFonts w:hint="eastAsia" w:ascii="仿宋_GB2312" w:eastAsia="仿宋_GB2312" w:cs="宋体"/>
          <w:color w:val="000000"/>
          <w:kern w:val="0"/>
          <w:sz w:val="32"/>
          <w:szCs w:val="32"/>
        </w:rPr>
        <w:t>其他业务费0万元。主要用于办公区的日常维修、办公用房水电费、办公用房取暖费、办公用房物业管理费等日常运行支出。</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四、财政拨款“三公”经费预算情况及增减变化原因</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2018年，我部门“三公”经费预算安排2.3万元，其中因公出国（境）费0万元；公务用车购置及运维费2.3万元（其中：公务用车购置费为0万元，公务用车运行费为2.3万元)；公务接待费0万元。比2017年增加2.3万元，主要因为我单位以前年度由于经费紧张，所以未列支“三公经费”。</w:t>
      </w:r>
      <w:r>
        <w:rPr>
          <w:rFonts w:hint="eastAsia" w:ascii="仿宋_GB2312" w:eastAsia="仿宋_GB2312" w:cs="宋体"/>
          <w:color w:val="000000"/>
          <w:kern w:val="0"/>
          <w:sz w:val="32"/>
          <w:szCs w:val="32"/>
        </w:rPr>
        <w:br w:type="textWrapping"/>
      </w:r>
      <w:r>
        <w:rPr>
          <w:rFonts w:hint="eastAsia" w:ascii="黑体" w:eastAsia="黑体" w:cs="宋体"/>
          <w:b/>
          <w:bCs/>
          <w:color w:val="000000"/>
          <w:kern w:val="0"/>
          <w:sz w:val="32"/>
          <w:szCs w:val="32"/>
        </w:rPr>
        <w:t>五、绩效预算信息</w:t>
      </w:r>
      <w:r>
        <w:rPr>
          <w:rFonts w:hint="eastAsia" w:ascii="黑体" w:eastAsia="黑体" w:cs="宋体"/>
          <w:color w:val="000000"/>
          <w:kern w:val="0"/>
          <w:sz w:val="32"/>
          <w:szCs w:val="32"/>
        </w:rPr>
        <w:br w:type="textWrapping"/>
      </w:r>
      <w:r>
        <w:rPr>
          <w:rFonts w:hint="eastAsia" w:ascii="宋体" w:hAnsi="宋体" w:eastAsia="仿宋_GB2312" w:cs="宋体"/>
          <w:b/>
          <w:bCs/>
          <w:color w:val="000000"/>
          <w:kern w:val="0"/>
          <w:sz w:val="32"/>
          <w:szCs w:val="32"/>
        </w:rPr>
        <w:t xml:space="preserve">    </w:t>
      </w:r>
      <w:r>
        <w:rPr>
          <w:rFonts w:hint="eastAsia" w:ascii="仿宋_GB2312" w:eastAsia="仿宋_GB2312" w:cs="宋体"/>
          <w:b/>
          <w:bCs/>
          <w:color w:val="000000"/>
          <w:kern w:val="0"/>
          <w:sz w:val="32"/>
          <w:szCs w:val="32"/>
        </w:rPr>
        <w:t>总体绩效目标：</w:t>
      </w:r>
      <w:r>
        <w:rPr>
          <w:rFonts w:hint="eastAsia" w:ascii="仿宋_GB2312" w:eastAsia="仿宋_GB2312" w:cs="宋体"/>
          <w:color w:val="000000"/>
          <w:kern w:val="0"/>
          <w:sz w:val="32"/>
          <w:szCs w:val="32"/>
        </w:rPr>
        <w:br w:type="textWrapping"/>
      </w:r>
      <w:r>
        <w:rPr>
          <w:rFonts w:hint="eastAsia" w:ascii="宋体" w:hAnsi="宋体" w:eastAsia="楷体_GB2312" w:cs="宋体"/>
          <w:color w:val="000000"/>
          <w:kern w:val="0"/>
          <w:sz w:val="32"/>
          <w:szCs w:val="32"/>
        </w:rPr>
        <w:t xml:space="preserve">    </w:t>
      </w:r>
      <w:r>
        <w:rPr>
          <w:rFonts w:hint="eastAsia" w:ascii="楷体_GB2312" w:eastAsia="楷体_GB2312" w:cs="宋体"/>
          <w:color w:val="000000"/>
          <w:kern w:val="0"/>
          <w:sz w:val="32"/>
          <w:szCs w:val="32"/>
        </w:rPr>
        <w:t>1、打造精品示范工程，加快专业社建设步伐</w:t>
      </w:r>
      <w:r>
        <w:rPr>
          <w:rFonts w:hint="eastAsia" w:ascii="楷体_GB2312" w:eastAsia="楷体_GB2312" w:cs="宋体"/>
          <w:color w:val="000000"/>
          <w:kern w:val="0"/>
          <w:sz w:val="32"/>
          <w:szCs w:val="32"/>
        </w:rPr>
        <w:br w:type="textWrapping"/>
      </w:r>
      <w:r>
        <w:rPr>
          <w:rFonts w:hint="eastAsia" w:ascii="仿宋_GB2312" w:eastAsia="仿宋_GB2312" w:cs="宋体"/>
          <w:color w:val="000000"/>
          <w:kern w:val="0"/>
          <w:sz w:val="32"/>
          <w:szCs w:val="32"/>
        </w:rPr>
        <w:t>依托“农合联”优势，充分发挥区农民专业合作社建设领导小组办公室的职能作用，于2016年年底以前完成以下工作。一是积极采取有效措施，新发展农民专业合作社2-3家，实现新增社员100户目标。二是培树典型，提升改造现有专业社1-2家，使之成为当地规模较大、管理规范、带动明显、示范作用突出的专业合作社，以点带面，促进全区专业合作社向正规化、市场化发展。三是强化《农民专业合作社法》的宣传工作，定期举办专业合作社知识和农技知识培训讲座，计划培训400人次。</w:t>
      </w:r>
      <w:r>
        <w:rPr>
          <w:rFonts w:hint="eastAsia" w:ascii="仿宋_GB2312" w:eastAsia="仿宋_GB2312" w:cs="宋体"/>
          <w:color w:val="000000"/>
          <w:kern w:val="0"/>
          <w:sz w:val="32"/>
          <w:szCs w:val="32"/>
        </w:rPr>
        <w:br w:type="textWrapping"/>
      </w:r>
      <w:r>
        <w:rPr>
          <w:rFonts w:hint="eastAsia" w:ascii="宋体" w:hAnsi="宋体" w:eastAsia="楷体_GB2312" w:cs="宋体"/>
          <w:color w:val="000000"/>
          <w:kern w:val="0"/>
          <w:sz w:val="32"/>
          <w:szCs w:val="32"/>
        </w:rPr>
        <w:t xml:space="preserve">    </w:t>
      </w:r>
      <w:r>
        <w:rPr>
          <w:rFonts w:hint="eastAsia" w:ascii="楷体_GB2312" w:eastAsia="楷体_GB2312" w:cs="宋体"/>
          <w:color w:val="000000"/>
          <w:kern w:val="0"/>
          <w:sz w:val="32"/>
          <w:szCs w:val="32"/>
        </w:rPr>
        <w:t>2、立足企业发展，推动重点项目建设</w:t>
      </w:r>
      <w:r>
        <w:rPr>
          <w:rFonts w:hint="eastAsia" w:ascii="楷体_GB2312" w:eastAsia="楷体_GB2312" w:cs="宋体"/>
          <w:color w:val="000000"/>
          <w:kern w:val="0"/>
          <w:sz w:val="32"/>
          <w:szCs w:val="32"/>
        </w:rPr>
        <w:br w:type="textWrapping"/>
      </w:r>
      <w:r>
        <w:rPr>
          <w:rFonts w:hint="eastAsia" w:ascii="仿宋_GB2312" w:eastAsia="仿宋_GB2312" w:cs="宋体"/>
          <w:color w:val="000000"/>
          <w:kern w:val="0"/>
          <w:sz w:val="32"/>
          <w:szCs w:val="32"/>
        </w:rPr>
        <w:t>一是经营好市区再生资源回收市场。加大工作力度，确保该市场回迁工作顺利完成，并及时制定经营规划，全面做好废旧物资的深加工、再利用等业务工作，确保该项目成为一项惠民、利民、便民的市政工程、民心工程。二是完成万庄供销社二期改造工程。确保该项目按时按质完成。</w:t>
      </w:r>
      <w:r>
        <w:rPr>
          <w:rFonts w:hint="eastAsia" w:ascii="仿宋_GB2312" w:eastAsia="仿宋_GB2312" w:cs="宋体"/>
          <w:color w:val="000000"/>
          <w:kern w:val="0"/>
          <w:sz w:val="32"/>
          <w:szCs w:val="32"/>
        </w:rPr>
        <w:br w:type="textWrapping"/>
      </w:r>
      <w:r>
        <w:rPr>
          <w:rFonts w:hint="eastAsia" w:ascii="宋体" w:hAnsi="宋体" w:eastAsia="楷体_GB2312" w:cs="宋体"/>
          <w:color w:val="000000"/>
          <w:kern w:val="0"/>
          <w:sz w:val="32"/>
          <w:szCs w:val="32"/>
        </w:rPr>
        <w:t xml:space="preserve">    </w:t>
      </w:r>
      <w:r>
        <w:rPr>
          <w:rFonts w:hint="eastAsia" w:ascii="楷体_GB2312" w:eastAsia="楷体_GB2312" w:cs="宋体"/>
          <w:color w:val="000000"/>
          <w:kern w:val="0"/>
          <w:sz w:val="32"/>
          <w:szCs w:val="32"/>
        </w:rPr>
        <w:t>3、履行服务职能，促进“新网”工程建设</w:t>
      </w:r>
      <w:r>
        <w:rPr>
          <w:rFonts w:hint="eastAsia" w:ascii="楷体_GB2312" w:eastAsia="楷体_GB2312" w:cs="宋体"/>
          <w:color w:val="000000"/>
          <w:kern w:val="0"/>
          <w:sz w:val="32"/>
          <w:szCs w:val="32"/>
        </w:rPr>
        <w:br w:type="textWrapping"/>
      </w:r>
      <w:r>
        <w:rPr>
          <w:rFonts w:hint="eastAsia" w:ascii="仿宋_GB2312" w:eastAsia="仿宋_GB2312" w:cs="宋体"/>
          <w:color w:val="000000"/>
          <w:kern w:val="0"/>
          <w:sz w:val="32"/>
          <w:szCs w:val="32"/>
        </w:rPr>
        <w:t>一是抓好农资连锁经营服务网络体系建设。计划新建1-2家农资服务网点。二是抓好日用消费品连锁经营网络建设。计划发展“农家店”1-2家，打造“精品店”2家，提高网络覆盖率。三是抓好烟花爆竹安全经营网络建设。按照打造全区烟花爆竹流通网络体系的规划要求，本着科学布局、统一管理的原则，组建1-2家烟花爆竹常年销售网点。以提高全区烟花爆竹管理的正规化、安全化水平，为广大群众提供方便，满足群众需求。</w:t>
      </w:r>
      <w:r>
        <w:rPr>
          <w:rFonts w:hint="eastAsia" w:ascii="仿宋_GB2312" w:eastAsia="仿宋_GB2312" w:cs="宋体"/>
          <w:color w:val="000000"/>
          <w:kern w:val="0"/>
          <w:sz w:val="32"/>
          <w:szCs w:val="32"/>
        </w:rPr>
        <w:br w:type="textWrapping"/>
      </w:r>
      <w:r>
        <w:rPr>
          <w:rFonts w:hint="eastAsia" w:ascii="宋体" w:hAnsi="宋体" w:eastAsia="楷体_GB2312" w:cs="宋体"/>
          <w:color w:val="000000"/>
          <w:kern w:val="0"/>
          <w:sz w:val="32"/>
          <w:szCs w:val="32"/>
        </w:rPr>
        <w:t xml:space="preserve">    </w:t>
      </w:r>
      <w:r>
        <w:rPr>
          <w:rFonts w:hint="eastAsia" w:ascii="楷体_GB2312" w:eastAsia="楷体_GB2312" w:cs="宋体"/>
          <w:color w:val="000000"/>
          <w:kern w:val="0"/>
          <w:sz w:val="32"/>
          <w:szCs w:val="32"/>
        </w:rPr>
        <w:t>4、抢抓发展机遇，深化供销社综合改革</w:t>
      </w:r>
      <w:r>
        <w:rPr>
          <w:rFonts w:hint="eastAsia" w:ascii="楷体_GB2312" w:eastAsia="楷体_GB2312" w:cs="宋体"/>
          <w:color w:val="000000"/>
          <w:kern w:val="0"/>
          <w:sz w:val="32"/>
          <w:szCs w:val="32"/>
        </w:rPr>
        <w:br w:type="textWrapping"/>
      </w:r>
      <w:r>
        <w:rPr>
          <w:rFonts w:hint="eastAsia" w:ascii="仿宋_GB2312" w:eastAsia="仿宋_GB2312" w:cs="宋体"/>
          <w:color w:val="000000"/>
          <w:kern w:val="0"/>
          <w:sz w:val="32"/>
          <w:szCs w:val="32"/>
        </w:rPr>
        <w:t>根据全省深化供销社综合改革精神，按照“改造自我、服务农民”的总体要求，进一步深化改革，破解自身发展难题，激发内在活力，积极构建农民合作社联合社体系，搭建为农服务综合平台，力争使供销社在新时期、新形势的“三农”工作中发挥新作用。</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w:t>
      </w:r>
      <w:r>
        <w:rPr>
          <w:rFonts w:hint="eastAsia" w:ascii="仿宋_GB2312" w:eastAsia="仿宋_GB2312" w:cs="宋体"/>
          <w:b/>
          <w:bCs/>
          <w:color w:val="000000"/>
          <w:kern w:val="0"/>
          <w:sz w:val="32"/>
          <w:szCs w:val="32"/>
        </w:rPr>
        <w:t>职责分类绩效目标：</w:t>
      </w:r>
      <w:r>
        <w:rPr>
          <w:rFonts w:hint="eastAsia" w:ascii="仿宋_GB2312" w:eastAsia="仿宋_GB2312" w:cs="宋体"/>
          <w:color w:val="000000"/>
          <w:kern w:val="0"/>
          <w:sz w:val="32"/>
          <w:szCs w:val="32"/>
        </w:rPr>
        <w:br w:type="textWrapping"/>
      </w:r>
      <w:r>
        <w:rPr>
          <w:rFonts w:hint="eastAsia" w:ascii="宋体" w:hAnsi="宋体" w:eastAsia="楷体_GB2312" w:cs="宋体"/>
          <w:color w:val="000000"/>
          <w:kern w:val="0"/>
          <w:sz w:val="32"/>
          <w:szCs w:val="32"/>
        </w:rPr>
        <w:t xml:space="preserve">    </w:t>
      </w:r>
      <w:r>
        <w:rPr>
          <w:rFonts w:hint="eastAsia" w:ascii="楷体_GB2312" w:eastAsia="楷体_GB2312" w:cs="宋体"/>
          <w:color w:val="000000"/>
          <w:kern w:val="0"/>
          <w:sz w:val="32"/>
          <w:szCs w:val="32"/>
        </w:rPr>
        <w:t>一、主要职责</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廊坊市广阳区供销社为区政府领导下的区直部门。其主要职责是贯彻区委、区政府有关农村工作和社会发展的方针、政策；按照区政府授权，对全区农业生产资料、日用消费品、棉花、食盐、烟花爆竹喝废旧再生资源等进行组织、协调和管理；负责指导全区供销社的业务工作，参与、推动和服务农业产业化经营，发展龙头企业、专业合作社和消费合作社，加快农业社会服务体系和农产品市场体系建设，开拓城乡市场。同时，承办区委、区政府和市供销社交办的其它事项。</w:t>
      </w:r>
      <w:r>
        <w:rPr>
          <w:rFonts w:hint="eastAsia" w:ascii="仿宋_GB2312" w:eastAsia="仿宋_GB2312" w:cs="宋体"/>
          <w:color w:val="000000"/>
          <w:kern w:val="0"/>
          <w:sz w:val="32"/>
          <w:szCs w:val="32"/>
        </w:rPr>
        <w:br w:type="textWrapping"/>
      </w:r>
      <w:r>
        <w:rPr>
          <w:rFonts w:hint="eastAsia" w:ascii="宋体" w:hAnsi="宋体" w:eastAsia="楷体_GB2312" w:cs="宋体"/>
          <w:color w:val="000000"/>
          <w:kern w:val="0"/>
          <w:sz w:val="32"/>
          <w:szCs w:val="32"/>
        </w:rPr>
        <w:t xml:space="preserve">    </w:t>
      </w:r>
      <w:r>
        <w:rPr>
          <w:rFonts w:hint="eastAsia" w:ascii="楷体_GB2312" w:eastAsia="楷体_GB2312" w:cs="宋体"/>
          <w:color w:val="000000"/>
          <w:kern w:val="0"/>
          <w:sz w:val="32"/>
          <w:szCs w:val="32"/>
        </w:rPr>
        <w:t>二、2017年主要职责分类目标</w:t>
      </w:r>
      <w:r>
        <w:rPr>
          <w:rFonts w:hint="eastAsia" w:ascii="楷体_GB2312" w:eastAsia="楷体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（一）打造精品示范工程，加快专业社建设步伐</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依托“农合联”优势，充分发挥区农民专业合作社建设领导小组办公室的职能作用，于2016年年底以前完成以下工作。一是积极采取有效措施，新发展农民专业合作社5-8家，实现新增社员300户目标。二是培树典型，提升改造现有专业社2-4家，使之成为当地规模较大、管理规范、带动明显、示范作用突出的专业合作社，以点带面，促进全区专业合作社向正规化、市场化发展。三是强化《农民专业合作社法》的宣传工作，定期举办专业合作社知识和农技知识培训讲座，计划培训500人次。</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（二）立足企业发展，推动重点项目建设</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一是完成万庄供销社二期改造工程。确保该项目按时按质完成。二是深化基层供销社体制改革，谋划并启动九州供销社危房改造建设工程。</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（三）履行服务职能，促进“新网”工程建设</w:t>
      </w:r>
      <w:r>
        <w:rPr>
          <w:rFonts w:hint="eastAsia" w:ascii="仿宋_GB2312" w:eastAsia="仿宋_GB2312"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一是抓好农资连锁经营服务网络体系建设。计划新建6-8家农资服务网点。二是抓好日用消费品连锁经营网络建设。计划发展“农家店”5家，打造“精品店”5家，提高网络覆盖率。三是抓好烟花爆竹安全经营网络建设。按照打造全区烟花爆竹流通网络体系的规划要求，本着科学布局、统一管理的原则，组建1-2家烟花爆竹常年销售网点。以提高全区烟花爆竹管理的正规化、安全化水平，为广大群众提供方便，满足群众需求。</w:t>
      </w:r>
      <w:r>
        <w:rPr>
          <w:rFonts w:hint="eastAsia" w:ascii="仿宋_GB2312" w:eastAsia="仿宋_GB2312" w:cs="宋体"/>
          <w:color w:val="000000"/>
          <w:kern w:val="0"/>
          <w:sz w:val="32"/>
          <w:szCs w:val="32"/>
        </w:rPr>
        <w:br w:type="textWrapping"/>
      </w:r>
      <w:r>
        <w:rPr>
          <w:rFonts w:hint="eastAsia" w:ascii="仿宋_GB2312" w:eastAsia="仿宋_GB2312" w:cs="宋体"/>
          <w:color w:val="000000"/>
          <w:kern w:val="0"/>
          <w:sz w:val="32"/>
          <w:szCs w:val="32"/>
        </w:rPr>
        <w:t>部门职责-工作活动绩效目标</w:t>
      </w:r>
    </w:p>
    <w:p>
      <w:pPr>
        <w:jc w:val="center"/>
        <w:outlineLvl w:val="0"/>
        <w:rPr>
          <w:rFonts w:ascii="方正小标宋_GBK" w:eastAsia="方正小标宋_GBK"/>
          <w:sz w:val="32"/>
        </w:rPr>
      </w:pPr>
      <w:bookmarkStart w:id="0" w:name="_Toc505079615"/>
      <w:r>
        <w:rPr>
          <w:rFonts w:hint="eastAsia" w:ascii="方正小标宋_GBK" w:eastAsia="方正小标宋_GBK"/>
          <w:sz w:val="32"/>
        </w:rPr>
        <w:t>部门职责-工作活动绩效目标</w:t>
      </w:r>
      <w:bookmarkEnd w:id="0"/>
    </w:p>
    <w:tbl>
      <w:tblPr>
        <w:tblStyle w:val="6"/>
        <w:tblW w:w="1393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639廊坊市广阳区供销合作社联合社</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tblHeader/>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vMerge w:val="continue"/>
            <w:shd w:val="clear" w:color="auto" w:fill="auto"/>
            <w:vAlign w:val="center"/>
          </w:tc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一、供销流通管理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贯彻区委和区政府有关农村工作和社会发展的方针、政策，制定全区供销社的发展战略和规划，指导全区供销社的改革和发展。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紧紧围绕“三农”工作大局，以密切与农民利益联结为核心，以提升为农服务能力为根本，以强化基层社和创新联合社治理机制为重点，努力开创特色供销合作事业新局面。按照“改造自我，服务农民”的总体要求，朝着办成农民合作经济组织的方向，大力推行经营创新、组织创新、服务创新，推动综合改革顺利进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1、发展现代流通网络建设及管理</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全市供销社系统现代流通网络建设，加快服务创新、经营创新和业态创新，优化网络布局，完善网络体系，发挥一网多用、双向流通的作用，在农资供应、农产品流通、农村服务等重点领域和环节为农民提供便利实惠、安全优质的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健全农资、农副产品、日用消费品、再生资源回收利用四大网络，加快形成连锁化、规模化、品牌化经营服务新格局；发展农村电子务，形成网上交易、仓储物流、终端配送一体化经营，推动线上线下融合发展。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连锁经营销售额增长率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连锁经营销售额增长率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供销社企业电子商务销售额增长率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≥4%</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农产品批发市场交易额增长率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≥7%</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2、社属企业运营管理及建设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指导社属企业经营管理，对社属企业进行监督检查，完善企业运营管理制度并监督执行，行使出资人职能、确保社有资产的安全和增值。</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深化社有企业改革，规范治理结构，供销社体制机制明显优化，营业收入、利润总额和净资产均有不同程度增长。</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社有资产增值比率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利润总额增长率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营业收入增长率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二、服务三农事务管理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负责指导全区供销社的业务活动，参与、推动和服务农业产业化经营，发展龙头企业、专业合作社和消费合作社，加快农业社会化服务体系和农产品市场体系建设、开拓城乡市场。2.指导系统实施“科教兴社”战略，指导系统技术创新和技术推广，组织开展对社员和职工教育与培训，为全区供销社提供科技服务和信息服务。3.负责全区供销社所属企业改革，建立现代企业制度，指导系统党风廉政建设。4.承办区委、区政府和市供销社交办的其他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以改革创新为动力、以物流配送为支撑，坚持供销社主办、合作式发展、市场化运作，在乡镇政府所在地和行政村重点建设以日用消费品、农业生产资料为主营业务的供销社农村超市；在县城重点建设日用消费品、农业生产资料中心超市并具备配送功能。2.健全农村市场体系，大力发展农业生产资料现代经营服务网络、日用消费品现代经营网络、烟花爆竹零售网络和再生资源回收利用网络，推进适应现代农业要求的流通产业发展，促进全区农村经济快速健康发展。加快全区供销社系统农资、日用消费品、烟花爆竹和再生资源四大网络建设，增强企业发展实力。3.主</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1、服务体系建设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该项目由省供销社所属供销商贸有限公司牵头，与全国供销合作总社新合作商贸连锁集团有限公司合作，联合供销系统连锁经营区域龙头，以资本、技术和品牌为纽带，市场化运作、合作式发展，以县及县以下农村为重点，打造县有日用消费品购物中心、配送中心，乡镇有中心超市，村有连锁便民店的供销合作社县域流通网络新格局。</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将“民得利”日用消费品农家店逐步改造成为供销社超市，与村民中心配套建设，具备日用消费品、农产品销售等经营性服务，打造县有配送中心、乡镇有连锁超市、村街有便利店的农村日用消费品现代流通网络。</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超市数量增加</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营业收入增长率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利润总额增长率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2、组织体系建设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充分发挥区“农合联”和区农民专业合作社建设领导小组办公室职能作用，壮大以农民专业合作社、各类专业协会、种植养殖大户等为成员的农民合作经济组织体系，形成组织架构完整、规模较大、功能较完善的为农服务平台。</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发展各类专业为农服务组织，深入开展为农服务、助农增收，推进全区农业现代级进程。</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带动区域主导产业</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带动农户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年助农增收</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≥3%</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3、服务体系建设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用于支持供销社系统推进农业生产资料、烟花爆竹、日用消费品、再生资源回收利用等四大网络建设，将有利于健全农村市场体系，发展适应现代农业要求的流通产业，帮助农民增产增收，便民惠农，拉动农村消费。重点用于支持区供销社系统在建、新建和改扩建项目。</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加快全区供销社系统农资、烟花爆竹、日用消费品和再生资源四大网络建设，增强企业发展实力。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农资网络建设</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省级资金申请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市级资金申请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区级资金申请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未成功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日用消费品及爆竹</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省级资金申请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市级资金申请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区级资金申请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未成功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再生资源网络建设</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省级资金申请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市级资金申请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区级资金申请</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未成功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4、农村金融体系建设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面向涉农企业、专业合作经济组织、农业大户以及中小企业等，提供专业、便捷、高效的信贷支持及投资担保服务。</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解决“三农”企业的融资难问题，促进全区新农村流通和投融资体系建设。</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解决涉农企业问题</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解决专业合作社经济组织问题</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解决农业大户及中小企业问题</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完成60%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完成60%以下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5、服务体系建设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为充分发挥基层党组织的战斗堡垒作用，引导广大党员为深化供销社综合改革作出积极贡献，省委组织部、省供销社党组研究决定，在全省供销社系统组织实施“旗帜供销”工程，积极探索基层服务型党组织。</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在全区供销系统符合条件的单位建起基层党组织；党组织工作制度健全完善，工作运行规范；党员全部亮明身份，做到配牌上岗，发挥表率作用。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基层党组织建设情况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工作制度完善情况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发挥党员表率作用情况</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三、供销合作政务管理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5.00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以供销社综合改革为契机，盘活现有资产、推进社属企业改革，维护区直和谐稳定局面。</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1、综合业务管理</w:t>
            </w:r>
          </w:p>
        </w:tc>
        <w:tc>
          <w:tcPr>
            <w:tcW w:w="12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5.00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制订区供销系统发展战略和规划、指导区直系统业务活动、确保社有资产保值增值，确保职工队伍稳定。</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确保各项业务工作谋划到位、顺利开展，保障机关工作正常高效运转。</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系统业务活动完成率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区社系统综合业务完成率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27" w:hRule="atLeast"/>
          <w:jc w:val="center"/>
        </w:trPr>
        <w:tc>
          <w:tcPr>
            <w:tcW w:w="2341" w:type="dxa"/>
            <w:vMerge w:val="continue"/>
            <w:shd w:val="clear" w:color="auto" w:fill="auto"/>
            <w:vAlign w:val="center"/>
          </w:tcPr>
          <w:p/>
        </w:tc>
        <w:tc>
          <w:tcPr>
            <w:tcW w:w="1276" w:type="dxa"/>
            <w:vMerge w:val="continue"/>
            <w:shd w:val="clear" w:color="auto" w:fill="auto"/>
            <w:vAlign w:val="center"/>
          </w:tcPr>
          <w:p/>
        </w:tc>
        <w:tc>
          <w:tcPr>
            <w:tcW w:w="2976" w:type="dxa"/>
            <w:vMerge w:val="continue"/>
            <w:shd w:val="clear" w:color="auto" w:fill="auto"/>
            <w:vAlign w:val="center"/>
          </w:tcPr>
          <w:p/>
        </w:tc>
        <w:tc>
          <w:tcPr>
            <w:tcW w:w="2976" w:type="dxa"/>
            <w:vMerge w:val="continue"/>
            <w:shd w:val="clear" w:color="auto" w:fill="auto"/>
            <w:vAlign w:val="center"/>
          </w:tc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综合行政事务办结率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r>
    </w:tbl>
    <w:p>
      <w:pPr>
        <w:spacing w:line="300" w:lineRule="exact"/>
        <w:jc w:val="left"/>
        <w:outlineLvl w:val="0"/>
        <w:sectPr>
          <w:pgSz w:w="16839" w:h="11907" w:orient="landscape"/>
          <w:pgMar w:top="1020" w:right="1361" w:bottom="1020" w:left="1361" w:header="851" w:footer="992" w:gutter="0"/>
          <w:cols w:space="720" w:num="1"/>
          <w:docGrid w:type="lines" w:linePitch="312" w:charSpace="0"/>
        </w:sectPr>
      </w:pPr>
    </w:p>
    <w:p>
      <w:pPr>
        <w:widowControl/>
        <w:spacing w:line="360" w:lineRule="atLeast"/>
        <w:jc w:val="left"/>
        <w:rPr>
          <w:rFonts w:ascii="宋体" w:hAnsi="宋体" w:eastAsia="仿宋_GB2312" w:cs="宋体"/>
          <w:color w:val="000000"/>
          <w:kern w:val="0"/>
          <w:sz w:val="32"/>
          <w:szCs w:val="32"/>
        </w:rPr>
      </w:pPr>
    </w:p>
    <w:p>
      <w:pPr>
        <w:widowControl/>
        <w:spacing w:line="360" w:lineRule="atLeast"/>
        <w:jc w:val="left"/>
        <w:rPr>
          <w:rFonts w:ascii="仿宋_GB2312" w:eastAsia="仿宋_GB2312" w:cs="宋体"/>
          <w:color w:val="000000"/>
          <w:kern w:val="0"/>
          <w:sz w:val="32"/>
          <w:szCs w:val="32"/>
        </w:rPr>
      </w:pPr>
      <w:r>
        <w:rPr>
          <w:rFonts w:hint="eastAsia" w:ascii="宋体" w:hAnsi="宋体" w:eastAsia="仿宋_GB2312" w:cs="宋体"/>
          <w:color w:val="000000"/>
          <w:kern w:val="0"/>
          <w:sz w:val="32"/>
          <w:szCs w:val="32"/>
        </w:rPr>
        <w:t> </w:t>
      </w:r>
      <w:r>
        <w:rPr>
          <w:rFonts w:hint="eastAsia" w:ascii="黑体" w:eastAsia="黑体" w:cs="宋体"/>
          <w:b/>
          <w:bCs/>
          <w:color w:val="000000"/>
          <w:kern w:val="0"/>
          <w:sz w:val="32"/>
          <w:szCs w:val="32"/>
        </w:rPr>
        <w:t>六、政府采购预算情况</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2018年，我部门未安排政府采购预算。</w:t>
      </w:r>
    </w:p>
    <w:p>
      <w:pPr>
        <w:jc w:val="center"/>
        <w:outlineLvl w:val="0"/>
        <w:rPr>
          <w:rFonts w:ascii="仿宋_GB2312" w:eastAsia="仿宋_GB2312" w:cs="Times New Roman"/>
          <w:sz w:val="28"/>
          <w:szCs w:val="28"/>
        </w:rPr>
      </w:pPr>
      <w:r>
        <w:rPr>
          <w:rFonts w:hint="eastAsia" w:ascii="仿宋_GB2312" w:eastAsia="仿宋_GB2312" w:cs="Times New Roman"/>
          <w:sz w:val="28"/>
          <w:szCs w:val="28"/>
        </w:rPr>
        <w:t>部门政府采购预算</w:t>
      </w:r>
    </w:p>
    <w:tbl>
      <w:tblPr>
        <w:tblStyle w:val="6"/>
        <w:tblW w:w="13761"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0"/>
        <w:gridCol w:w="1013"/>
        <w:gridCol w:w="834"/>
        <w:gridCol w:w="1327"/>
        <w:gridCol w:w="834"/>
        <w:gridCol w:w="834"/>
        <w:gridCol w:w="856"/>
        <w:gridCol w:w="853"/>
        <w:gridCol w:w="853"/>
        <w:gridCol w:w="853"/>
        <w:gridCol w:w="776"/>
        <w:gridCol w:w="837"/>
        <w:gridCol w:w="837"/>
        <w:gridCol w:w="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7968"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cs="Times New Roman"/>
                <w:sz w:val="28"/>
                <w:szCs w:val="28"/>
              </w:rPr>
            </w:pPr>
            <w:r>
              <w:rPr>
                <w:rFonts w:hint="eastAsia" w:ascii="仿宋_GB2312" w:eastAsia="仿宋_GB2312" w:cs="宋体"/>
                <w:color w:val="000000"/>
                <w:kern w:val="0"/>
                <w:sz w:val="28"/>
                <w:szCs w:val="28"/>
                <w:lang w:val="en-US" w:eastAsia="zh-CN"/>
              </w:rPr>
              <w:t>639-</w:t>
            </w:r>
            <w:r>
              <w:rPr>
                <w:rFonts w:hint="eastAsia" w:ascii="仿宋_GB2312" w:eastAsia="仿宋_GB2312" w:cs="宋体"/>
                <w:color w:val="000000"/>
                <w:kern w:val="0"/>
                <w:sz w:val="28"/>
                <w:szCs w:val="28"/>
              </w:rPr>
              <w:t>廊坊市广阳区供销社</w:t>
            </w:r>
          </w:p>
        </w:tc>
        <w:tc>
          <w:tcPr>
            <w:tcW w:w="579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cs="Times New Roman"/>
                <w:sz w:val="28"/>
                <w:szCs w:val="28"/>
              </w:rPr>
            </w:pPr>
            <w:r>
              <w:rPr>
                <w:rFonts w:hint="eastAsia" w:ascii="仿宋_GB2312" w:eastAsia="仿宋_GB2312" w:cs="Times New Roman"/>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283" w:type="dxa"/>
            <w:gridSpan w:val="2"/>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政府采购项目来源</w:t>
            </w:r>
          </w:p>
        </w:tc>
        <w:tc>
          <w:tcPr>
            <w:tcW w:w="834"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采购物品名称</w:t>
            </w:r>
          </w:p>
        </w:tc>
        <w:tc>
          <w:tcPr>
            <w:tcW w:w="1327"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政府采购目录序号</w:t>
            </w:r>
          </w:p>
        </w:tc>
        <w:tc>
          <w:tcPr>
            <w:tcW w:w="834"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  单位</w:t>
            </w:r>
          </w:p>
        </w:tc>
        <w:tc>
          <w:tcPr>
            <w:tcW w:w="834"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数量</w:t>
            </w:r>
          </w:p>
        </w:tc>
        <w:tc>
          <w:tcPr>
            <w:tcW w:w="856"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单价</w:t>
            </w:r>
          </w:p>
        </w:tc>
        <w:tc>
          <w:tcPr>
            <w:tcW w:w="5793" w:type="dxa"/>
            <w:gridSpan w:val="7"/>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0"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项目名称</w:t>
            </w:r>
          </w:p>
        </w:tc>
        <w:tc>
          <w:tcPr>
            <w:tcW w:w="1013"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预算资金</w:t>
            </w: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总计</w:t>
            </w:r>
          </w:p>
        </w:tc>
        <w:tc>
          <w:tcPr>
            <w:tcW w:w="4156" w:type="dxa"/>
            <w:gridSpan w:val="5"/>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当年部门预算安排资金</w:t>
            </w:r>
          </w:p>
        </w:tc>
        <w:tc>
          <w:tcPr>
            <w:tcW w:w="784" w:type="dxa"/>
            <w:vMerge w:val="restart"/>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270" w:type="dxa"/>
            <w:vMerge w:val="continue"/>
            <w:shd w:val="clear" w:color="auto" w:fill="auto"/>
            <w:vAlign w:val="center"/>
          </w:tcPr>
          <w:p/>
        </w:tc>
        <w:tc>
          <w:tcPr>
            <w:tcW w:w="1013" w:type="dxa"/>
            <w:vMerge w:val="continue"/>
            <w:shd w:val="clear" w:color="auto" w:fill="auto"/>
            <w:vAlign w:val="center"/>
          </w:tcPr>
          <w:p/>
        </w:tc>
        <w:tc>
          <w:tcPr>
            <w:tcW w:w="834" w:type="dxa"/>
            <w:vMerge w:val="continue"/>
            <w:shd w:val="clear" w:color="auto" w:fill="auto"/>
            <w:vAlign w:val="center"/>
          </w:tcPr>
          <w:p/>
        </w:tc>
        <w:tc>
          <w:tcPr>
            <w:tcW w:w="1327" w:type="dxa"/>
            <w:vMerge w:val="continue"/>
            <w:shd w:val="clear" w:color="auto" w:fill="auto"/>
            <w:vAlign w:val="center"/>
          </w:tcPr>
          <w:p/>
        </w:tc>
        <w:tc>
          <w:tcPr>
            <w:tcW w:w="834" w:type="dxa"/>
            <w:vMerge w:val="continue"/>
            <w:shd w:val="clear" w:color="auto" w:fill="auto"/>
            <w:vAlign w:val="center"/>
          </w:tcPr>
          <w:p/>
        </w:tc>
        <w:tc>
          <w:tcPr>
            <w:tcW w:w="834" w:type="dxa"/>
            <w:vMerge w:val="continue"/>
            <w:shd w:val="clear" w:color="auto" w:fill="auto"/>
            <w:vAlign w:val="center"/>
          </w:tcPr>
          <w:p/>
        </w:tc>
        <w:tc>
          <w:tcPr>
            <w:tcW w:w="856" w:type="dxa"/>
            <w:vMerge w:val="continue"/>
            <w:shd w:val="clear" w:color="auto" w:fill="auto"/>
            <w:vAlign w:val="center"/>
          </w:tcPr>
          <w:p/>
        </w:tc>
        <w:tc>
          <w:tcPr>
            <w:tcW w:w="853" w:type="dxa"/>
            <w:vMerge w:val="continue"/>
            <w:shd w:val="clear" w:color="auto" w:fill="auto"/>
            <w:vAlign w:val="center"/>
          </w:tcPr>
          <w:p/>
        </w:tc>
        <w:tc>
          <w:tcPr>
            <w:tcW w:w="853" w:type="dxa"/>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合计</w:t>
            </w:r>
          </w:p>
        </w:tc>
        <w:tc>
          <w:tcPr>
            <w:tcW w:w="853" w:type="dxa"/>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一般公共预算拨款</w:t>
            </w:r>
          </w:p>
        </w:tc>
        <w:tc>
          <w:tcPr>
            <w:tcW w:w="776" w:type="dxa"/>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基金预算拨款</w:t>
            </w:r>
          </w:p>
        </w:tc>
        <w:tc>
          <w:tcPr>
            <w:tcW w:w="837" w:type="dxa"/>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财政专户核拨</w:t>
            </w:r>
          </w:p>
        </w:tc>
        <w:tc>
          <w:tcPr>
            <w:tcW w:w="837" w:type="dxa"/>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其他来源收入</w:t>
            </w:r>
          </w:p>
        </w:tc>
        <w:tc>
          <w:tcPr>
            <w:tcW w:w="784"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0" w:type="dxa"/>
            <w:shd w:val="clear" w:color="auto" w:fill="auto"/>
            <w:vAlign w:val="center"/>
          </w:tcPr>
          <w:p>
            <w:pPr>
              <w:spacing w:line="300" w:lineRule="exact"/>
              <w:jc w:val="center"/>
              <w:rPr>
                <w:rFonts w:ascii="仿宋_GB2312" w:eastAsia="仿宋_GB2312" w:cs="Times New Roman"/>
                <w:b/>
                <w:sz w:val="28"/>
                <w:szCs w:val="28"/>
              </w:rPr>
            </w:pPr>
            <w:r>
              <w:rPr>
                <w:rFonts w:hint="eastAsia" w:ascii="仿宋_GB2312" w:eastAsia="仿宋_GB2312" w:cs="Times New Roman"/>
                <w:b/>
                <w:sz w:val="28"/>
                <w:szCs w:val="28"/>
              </w:rPr>
              <w:t>合　计</w:t>
            </w:r>
          </w:p>
        </w:tc>
        <w:tc>
          <w:tcPr>
            <w:tcW w:w="1013" w:type="dxa"/>
            <w:shd w:val="clear" w:color="auto" w:fill="auto"/>
            <w:vAlign w:val="center"/>
          </w:tcPr>
          <w:p>
            <w:pPr>
              <w:spacing w:line="300" w:lineRule="exact"/>
              <w:jc w:val="right"/>
              <w:rPr>
                <w:rFonts w:ascii="仿宋_GB2312" w:eastAsia="仿宋_GB2312" w:cs="Times New Roman"/>
                <w:b/>
                <w:sz w:val="28"/>
                <w:szCs w:val="28"/>
              </w:rPr>
            </w:pPr>
          </w:p>
        </w:tc>
        <w:tc>
          <w:tcPr>
            <w:tcW w:w="834" w:type="dxa"/>
            <w:shd w:val="clear" w:color="auto" w:fill="auto"/>
            <w:vAlign w:val="center"/>
          </w:tcPr>
          <w:p>
            <w:pPr>
              <w:spacing w:line="300" w:lineRule="exact"/>
              <w:jc w:val="left"/>
              <w:rPr>
                <w:rFonts w:ascii="仿宋_GB2312" w:eastAsia="仿宋_GB2312" w:cs="Times New Roman"/>
                <w:b/>
                <w:sz w:val="28"/>
                <w:szCs w:val="28"/>
              </w:rPr>
            </w:pPr>
          </w:p>
        </w:tc>
        <w:tc>
          <w:tcPr>
            <w:tcW w:w="1327" w:type="dxa"/>
            <w:shd w:val="clear" w:color="auto" w:fill="auto"/>
            <w:vAlign w:val="center"/>
          </w:tcPr>
          <w:p>
            <w:pPr>
              <w:spacing w:line="300" w:lineRule="exact"/>
              <w:jc w:val="left"/>
              <w:rPr>
                <w:rFonts w:ascii="仿宋_GB2312" w:eastAsia="仿宋_GB2312" w:cs="Times New Roman"/>
                <w:b/>
                <w:sz w:val="28"/>
                <w:szCs w:val="28"/>
              </w:rPr>
            </w:pPr>
          </w:p>
        </w:tc>
        <w:tc>
          <w:tcPr>
            <w:tcW w:w="834" w:type="dxa"/>
            <w:shd w:val="clear" w:color="auto" w:fill="auto"/>
            <w:vAlign w:val="center"/>
          </w:tcPr>
          <w:p>
            <w:pPr>
              <w:spacing w:line="300" w:lineRule="exact"/>
              <w:jc w:val="left"/>
              <w:rPr>
                <w:rFonts w:ascii="仿宋_GB2312" w:eastAsia="仿宋_GB2312" w:cs="Times New Roman"/>
                <w:b/>
                <w:sz w:val="28"/>
                <w:szCs w:val="28"/>
              </w:rPr>
            </w:pPr>
          </w:p>
        </w:tc>
        <w:tc>
          <w:tcPr>
            <w:tcW w:w="834" w:type="dxa"/>
            <w:shd w:val="clear" w:color="auto" w:fill="auto"/>
            <w:vAlign w:val="center"/>
          </w:tcPr>
          <w:p>
            <w:pPr>
              <w:spacing w:line="300" w:lineRule="exact"/>
              <w:jc w:val="right"/>
              <w:rPr>
                <w:rFonts w:ascii="仿宋_GB2312" w:eastAsia="仿宋_GB2312" w:cs="Times New Roman"/>
                <w:b/>
                <w:sz w:val="28"/>
                <w:szCs w:val="28"/>
              </w:rPr>
            </w:pPr>
          </w:p>
        </w:tc>
        <w:tc>
          <w:tcPr>
            <w:tcW w:w="856" w:type="dxa"/>
            <w:shd w:val="clear" w:color="auto" w:fill="auto"/>
            <w:vAlign w:val="center"/>
          </w:tcPr>
          <w:p>
            <w:pPr>
              <w:spacing w:line="300" w:lineRule="exact"/>
              <w:jc w:val="right"/>
              <w:rPr>
                <w:rFonts w:ascii="仿宋_GB2312" w:eastAsia="仿宋_GB2312" w:cs="Times New Roman"/>
                <w:b/>
                <w:sz w:val="28"/>
                <w:szCs w:val="28"/>
              </w:rPr>
            </w:pPr>
          </w:p>
        </w:tc>
        <w:tc>
          <w:tcPr>
            <w:tcW w:w="853" w:type="dxa"/>
            <w:shd w:val="clear" w:color="auto" w:fill="auto"/>
            <w:vAlign w:val="center"/>
          </w:tcPr>
          <w:p>
            <w:pPr>
              <w:spacing w:line="300" w:lineRule="exact"/>
              <w:jc w:val="right"/>
              <w:rPr>
                <w:rFonts w:ascii="仿宋_GB2312" w:eastAsia="仿宋_GB2312" w:cs="Times New Roman"/>
                <w:b/>
                <w:sz w:val="28"/>
                <w:szCs w:val="28"/>
              </w:rPr>
            </w:pPr>
          </w:p>
        </w:tc>
        <w:tc>
          <w:tcPr>
            <w:tcW w:w="853" w:type="dxa"/>
            <w:shd w:val="clear" w:color="auto" w:fill="auto"/>
            <w:vAlign w:val="center"/>
          </w:tcPr>
          <w:p>
            <w:pPr>
              <w:spacing w:line="300" w:lineRule="exact"/>
              <w:jc w:val="right"/>
              <w:rPr>
                <w:rFonts w:ascii="仿宋_GB2312" w:eastAsia="仿宋_GB2312" w:cs="Times New Roman"/>
                <w:b/>
                <w:sz w:val="28"/>
                <w:szCs w:val="28"/>
              </w:rPr>
            </w:pPr>
          </w:p>
        </w:tc>
        <w:tc>
          <w:tcPr>
            <w:tcW w:w="853" w:type="dxa"/>
            <w:shd w:val="clear" w:color="auto" w:fill="auto"/>
            <w:vAlign w:val="center"/>
          </w:tcPr>
          <w:p>
            <w:pPr>
              <w:spacing w:line="300" w:lineRule="exact"/>
              <w:jc w:val="right"/>
              <w:rPr>
                <w:rFonts w:ascii="仿宋_GB2312" w:eastAsia="仿宋_GB2312" w:cs="Times New Roman"/>
                <w:b/>
                <w:sz w:val="28"/>
                <w:szCs w:val="28"/>
              </w:rPr>
            </w:pPr>
          </w:p>
        </w:tc>
        <w:tc>
          <w:tcPr>
            <w:tcW w:w="776" w:type="dxa"/>
            <w:shd w:val="clear" w:color="auto" w:fill="auto"/>
            <w:vAlign w:val="center"/>
          </w:tcPr>
          <w:p>
            <w:pPr>
              <w:spacing w:line="300" w:lineRule="exact"/>
              <w:jc w:val="right"/>
              <w:rPr>
                <w:rFonts w:ascii="仿宋_GB2312" w:eastAsia="仿宋_GB2312" w:cs="Times New Roman"/>
                <w:b/>
                <w:sz w:val="28"/>
                <w:szCs w:val="28"/>
              </w:rPr>
            </w:pPr>
          </w:p>
        </w:tc>
        <w:tc>
          <w:tcPr>
            <w:tcW w:w="837" w:type="dxa"/>
            <w:shd w:val="clear" w:color="auto" w:fill="auto"/>
            <w:vAlign w:val="center"/>
          </w:tcPr>
          <w:p>
            <w:pPr>
              <w:spacing w:line="300" w:lineRule="exact"/>
              <w:jc w:val="right"/>
              <w:rPr>
                <w:rFonts w:ascii="仿宋_GB2312" w:eastAsia="仿宋_GB2312" w:cs="Times New Roman"/>
                <w:b/>
                <w:sz w:val="28"/>
                <w:szCs w:val="28"/>
              </w:rPr>
            </w:pPr>
          </w:p>
        </w:tc>
        <w:tc>
          <w:tcPr>
            <w:tcW w:w="837" w:type="dxa"/>
            <w:shd w:val="clear" w:color="auto" w:fill="auto"/>
            <w:vAlign w:val="center"/>
          </w:tcPr>
          <w:p>
            <w:pPr>
              <w:spacing w:line="300" w:lineRule="exact"/>
              <w:jc w:val="right"/>
              <w:rPr>
                <w:rFonts w:ascii="仿宋_GB2312" w:eastAsia="仿宋_GB2312" w:cs="Times New Roman"/>
                <w:b/>
                <w:sz w:val="28"/>
                <w:szCs w:val="28"/>
              </w:rPr>
            </w:pPr>
          </w:p>
        </w:tc>
        <w:tc>
          <w:tcPr>
            <w:tcW w:w="784" w:type="dxa"/>
            <w:shd w:val="clear" w:color="auto" w:fill="auto"/>
            <w:vAlign w:val="center"/>
          </w:tcPr>
          <w:p>
            <w:pPr>
              <w:spacing w:line="300" w:lineRule="exact"/>
              <w:jc w:val="right"/>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70" w:type="dxa"/>
            <w:shd w:val="clear" w:color="auto" w:fill="auto"/>
            <w:vAlign w:val="center"/>
          </w:tcPr>
          <w:p>
            <w:pPr>
              <w:spacing w:line="300" w:lineRule="exact"/>
              <w:jc w:val="center"/>
              <w:rPr>
                <w:rFonts w:ascii="仿宋_GB2312" w:eastAsia="仿宋_GB2312" w:cs="Times New Roman"/>
                <w:b/>
                <w:sz w:val="28"/>
                <w:szCs w:val="28"/>
              </w:rPr>
            </w:pPr>
          </w:p>
        </w:tc>
        <w:tc>
          <w:tcPr>
            <w:tcW w:w="1013" w:type="dxa"/>
            <w:shd w:val="clear" w:color="auto" w:fill="auto"/>
            <w:vAlign w:val="center"/>
          </w:tcPr>
          <w:p>
            <w:pPr>
              <w:spacing w:line="300" w:lineRule="exact"/>
              <w:jc w:val="right"/>
              <w:rPr>
                <w:rFonts w:ascii="仿宋_GB2312" w:eastAsia="仿宋_GB2312" w:cs="Times New Roman"/>
                <w:b/>
                <w:sz w:val="28"/>
                <w:szCs w:val="28"/>
              </w:rPr>
            </w:pPr>
          </w:p>
        </w:tc>
        <w:tc>
          <w:tcPr>
            <w:tcW w:w="834" w:type="dxa"/>
            <w:shd w:val="clear" w:color="auto" w:fill="auto"/>
            <w:vAlign w:val="center"/>
          </w:tcPr>
          <w:p>
            <w:pPr>
              <w:spacing w:line="300" w:lineRule="exact"/>
              <w:jc w:val="left"/>
              <w:rPr>
                <w:rFonts w:ascii="仿宋_GB2312" w:eastAsia="仿宋_GB2312" w:cs="Times New Roman"/>
                <w:b/>
                <w:sz w:val="28"/>
                <w:szCs w:val="28"/>
              </w:rPr>
            </w:pPr>
          </w:p>
        </w:tc>
        <w:tc>
          <w:tcPr>
            <w:tcW w:w="1327" w:type="dxa"/>
            <w:shd w:val="clear" w:color="auto" w:fill="auto"/>
            <w:vAlign w:val="center"/>
          </w:tcPr>
          <w:p>
            <w:pPr>
              <w:spacing w:line="300" w:lineRule="exact"/>
              <w:jc w:val="left"/>
              <w:rPr>
                <w:rFonts w:ascii="仿宋_GB2312" w:eastAsia="仿宋_GB2312" w:cs="Times New Roman"/>
                <w:b/>
                <w:sz w:val="28"/>
                <w:szCs w:val="28"/>
              </w:rPr>
            </w:pPr>
          </w:p>
        </w:tc>
        <w:tc>
          <w:tcPr>
            <w:tcW w:w="834" w:type="dxa"/>
            <w:shd w:val="clear" w:color="auto" w:fill="auto"/>
            <w:vAlign w:val="center"/>
          </w:tcPr>
          <w:p>
            <w:pPr>
              <w:spacing w:line="300" w:lineRule="exact"/>
              <w:jc w:val="left"/>
              <w:rPr>
                <w:rFonts w:ascii="仿宋_GB2312" w:eastAsia="仿宋_GB2312" w:cs="Times New Roman"/>
                <w:b/>
                <w:sz w:val="28"/>
                <w:szCs w:val="28"/>
              </w:rPr>
            </w:pPr>
          </w:p>
        </w:tc>
        <w:tc>
          <w:tcPr>
            <w:tcW w:w="834" w:type="dxa"/>
            <w:shd w:val="clear" w:color="auto" w:fill="auto"/>
            <w:vAlign w:val="center"/>
          </w:tcPr>
          <w:p>
            <w:pPr>
              <w:spacing w:line="300" w:lineRule="exact"/>
              <w:jc w:val="right"/>
              <w:rPr>
                <w:rFonts w:ascii="仿宋_GB2312" w:eastAsia="仿宋_GB2312" w:cs="Times New Roman"/>
                <w:b/>
                <w:sz w:val="28"/>
                <w:szCs w:val="28"/>
              </w:rPr>
            </w:pPr>
          </w:p>
        </w:tc>
        <w:tc>
          <w:tcPr>
            <w:tcW w:w="856" w:type="dxa"/>
            <w:shd w:val="clear" w:color="auto" w:fill="auto"/>
            <w:vAlign w:val="center"/>
          </w:tcPr>
          <w:p>
            <w:pPr>
              <w:spacing w:line="300" w:lineRule="exact"/>
              <w:jc w:val="right"/>
              <w:rPr>
                <w:rFonts w:ascii="仿宋_GB2312" w:eastAsia="仿宋_GB2312" w:cs="Times New Roman"/>
                <w:b/>
                <w:sz w:val="28"/>
                <w:szCs w:val="28"/>
              </w:rPr>
            </w:pPr>
          </w:p>
        </w:tc>
        <w:tc>
          <w:tcPr>
            <w:tcW w:w="853" w:type="dxa"/>
            <w:shd w:val="clear" w:color="auto" w:fill="auto"/>
            <w:vAlign w:val="center"/>
          </w:tcPr>
          <w:p>
            <w:pPr>
              <w:spacing w:line="300" w:lineRule="exact"/>
              <w:jc w:val="right"/>
              <w:rPr>
                <w:rFonts w:ascii="仿宋_GB2312" w:eastAsia="仿宋_GB2312" w:cs="Times New Roman"/>
                <w:b/>
                <w:sz w:val="28"/>
                <w:szCs w:val="28"/>
              </w:rPr>
            </w:pPr>
          </w:p>
        </w:tc>
        <w:tc>
          <w:tcPr>
            <w:tcW w:w="853" w:type="dxa"/>
            <w:shd w:val="clear" w:color="auto" w:fill="auto"/>
            <w:vAlign w:val="center"/>
          </w:tcPr>
          <w:p>
            <w:pPr>
              <w:spacing w:line="300" w:lineRule="exact"/>
              <w:jc w:val="right"/>
              <w:rPr>
                <w:rFonts w:ascii="仿宋_GB2312" w:eastAsia="仿宋_GB2312" w:cs="Times New Roman"/>
                <w:b/>
                <w:sz w:val="28"/>
                <w:szCs w:val="28"/>
              </w:rPr>
            </w:pPr>
          </w:p>
        </w:tc>
        <w:tc>
          <w:tcPr>
            <w:tcW w:w="853" w:type="dxa"/>
            <w:shd w:val="clear" w:color="auto" w:fill="auto"/>
            <w:vAlign w:val="center"/>
          </w:tcPr>
          <w:p>
            <w:pPr>
              <w:spacing w:line="300" w:lineRule="exact"/>
              <w:jc w:val="right"/>
              <w:rPr>
                <w:rFonts w:ascii="仿宋_GB2312" w:eastAsia="仿宋_GB2312" w:cs="Times New Roman"/>
                <w:b/>
                <w:sz w:val="28"/>
                <w:szCs w:val="28"/>
              </w:rPr>
            </w:pPr>
          </w:p>
        </w:tc>
        <w:tc>
          <w:tcPr>
            <w:tcW w:w="776" w:type="dxa"/>
            <w:shd w:val="clear" w:color="auto" w:fill="auto"/>
            <w:vAlign w:val="center"/>
          </w:tcPr>
          <w:p>
            <w:pPr>
              <w:spacing w:line="300" w:lineRule="exact"/>
              <w:jc w:val="right"/>
              <w:rPr>
                <w:rFonts w:ascii="仿宋_GB2312" w:eastAsia="仿宋_GB2312" w:cs="Times New Roman"/>
                <w:b/>
                <w:sz w:val="28"/>
                <w:szCs w:val="28"/>
              </w:rPr>
            </w:pPr>
          </w:p>
        </w:tc>
        <w:tc>
          <w:tcPr>
            <w:tcW w:w="837" w:type="dxa"/>
            <w:shd w:val="clear" w:color="auto" w:fill="auto"/>
            <w:vAlign w:val="center"/>
          </w:tcPr>
          <w:p>
            <w:pPr>
              <w:spacing w:line="300" w:lineRule="exact"/>
              <w:jc w:val="right"/>
              <w:rPr>
                <w:rFonts w:ascii="仿宋_GB2312" w:eastAsia="仿宋_GB2312" w:cs="Times New Roman"/>
                <w:b/>
                <w:sz w:val="28"/>
                <w:szCs w:val="28"/>
              </w:rPr>
            </w:pPr>
          </w:p>
        </w:tc>
        <w:tc>
          <w:tcPr>
            <w:tcW w:w="837" w:type="dxa"/>
            <w:shd w:val="clear" w:color="auto" w:fill="auto"/>
            <w:vAlign w:val="center"/>
          </w:tcPr>
          <w:p>
            <w:pPr>
              <w:spacing w:line="300" w:lineRule="exact"/>
              <w:jc w:val="right"/>
              <w:rPr>
                <w:rFonts w:ascii="仿宋_GB2312" w:eastAsia="仿宋_GB2312" w:cs="Times New Roman"/>
                <w:b/>
                <w:sz w:val="28"/>
                <w:szCs w:val="28"/>
              </w:rPr>
            </w:pPr>
          </w:p>
        </w:tc>
        <w:tc>
          <w:tcPr>
            <w:tcW w:w="784" w:type="dxa"/>
            <w:shd w:val="clear" w:color="auto" w:fill="auto"/>
            <w:vAlign w:val="center"/>
          </w:tcPr>
          <w:p>
            <w:pPr>
              <w:spacing w:line="300" w:lineRule="exact"/>
              <w:jc w:val="right"/>
              <w:rPr>
                <w:rFonts w:ascii="仿宋_GB2312" w:eastAsia="仿宋_GB2312" w:cs="Times New Roman"/>
                <w:b/>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270" w:type="dxa"/>
            <w:shd w:val="clear" w:color="auto" w:fill="auto"/>
            <w:vAlign w:val="center"/>
          </w:tcPr>
          <w:p>
            <w:pPr>
              <w:spacing w:line="300" w:lineRule="exact"/>
              <w:jc w:val="left"/>
              <w:rPr>
                <w:rFonts w:ascii="仿宋_GB2312" w:eastAsia="仿宋_GB2312" w:cs="Times New Roman"/>
                <w:sz w:val="28"/>
                <w:szCs w:val="28"/>
              </w:rPr>
            </w:pPr>
          </w:p>
        </w:tc>
        <w:tc>
          <w:tcPr>
            <w:tcW w:w="1013" w:type="dxa"/>
            <w:shd w:val="clear" w:color="auto" w:fill="auto"/>
            <w:vAlign w:val="center"/>
          </w:tcPr>
          <w:p>
            <w:pPr>
              <w:spacing w:line="300" w:lineRule="exact"/>
              <w:jc w:val="right"/>
              <w:rPr>
                <w:rFonts w:ascii="仿宋_GB2312" w:eastAsia="仿宋_GB2312" w:cs="Times New Roman"/>
                <w:sz w:val="28"/>
                <w:szCs w:val="28"/>
              </w:rPr>
            </w:pPr>
          </w:p>
        </w:tc>
        <w:tc>
          <w:tcPr>
            <w:tcW w:w="834" w:type="dxa"/>
            <w:shd w:val="clear" w:color="auto" w:fill="auto"/>
            <w:vAlign w:val="center"/>
          </w:tcPr>
          <w:p>
            <w:pPr>
              <w:spacing w:line="300" w:lineRule="exact"/>
              <w:jc w:val="left"/>
              <w:rPr>
                <w:rFonts w:ascii="仿宋_GB2312" w:eastAsia="仿宋_GB2312" w:cs="Times New Roman"/>
                <w:sz w:val="28"/>
                <w:szCs w:val="28"/>
              </w:rPr>
            </w:pPr>
          </w:p>
        </w:tc>
        <w:tc>
          <w:tcPr>
            <w:tcW w:w="1327" w:type="dxa"/>
            <w:shd w:val="clear" w:color="auto" w:fill="auto"/>
            <w:vAlign w:val="center"/>
          </w:tcPr>
          <w:p>
            <w:pPr>
              <w:spacing w:line="300" w:lineRule="exact"/>
              <w:jc w:val="left"/>
              <w:rPr>
                <w:rFonts w:ascii="仿宋_GB2312" w:eastAsia="仿宋_GB2312" w:cs="Times New Roman"/>
                <w:sz w:val="28"/>
                <w:szCs w:val="28"/>
              </w:rPr>
            </w:pPr>
          </w:p>
        </w:tc>
        <w:tc>
          <w:tcPr>
            <w:tcW w:w="834" w:type="dxa"/>
            <w:shd w:val="clear" w:color="auto" w:fill="auto"/>
            <w:vAlign w:val="center"/>
          </w:tcPr>
          <w:p>
            <w:pPr>
              <w:spacing w:line="300" w:lineRule="exact"/>
              <w:jc w:val="left"/>
              <w:rPr>
                <w:rFonts w:ascii="仿宋_GB2312" w:eastAsia="仿宋_GB2312" w:cs="Times New Roman"/>
                <w:sz w:val="28"/>
                <w:szCs w:val="28"/>
              </w:rPr>
            </w:pPr>
          </w:p>
        </w:tc>
        <w:tc>
          <w:tcPr>
            <w:tcW w:w="834" w:type="dxa"/>
            <w:shd w:val="clear" w:color="auto" w:fill="auto"/>
            <w:vAlign w:val="center"/>
          </w:tcPr>
          <w:p>
            <w:pPr>
              <w:spacing w:line="300" w:lineRule="exact"/>
              <w:jc w:val="right"/>
              <w:rPr>
                <w:rFonts w:ascii="仿宋_GB2312" w:eastAsia="仿宋_GB2312" w:cs="Times New Roman"/>
                <w:sz w:val="28"/>
                <w:szCs w:val="28"/>
              </w:rPr>
            </w:pPr>
          </w:p>
        </w:tc>
        <w:tc>
          <w:tcPr>
            <w:tcW w:w="856" w:type="dxa"/>
            <w:shd w:val="clear" w:color="auto" w:fill="auto"/>
            <w:vAlign w:val="center"/>
          </w:tcPr>
          <w:p>
            <w:pPr>
              <w:spacing w:line="300" w:lineRule="exact"/>
              <w:jc w:val="right"/>
              <w:rPr>
                <w:rFonts w:ascii="仿宋_GB2312" w:eastAsia="仿宋_GB2312" w:cs="Times New Roman"/>
                <w:sz w:val="28"/>
                <w:szCs w:val="28"/>
              </w:rPr>
            </w:pPr>
          </w:p>
        </w:tc>
        <w:tc>
          <w:tcPr>
            <w:tcW w:w="853" w:type="dxa"/>
            <w:shd w:val="clear" w:color="auto" w:fill="auto"/>
            <w:vAlign w:val="center"/>
          </w:tcPr>
          <w:p>
            <w:pPr>
              <w:spacing w:line="300" w:lineRule="exact"/>
              <w:jc w:val="right"/>
              <w:rPr>
                <w:rFonts w:ascii="仿宋_GB2312" w:eastAsia="仿宋_GB2312" w:cs="Times New Roman"/>
                <w:sz w:val="28"/>
                <w:szCs w:val="28"/>
              </w:rPr>
            </w:pPr>
          </w:p>
        </w:tc>
        <w:tc>
          <w:tcPr>
            <w:tcW w:w="853" w:type="dxa"/>
            <w:shd w:val="clear" w:color="auto" w:fill="auto"/>
            <w:vAlign w:val="center"/>
          </w:tcPr>
          <w:p>
            <w:pPr>
              <w:spacing w:line="300" w:lineRule="exact"/>
              <w:jc w:val="right"/>
              <w:rPr>
                <w:rFonts w:ascii="仿宋_GB2312" w:eastAsia="仿宋_GB2312" w:cs="Times New Roman"/>
                <w:sz w:val="28"/>
                <w:szCs w:val="28"/>
              </w:rPr>
            </w:pPr>
          </w:p>
        </w:tc>
        <w:tc>
          <w:tcPr>
            <w:tcW w:w="853" w:type="dxa"/>
            <w:shd w:val="clear" w:color="auto" w:fill="auto"/>
            <w:vAlign w:val="center"/>
          </w:tcPr>
          <w:p>
            <w:pPr>
              <w:spacing w:line="300" w:lineRule="exact"/>
              <w:jc w:val="right"/>
              <w:rPr>
                <w:rFonts w:ascii="仿宋_GB2312" w:eastAsia="仿宋_GB2312" w:cs="Times New Roman"/>
                <w:sz w:val="28"/>
                <w:szCs w:val="28"/>
              </w:rPr>
            </w:pPr>
          </w:p>
        </w:tc>
        <w:tc>
          <w:tcPr>
            <w:tcW w:w="776" w:type="dxa"/>
            <w:shd w:val="clear" w:color="auto" w:fill="auto"/>
            <w:vAlign w:val="center"/>
          </w:tcPr>
          <w:p>
            <w:pPr>
              <w:spacing w:line="300" w:lineRule="exact"/>
              <w:jc w:val="right"/>
              <w:rPr>
                <w:rFonts w:ascii="仿宋_GB2312" w:eastAsia="仿宋_GB2312" w:cs="Times New Roman"/>
                <w:sz w:val="28"/>
                <w:szCs w:val="28"/>
              </w:rPr>
            </w:pPr>
          </w:p>
        </w:tc>
        <w:tc>
          <w:tcPr>
            <w:tcW w:w="837" w:type="dxa"/>
            <w:shd w:val="clear" w:color="auto" w:fill="auto"/>
            <w:vAlign w:val="center"/>
          </w:tcPr>
          <w:p>
            <w:pPr>
              <w:spacing w:line="300" w:lineRule="exact"/>
              <w:jc w:val="right"/>
              <w:rPr>
                <w:rFonts w:ascii="仿宋_GB2312" w:eastAsia="仿宋_GB2312" w:cs="Times New Roman"/>
                <w:sz w:val="28"/>
                <w:szCs w:val="28"/>
              </w:rPr>
            </w:pPr>
          </w:p>
        </w:tc>
        <w:tc>
          <w:tcPr>
            <w:tcW w:w="837" w:type="dxa"/>
            <w:shd w:val="clear" w:color="auto" w:fill="auto"/>
            <w:vAlign w:val="center"/>
          </w:tcPr>
          <w:p>
            <w:pPr>
              <w:spacing w:line="300" w:lineRule="exact"/>
              <w:jc w:val="right"/>
              <w:rPr>
                <w:rFonts w:ascii="仿宋_GB2312" w:eastAsia="仿宋_GB2312" w:cs="Times New Roman"/>
                <w:sz w:val="28"/>
                <w:szCs w:val="28"/>
              </w:rPr>
            </w:pPr>
          </w:p>
        </w:tc>
        <w:tc>
          <w:tcPr>
            <w:tcW w:w="784" w:type="dxa"/>
            <w:shd w:val="clear" w:color="auto" w:fill="auto"/>
            <w:vAlign w:val="center"/>
          </w:tcPr>
          <w:p>
            <w:pPr>
              <w:spacing w:line="300" w:lineRule="exact"/>
              <w:jc w:val="right"/>
              <w:rPr>
                <w:rFonts w:ascii="仿宋_GB2312" w:eastAsia="仿宋_GB2312"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270" w:type="dxa"/>
            <w:shd w:val="clear" w:color="auto" w:fill="auto"/>
            <w:vAlign w:val="center"/>
          </w:tcPr>
          <w:p>
            <w:pPr>
              <w:spacing w:line="300" w:lineRule="exact"/>
              <w:jc w:val="left"/>
              <w:rPr>
                <w:rFonts w:ascii="仿宋_GB2312" w:eastAsia="仿宋_GB2312" w:cs="Times New Roman"/>
                <w:sz w:val="28"/>
                <w:szCs w:val="28"/>
              </w:rPr>
            </w:pPr>
          </w:p>
        </w:tc>
        <w:tc>
          <w:tcPr>
            <w:tcW w:w="1013" w:type="dxa"/>
            <w:shd w:val="clear" w:color="auto" w:fill="auto"/>
            <w:vAlign w:val="center"/>
          </w:tcPr>
          <w:p>
            <w:pPr>
              <w:spacing w:line="300" w:lineRule="exact"/>
              <w:jc w:val="right"/>
              <w:rPr>
                <w:rFonts w:ascii="仿宋_GB2312" w:eastAsia="仿宋_GB2312" w:cs="Times New Roman"/>
                <w:sz w:val="28"/>
                <w:szCs w:val="28"/>
              </w:rPr>
            </w:pPr>
          </w:p>
        </w:tc>
        <w:tc>
          <w:tcPr>
            <w:tcW w:w="834" w:type="dxa"/>
            <w:shd w:val="clear" w:color="auto" w:fill="auto"/>
            <w:vAlign w:val="center"/>
          </w:tcPr>
          <w:p>
            <w:pPr>
              <w:spacing w:line="300" w:lineRule="exact"/>
              <w:jc w:val="left"/>
              <w:rPr>
                <w:rFonts w:ascii="仿宋_GB2312" w:eastAsia="仿宋_GB2312" w:cs="Times New Roman"/>
                <w:sz w:val="28"/>
                <w:szCs w:val="28"/>
              </w:rPr>
            </w:pPr>
          </w:p>
        </w:tc>
        <w:tc>
          <w:tcPr>
            <w:tcW w:w="1327" w:type="dxa"/>
            <w:shd w:val="clear" w:color="auto" w:fill="auto"/>
            <w:vAlign w:val="center"/>
          </w:tcPr>
          <w:p>
            <w:pPr>
              <w:spacing w:line="300" w:lineRule="exact"/>
              <w:jc w:val="left"/>
              <w:rPr>
                <w:rFonts w:ascii="仿宋_GB2312" w:eastAsia="仿宋_GB2312" w:cs="Times New Roman"/>
                <w:sz w:val="28"/>
                <w:szCs w:val="28"/>
              </w:rPr>
            </w:pPr>
          </w:p>
        </w:tc>
        <w:tc>
          <w:tcPr>
            <w:tcW w:w="834" w:type="dxa"/>
            <w:shd w:val="clear" w:color="auto" w:fill="auto"/>
            <w:vAlign w:val="center"/>
          </w:tcPr>
          <w:p>
            <w:pPr>
              <w:spacing w:line="300" w:lineRule="exact"/>
              <w:jc w:val="left"/>
              <w:rPr>
                <w:rFonts w:ascii="仿宋_GB2312" w:eastAsia="仿宋_GB2312" w:cs="Times New Roman"/>
                <w:sz w:val="28"/>
                <w:szCs w:val="28"/>
              </w:rPr>
            </w:pPr>
          </w:p>
        </w:tc>
        <w:tc>
          <w:tcPr>
            <w:tcW w:w="834" w:type="dxa"/>
            <w:shd w:val="clear" w:color="auto" w:fill="auto"/>
            <w:vAlign w:val="center"/>
          </w:tcPr>
          <w:p>
            <w:pPr>
              <w:spacing w:line="300" w:lineRule="exact"/>
              <w:jc w:val="right"/>
              <w:rPr>
                <w:rFonts w:ascii="仿宋_GB2312" w:eastAsia="仿宋_GB2312" w:cs="Times New Roman"/>
                <w:sz w:val="28"/>
                <w:szCs w:val="28"/>
              </w:rPr>
            </w:pPr>
          </w:p>
        </w:tc>
        <w:tc>
          <w:tcPr>
            <w:tcW w:w="856" w:type="dxa"/>
            <w:shd w:val="clear" w:color="auto" w:fill="auto"/>
            <w:vAlign w:val="center"/>
          </w:tcPr>
          <w:p>
            <w:pPr>
              <w:spacing w:line="300" w:lineRule="exact"/>
              <w:jc w:val="right"/>
              <w:rPr>
                <w:rFonts w:ascii="仿宋_GB2312" w:eastAsia="仿宋_GB2312" w:cs="Times New Roman"/>
                <w:sz w:val="28"/>
                <w:szCs w:val="28"/>
              </w:rPr>
            </w:pPr>
          </w:p>
        </w:tc>
        <w:tc>
          <w:tcPr>
            <w:tcW w:w="853" w:type="dxa"/>
            <w:shd w:val="clear" w:color="auto" w:fill="auto"/>
            <w:vAlign w:val="center"/>
          </w:tcPr>
          <w:p>
            <w:pPr>
              <w:spacing w:line="300" w:lineRule="exact"/>
              <w:jc w:val="right"/>
              <w:rPr>
                <w:rFonts w:ascii="仿宋_GB2312" w:eastAsia="仿宋_GB2312" w:cs="Times New Roman"/>
                <w:sz w:val="28"/>
                <w:szCs w:val="28"/>
              </w:rPr>
            </w:pPr>
          </w:p>
        </w:tc>
        <w:tc>
          <w:tcPr>
            <w:tcW w:w="853" w:type="dxa"/>
            <w:shd w:val="clear" w:color="auto" w:fill="auto"/>
            <w:vAlign w:val="center"/>
          </w:tcPr>
          <w:p>
            <w:pPr>
              <w:spacing w:line="300" w:lineRule="exact"/>
              <w:jc w:val="right"/>
              <w:rPr>
                <w:rFonts w:ascii="仿宋_GB2312" w:eastAsia="仿宋_GB2312" w:cs="Times New Roman"/>
                <w:sz w:val="28"/>
                <w:szCs w:val="28"/>
              </w:rPr>
            </w:pPr>
          </w:p>
        </w:tc>
        <w:tc>
          <w:tcPr>
            <w:tcW w:w="853" w:type="dxa"/>
            <w:shd w:val="clear" w:color="auto" w:fill="auto"/>
            <w:vAlign w:val="center"/>
          </w:tcPr>
          <w:p>
            <w:pPr>
              <w:spacing w:line="300" w:lineRule="exact"/>
              <w:jc w:val="right"/>
              <w:rPr>
                <w:rFonts w:ascii="仿宋_GB2312" w:eastAsia="仿宋_GB2312" w:cs="Times New Roman"/>
                <w:sz w:val="28"/>
                <w:szCs w:val="28"/>
              </w:rPr>
            </w:pPr>
          </w:p>
        </w:tc>
        <w:tc>
          <w:tcPr>
            <w:tcW w:w="776" w:type="dxa"/>
            <w:shd w:val="clear" w:color="auto" w:fill="auto"/>
            <w:vAlign w:val="center"/>
          </w:tcPr>
          <w:p>
            <w:pPr>
              <w:spacing w:line="300" w:lineRule="exact"/>
              <w:jc w:val="right"/>
              <w:rPr>
                <w:rFonts w:ascii="仿宋_GB2312" w:eastAsia="仿宋_GB2312" w:cs="Times New Roman"/>
                <w:sz w:val="28"/>
                <w:szCs w:val="28"/>
              </w:rPr>
            </w:pPr>
          </w:p>
        </w:tc>
        <w:tc>
          <w:tcPr>
            <w:tcW w:w="837" w:type="dxa"/>
            <w:shd w:val="clear" w:color="auto" w:fill="auto"/>
            <w:vAlign w:val="center"/>
          </w:tcPr>
          <w:p>
            <w:pPr>
              <w:spacing w:line="300" w:lineRule="exact"/>
              <w:jc w:val="right"/>
              <w:rPr>
                <w:rFonts w:ascii="仿宋_GB2312" w:eastAsia="仿宋_GB2312" w:cs="Times New Roman"/>
                <w:sz w:val="28"/>
                <w:szCs w:val="28"/>
              </w:rPr>
            </w:pPr>
          </w:p>
        </w:tc>
        <w:tc>
          <w:tcPr>
            <w:tcW w:w="837" w:type="dxa"/>
            <w:shd w:val="clear" w:color="auto" w:fill="auto"/>
            <w:vAlign w:val="center"/>
          </w:tcPr>
          <w:p>
            <w:pPr>
              <w:spacing w:line="300" w:lineRule="exact"/>
              <w:jc w:val="right"/>
              <w:rPr>
                <w:rFonts w:ascii="仿宋_GB2312" w:eastAsia="仿宋_GB2312" w:cs="Times New Roman"/>
                <w:sz w:val="28"/>
                <w:szCs w:val="28"/>
              </w:rPr>
            </w:pPr>
          </w:p>
        </w:tc>
        <w:tc>
          <w:tcPr>
            <w:tcW w:w="784" w:type="dxa"/>
            <w:shd w:val="clear" w:color="auto" w:fill="auto"/>
            <w:vAlign w:val="center"/>
          </w:tcPr>
          <w:p>
            <w:pPr>
              <w:spacing w:line="300" w:lineRule="exact"/>
              <w:jc w:val="right"/>
              <w:rPr>
                <w:rFonts w:ascii="仿宋_GB2312" w:eastAsia="仿宋_GB2312" w:cs="Times New Roman"/>
                <w:sz w:val="28"/>
                <w:szCs w:val="28"/>
              </w:rPr>
            </w:pPr>
          </w:p>
        </w:tc>
      </w:tr>
    </w:tbl>
    <w:p>
      <w:pPr>
        <w:widowControl/>
        <w:spacing w:line="360" w:lineRule="atLeast"/>
        <w:jc w:val="left"/>
        <w:rPr>
          <w:rFonts w:ascii="仿宋_GB2312" w:eastAsia="仿宋_GB2312" w:cs="宋体"/>
          <w:b/>
          <w:bCs/>
          <w:color w:val="000000"/>
          <w:kern w:val="0"/>
          <w:sz w:val="32"/>
          <w:szCs w:val="32"/>
        </w:rPr>
      </w:pPr>
    </w:p>
    <w:p>
      <w:pPr>
        <w:widowControl/>
        <w:spacing w:line="360" w:lineRule="atLeast"/>
        <w:jc w:val="left"/>
        <w:rPr>
          <w:rFonts w:ascii="宋体" w:hAnsi="宋体" w:eastAsia="仿宋_GB2312" w:cs="宋体"/>
          <w:color w:val="000000"/>
          <w:kern w:val="0"/>
          <w:sz w:val="32"/>
          <w:szCs w:val="32"/>
        </w:rPr>
      </w:pPr>
      <w:r>
        <w:rPr>
          <w:rFonts w:ascii="仿宋_GB2312" w:eastAsia="仿宋_GB2312" w:cs="宋体"/>
          <w:b/>
          <w:bCs/>
          <w:color w:val="000000"/>
          <w:kern w:val="0"/>
          <w:sz w:val="32"/>
          <w:szCs w:val="32"/>
        </w:rPr>
        <w:br w:type="page"/>
      </w:r>
      <w:r>
        <w:rPr>
          <w:rFonts w:hint="eastAsia" w:ascii="黑体" w:eastAsia="黑体" w:cs="宋体"/>
          <w:b/>
          <w:bCs/>
          <w:color w:val="000000"/>
          <w:kern w:val="0"/>
          <w:sz w:val="32"/>
          <w:szCs w:val="32"/>
        </w:rPr>
        <w:t>七、国有资产信息</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广阳区供销合作联合社</w:t>
      </w:r>
      <w:r>
        <w:rPr>
          <w:rFonts w:ascii="Times New Roman" w:hAnsi="Times New Roman" w:eastAsia="仿宋_GB2312" w:cs="Times New Roman"/>
          <w:sz w:val="32"/>
          <w:szCs w:val="32"/>
        </w:rPr>
        <w:t>（含所属单位）</w:t>
      </w:r>
      <w:r>
        <w:rPr>
          <w:rFonts w:hint="eastAsia" w:ascii="仿宋_GB2312" w:eastAsia="仿宋_GB2312" w:cs="宋体"/>
          <w:color w:val="000000"/>
          <w:kern w:val="0"/>
          <w:sz w:val="32"/>
          <w:szCs w:val="32"/>
        </w:rPr>
        <w:t>上年末无固定资产，我部门本年度无拟购置固定资产，详见下表。</w:t>
      </w:r>
      <w:r>
        <w:rPr>
          <w:rFonts w:hint="eastAsia" w:ascii="宋体" w:hAnsi="宋体" w:eastAsia="仿宋_GB2312" w:cs="宋体"/>
          <w:color w:val="000000"/>
          <w:kern w:val="0"/>
          <w:sz w:val="32"/>
          <w:szCs w:val="32"/>
        </w:rPr>
        <w:t> </w:t>
      </w:r>
    </w:p>
    <w:tbl>
      <w:tblPr>
        <w:tblStyle w:val="6"/>
        <w:tblW w:w="10295" w:type="dxa"/>
        <w:jc w:val="center"/>
        <w:tblCellSpacing w:w="0" w:type="dxa"/>
        <w:tblInd w:w="0" w:type="dxa"/>
        <w:tblLayout w:type="fixed"/>
        <w:tblCellMar>
          <w:top w:w="0" w:type="dxa"/>
          <w:left w:w="0" w:type="dxa"/>
          <w:bottom w:w="0" w:type="dxa"/>
          <w:right w:w="0" w:type="dxa"/>
        </w:tblCellMar>
      </w:tblPr>
      <w:tblGrid>
        <w:gridCol w:w="3940"/>
        <w:gridCol w:w="2700"/>
        <w:gridCol w:w="3655"/>
      </w:tblGrid>
      <w:tr>
        <w:tblPrEx>
          <w:tblLayout w:type="fixed"/>
          <w:tblCellMar>
            <w:top w:w="0" w:type="dxa"/>
            <w:left w:w="0" w:type="dxa"/>
            <w:bottom w:w="0" w:type="dxa"/>
            <w:right w:w="0" w:type="dxa"/>
          </w:tblCellMar>
        </w:tblPrEx>
        <w:trPr>
          <w:trHeight w:val="705" w:hRule="atLeast"/>
          <w:tblCellSpacing w:w="0" w:type="dxa"/>
          <w:jc w:val="center"/>
        </w:trPr>
        <w:tc>
          <w:tcPr>
            <w:tcW w:w="10295" w:type="dxa"/>
            <w:gridSpan w:val="3"/>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w:t>
            </w:r>
            <w:r>
              <w:rPr>
                <w:rFonts w:hint="eastAsia" w:ascii="仿宋_GB2312" w:eastAsia="仿宋_GB2312" w:cs="宋体"/>
                <w:b/>
                <w:bCs/>
                <w:kern w:val="0"/>
                <w:sz w:val="28"/>
                <w:szCs w:val="28"/>
              </w:rPr>
              <w:t>廊坊市广阳区预算部门固定资产占用情况表</w:t>
            </w:r>
          </w:p>
        </w:tc>
      </w:tr>
      <w:tr>
        <w:tblPrEx>
          <w:tblLayout w:type="fixed"/>
          <w:tblCellMar>
            <w:top w:w="0" w:type="dxa"/>
            <w:left w:w="0" w:type="dxa"/>
            <w:bottom w:w="0" w:type="dxa"/>
            <w:right w:w="0" w:type="dxa"/>
          </w:tblCellMar>
        </w:tblPrEx>
        <w:trPr>
          <w:trHeight w:val="510" w:hRule="atLeast"/>
          <w:tblCellSpacing w:w="0" w:type="dxa"/>
          <w:jc w:val="center"/>
        </w:trPr>
        <w:tc>
          <w:tcPr>
            <w:tcW w:w="6640" w:type="dxa"/>
            <w:gridSpan w:val="2"/>
            <w:vAlign w:val="center"/>
          </w:tcPr>
          <w:p>
            <w:pPr>
              <w:widowControl/>
              <w:jc w:val="left"/>
              <w:rPr>
                <w:rFonts w:ascii="仿宋_GB2312" w:eastAsia="仿宋_GB2312" w:cs="宋体"/>
                <w:kern w:val="0"/>
                <w:sz w:val="28"/>
                <w:szCs w:val="28"/>
              </w:rPr>
            </w:pPr>
            <w:r>
              <w:rPr>
                <w:rFonts w:hint="eastAsia" w:ascii="仿宋_GB2312" w:eastAsia="仿宋_GB2312" w:cs="宋体"/>
                <w:kern w:val="0"/>
                <w:sz w:val="28"/>
                <w:szCs w:val="28"/>
              </w:rPr>
              <w:t>编制部门：</w:t>
            </w:r>
            <w:r>
              <w:rPr>
                <w:rFonts w:hint="eastAsia" w:ascii="仿宋_GB2312" w:eastAsia="仿宋_GB2312" w:cs="宋体"/>
                <w:kern w:val="0"/>
                <w:sz w:val="28"/>
                <w:szCs w:val="28"/>
                <w:lang w:val="en-US" w:eastAsia="zh-CN"/>
              </w:rPr>
              <w:t>639</w:t>
            </w:r>
            <w:r>
              <w:rPr>
                <w:rFonts w:hint="eastAsia" w:ascii="仿宋_GB2312" w:eastAsia="仿宋_GB2312" w:cs="宋体"/>
                <w:b/>
                <w:bCs/>
                <w:kern w:val="0"/>
                <w:sz w:val="28"/>
                <w:szCs w:val="28"/>
              </w:rPr>
              <w:t>廊坊市广阳区供销合作社联合社</w:t>
            </w:r>
          </w:p>
        </w:tc>
        <w:tc>
          <w:tcPr>
            <w:tcW w:w="3655" w:type="dxa"/>
            <w:vAlign w:val="center"/>
          </w:tcPr>
          <w:p>
            <w:pPr>
              <w:widowControl/>
              <w:jc w:val="left"/>
              <w:rPr>
                <w:rFonts w:ascii="宋体" w:hAnsi="宋体" w:eastAsia="仿宋_GB2312" w:cs="宋体"/>
                <w:kern w:val="0"/>
                <w:sz w:val="28"/>
                <w:szCs w:val="28"/>
              </w:rPr>
            </w:pPr>
            <w:r>
              <w:rPr>
                <w:rFonts w:hint="eastAsia" w:ascii="仿宋_GB2312" w:eastAsia="仿宋_GB2312" w:cs="宋体"/>
                <w:kern w:val="0"/>
                <w:sz w:val="28"/>
                <w:szCs w:val="28"/>
              </w:rPr>
              <w:t>截止时间：2017年12月31日</w:t>
            </w:r>
            <w:r>
              <w:rPr>
                <w:rFonts w:ascii="宋体" w:hAnsi="宋体" w:eastAsia="仿宋_GB2312" w:cs="宋体"/>
                <w:kern w:val="0"/>
                <w:sz w:val="28"/>
                <w:szCs w:val="28"/>
              </w:rPr>
              <w:t> </w:t>
            </w:r>
          </w:p>
        </w:tc>
      </w:tr>
      <w:tr>
        <w:tblPrEx>
          <w:tblLayout w:type="fixed"/>
          <w:tblCellMar>
            <w:top w:w="0" w:type="dxa"/>
            <w:left w:w="0" w:type="dxa"/>
            <w:bottom w:w="0" w:type="dxa"/>
            <w:right w:w="0" w:type="dxa"/>
          </w:tblCellMar>
        </w:tblPrEx>
        <w:trPr>
          <w:trHeight w:val="645" w:hRule="atLeast"/>
          <w:tblCellSpacing w:w="0" w:type="dxa"/>
          <w:jc w:val="center"/>
        </w:trPr>
        <w:tc>
          <w:tcPr>
            <w:tcW w:w="3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项</w:t>
            </w:r>
            <w:r>
              <w:rPr>
                <w:rFonts w:ascii="宋体" w:hAnsi="宋体" w:eastAsia="仿宋_GB2312" w:cs="宋体"/>
                <w:b/>
                <w:bCs/>
                <w:kern w:val="0"/>
                <w:sz w:val="28"/>
                <w:szCs w:val="28"/>
              </w:rPr>
              <w:t xml:space="preserve">   </w:t>
            </w:r>
            <w:r>
              <w:rPr>
                <w:rFonts w:hint="eastAsia" w:ascii="仿宋_GB2312" w:eastAsia="仿宋_GB2312" w:cs="宋体"/>
                <w:b/>
                <w:bCs/>
                <w:kern w:val="0"/>
                <w:sz w:val="28"/>
                <w:szCs w:val="28"/>
              </w:rPr>
              <w:t>目</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数量</w:t>
            </w:r>
          </w:p>
        </w:tc>
        <w:tc>
          <w:tcPr>
            <w:tcW w:w="3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b/>
                <w:bCs/>
                <w:kern w:val="0"/>
                <w:sz w:val="28"/>
                <w:szCs w:val="28"/>
              </w:rPr>
              <w:t>价值（金额单位：万元）</w:t>
            </w:r>
          </w:p>
        </w:tc>
      </w:tr>
      <w:tr>
        <w:tblPrEx>
          <w:tblLayout w:type="fixed"/>
          <w:tblCellMar>
            <w:top w:w="0" w:type="dxa"/>
            <w:left w:w="0" w:type="dxa"/>
            <w:bottom w:w="0" w:type="dxa"/>
            <w:right w:w="0" w:type="dxa"/>
          </w:tblCellMar>
        </w:tblPrEx>
        <w:trPr>
          <w:trHeight w:val="645" w:hRule="atLeast"/>
          <w:tblCellSpacing w:w="0" w:type="dxa"/>
          <w:jc w:val="center"/>
        </w:trPr>
        <w:tc>
          <w:tcPr>
            <w:tcW w:w="3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资产总额</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w:t>
            </w:r>
          </w:p>
        </w:tc>
        <w:tc>
          <w:tcPr>
            <w:tcW w:w="3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Layout w:type="fixed"/>
          <w:tblCellMar>
            <w:top w:w="0" w:type="dxa"/>
            <w:left w:w="0" w:type="dxa"/>
            <w:bottom w:w="0" w:type="dxa"/>
            <w:right w:w="0" w:type="dxa"/>
          </w:tblCellMar>
        </w:tblPrEx>
        <w:trPr>
          <w:trHeight w:val="645" w:hRule="atLeast"/>
          <w:tblCellSpacing w:w="0" w:type="dxa"/>
          <w:jc w:val="center"/>
        </w:trPr>
        <w:tc>
          <w:tcPr>
            <w:tcW w:w="3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1、房屋（平方米）</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Layout w:type="fixed"/>
          <w:tblCellMar>
            <w:top w:w="0" w:type="dxa"/>
            <w:left w:w="0" w:type="dxa"/>
            <w:bottom w:w="0" w:type="dxa"/>
            <w:right w:w="0" w:type="dxa"/>
          </w:tblCellMar>
        </w:tblPrEx>
        <w:trPr>
          <w:trHeight w:val="645" w:hRule="atLeast"/>
          <w:tblCellSpacing w:w="0" w:type="dxa"/>
          <w:jc w:val="center"/>
        </w:trPr>
        <w:tc>
          <w:tcPr>
            <w:tcW w:w="3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ascii="宋体" w:hAnsi="宋体" w:eastAsia="仿宋_GB2312" w:cs="宋体"/>
                <w:kern w:val="0"/>
                <w:sz w:val="28"/>
                <w:szCs w:val="28"/>
              </w:rPr>
              <w:t xml:space="preserve">   </w:t>
            </w:r>
            <w:r>
              <w:rPr>
                <w:rFonts w:hint="eastAsia" w:ascii="仿宋_GB2312" w:eastAsia="仿宋_GB2312" w:cs="宋体"/>
                <w:kern w:val="0"/>
                <w:sz w:val="28"/>
                <w:szCs w:val="28"/>
              </w:rPr>
              <w:t>其中：办公用房（平方米）</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Layout w:type="fixed"/>
          <w:tblCellMar>
            <w:top w:w="0" w:type="dxa"/>
            <w:left w:w="0" w:type="dxa"/>
            <w:bottom w:w="0" w:type="dxa"/>
            <w:right w:w="0" w:type="dxa"/>
          </w:tblCellMar>
        </w:tblPrEx>
        <w:trPr>
          <w:trHeight w:val="645" w:hRule="atLeast"/>
          <w:tblCellSpacing w:w="0" w:type="dxa"/>
          <w:jc w:val="center"/>
        </w:trPr>
        <w:tc>
          <w:tcPr>
            <w:tcW w:w="3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2、车辆（台、辆）</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Layout w:type="fixed"/>
          <w:tblCellMar>
            <w:top w:w="0" w:type="dxa"/>
            <w:left w:w="0" w:type="dxa"/>
            <w:bottom w:w="0" w:type="dxa"/>
            <w:right w:w="0" w:type="dxa"/>
          </w:tblCellMar>
        </w:tblPrEx>
        <w:trPr>
          <w:trHeight w:val="645" w:hRule="atLeast"/>
          <w:tblCellSpacing w:w="0" w:type="dxa"/>
          <w:jc w:val="center"/>
        </w:trPr>
        <w:tc>
          <w:tcPr>
            <w:tcW w:w="3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3、单价在50万元以上的设备</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w:t>
            </w:r>
          </w:p>
        </w:tc>
        <w:tc>
          <w:tcPr>
            <w:tcW w:w="3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r>
        <w:tblPrEx>
          <w:tblLayout w:type="fixed"/>
          <w:tblCellMar>
            <w:top w:w="0" w:type="dxa"/>
            <w:left w:w="0" w:type="dxa"/>
            <w:bottom w:w="0" w:type="dxa"/>
            <w:right w:w="0" w:type="dxa"/>
          </w:tblCellMar>
        </w:tblPrEx>
        <w:trPr>
          <w:trHeight w:val="645" w:hRule="atLeast"/>
          <w:tblCellSpacing w:w="0" w:type="dxa"/>
          <w:jc w:val="center"/>
        </w:trPr>
        <w:tc>
          <w:tcPr>
            <w:tcW w:w="3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4、其他固定资产</w:t>
            </w:r>
          </w:p>
        </w:tc>
        <w:tc>
          <w:tcPr>
            <w:tcW w:w="2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仿宋_GB2312" w:cs="宋体"/>
                <w:kern w:val="0"/>
                <w:sz w:val="28"/>
                <w:szCs w:val="28"/>
              </w:rPr>
            </w:pPr>
            <w:r>
              <w:rPr>
                <w:rFonts w:ascii="宋体" w:hAnsi="宋体" w:eastAsia="仿宋_GB2312" w:cs="宋体"/>
                <w:kern w:val="0"/>
                <w:sz w:val="28"/>
                <w:szCs w:val="28"/>
              </w:rPr>
              <w:t> </w:t>
            </w:r>
          </w:p>
        </w:tc>
        <w:tc>
          <w:tcPr>
            <w:tcW w:w="36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kern w:val="0"/>
                <w:sz w:val="28"/>
                <w:szCs w:val="28"/>
              </w:rPr>
            </w:pPr>
            <w:r>
              <w:rPr>
                <w:rFonts w:hint="eastAsia" w:ascii="仿宋_GB2312" w:eastAsia="仿宋_GB2312" w:cs="宋体"/>
                <w:kern w:val="0"/>
                <w:sz w:val="28"/>
                <w:szCs w:val="28"/>
              </w:rPr>
              <w:t>0.00</w:t>
            </w:r>
          </w:p>
        </w:tc>
      </w:tr>
    </w:tbl>
    <w:p>
      <w:pPr>
        <w:pStyle w:val="8"/>
        <w:rPr>
          <w:rFonts w:ascii="黑体" w:eastAsia="黑体" w:cs="宋体"/>
          <w:b/>
          <w:bCs/>
          <w:sz w:val="32"/>
          <w:szCs w:val="32"/>
        </w:rPr>
      </w:pPr>
    </w:p>
    <w:p>
      <w:pPr>
        <w:pStyle w:val="8"/>
        <w:rPr>
          <w:rFonts w:ascii="仿宋_GB2312" w:eastAsia="仿宋_GB2312"/>
          <w:b/>
          <w:bCs/>
          <w:sz w:val="32"/>
          <w:szCs w:val="32"/>
        </w:rPr>
      </w:pPr>
      <w:r>
        <w:rPr>
          <w:rFonts w:hint="eastAsia" w:ascii="黑体" w:eastAsia="黑体" w:cs="宋体"/>
          <w:b/>
          <w:bCs/>
          <w:sz w:val="32"/>
          <w:szCs w:val="32"/>
        </w:rPr>
        <w:t>八、名词解释</w:t>
      </w:r>
      <w:r>
        <w:rPr>
          <w:rFonts w:hint="eastAsia" w:ascii="黑体" w:eastAsia="黑体" w:cs="宋体"/>
          <w:sz w:val="32"/>
          <w:szCs w:val="32"/>
        </w:rPr>
        <w:br w:type="textWrapping"/>
      </w:r>
      <w:r>
        <w:rPr>
          <w:rFonts w:hint="eastAsia"/>
          <w:b/>
          <w:bCs/>
          <w:sz w:val="32"/>
          <w:szCs w:val="32"/>
        </w:rPr>
        <w:t xml:space="preserve"> </w:t>
      </w:r>
      <w:r>
        <w:rPr>
          <w:b/>
          <w:bCs/>
          <w:sz w:val="32"/>
          <w:szCs w:val="32"/>
        </w:rPr>
        <w:t xml:space="preserve">   </w:t>
      </w:r>
      <w:r>
        <w:rPr>
          <w:rFonts w:hint="eastAsia" w:ascii="仿宋_GB2312" w:eastAsia="仿宋_GB2312"/>
          <w:b/>
          <w:bCs/>
          <w:sz w:val="32"/>
          <w:szCs w:val="32"/>
        </w:rPr>
        <w:t>1</w:t>
      </w:r>
      <w:r>
        <w:rPr>
          <w:rFonts w:hint="eastAsia" w:ascii="仿宋_GB2312" w:eastAsia="仿宋_GB2312" w:cs="FZFangSong-Z02"/>
          <w:sz w:val="32"/>
          <w:szCs w:val="32"/>
        </w:rPr>
        <w:t>、一般公共预算拨款收入：指市级财政当年拨付的资金。</w:t>
      </w:r>
    </w:p>
    <w:p>
      <w:pPr>
        <w:pStyle w:val="8"/>
        <w:rPr>
          <w:rFonts w:ascii="仿宋_GB2312" w:eastAsia="仿宋_GB2312" w:cs="FZFangSong-Z02"/>
          <w:sz w:val="32"/>
          <w:szCs w:val="32"/>
        </w:rPr>
      </w:pPr>
      <w:r>
        <w:rPr>
          <w:rFonts w:hint="eastAsia" w:ascii="仿宋_GB2312" w:eastAsia="仿宋_GB2312"/>
          <w:b/>
          <w:bCs/>
          <w:sz w:val="32"/>
          <w:szCs w:val="32"/>
        </w:rPr>
        <w:t xml:space="preserve">    2</w:t>
      </w:r>
      <w:r>
        <w:rPr>
          <w:rFonts w:hint="eastAsia" w:ascii="仿宋_GB2312" w:eastAsia="仿宋_GB2312" w:cs="FZFangSong-Z02"/>
          <w:sz w:val="32"/>
          <w:szCs w:val="32"/>
        </w:rPr>
        <w:t>、事业收入：指事业单位开展专业业务活动及辅助活动所取得的收入。</w:t>
      </w:r>
    </w:p>
    <w:p>
      <w:pPr>
        <w:pStyle w:val="8"/>
        <w:rPr>
          <w:rFonts w:ascii="仿宋_GB2312" w:eastAsia="仿宋_GB2312" w:cs="FZFangSong-Z02"/>
          <w:sz w:val="32"/>
          <w:szCs w:val="32"/>
        </w:rPr>
      </w:pPr>
      <w:r>
        <w:rPr>
          <w:rFonts w:hint="eastAsia" w:ascii="仿宋_GB2312" w:eastAsia="仿宋_GB2312"/>
          <w:b/>
          <w:bCs/>
          <w:sz w:val="32"/>
          <w:szCs w:val="32"/>
        </w:rPr>
        <w:t xml:space="preserve">    3</w:t>
      </w:r>
      <w:r>
        <w:rPr>
          <w:rFonts w:hint="eastAsia" w:ascii="仿宋_GB2312" w:eastAsia="仿宋_GB2312" w:cs="FZFangSong-Z02"/>
          <w:sz w:val="32"/>
          <w:szCs w:val="32"/>
        </w:rPr>
        <w:t>、其他收入：指除上述</w:t>
      </w:r>
      <w:r>
        <w:rPr>
          <w:rFonts w:hint="eastAsia" w:ascii="仿宋_GB2312" w:eastAsia="仿宋_GB2312"/>
          <w:sz w:val="32"/>
          <w:szCs w:val="32"/>
        </w:rPr>
        <w:t>“</w:t>
      </w:r>
      <w:r>
        <w:rPr>
          <w:rFonts w:hint="eastAsia" w:ascii="仿宋_GB2312" w:eastAsia="仿宋_GB2312" w:cs="FZFangSong-Z02"/>
          <w:sz w:val="32"/>
          <w:szCs w:val="32"/>
        </w:rPr>
        <w:t>财政拨款收入</w:t>
      </w:r>
      <w:r>
        <w:rPr>
          <w:rFonts w:hint="eastAsia" w:ascii="仿宋_GB2312" w:eastAsia="仿宋_GB2312"/>
          <w:sz w:val="32"/>
          <w:szCs w:val="32"/>
        </w:rPr>
        <w:t>”</w:t>
      </w:r>
      <w:r>
        <w:rPr>
          <w:rFonts w:hint="eastAsia" w:ascii="仿宋_GB2312" w:eastAsia="仿宋_GB2312" w:cs="FZFangSong-Z02"/>
          <w:sz w:val="32"/>
          <w:szCs w:val="32"/>
        </w:rPr>
        <w:t>、</w:t>
      </w:r>
      <w:r>
        <w:rPr>
          <w:rFonts w:hint="eastAsia" w:ascii="仿宋_GB2312" w:eastAsia="仿宋_GB2312"/>
          <w:sz w:val="32"/>
          <w:szCs w:val="32"/>
        </w:rPr>
        <w:t>“</w:t>
      </w:r>
      <w:r>
        <w:rPr>
          <w:rFonts w:hint="eastAsia" w:ascii="仿宋_GB2312" w:eastAsia="仿宋_GB2312" w:cs="FZFangSong-Z02"/>
          <w:sz w:val="32"/>
          <w:szCs w:val="32"/>
        </w:rPr>
        <w:t>事业收入</w:t>
      </w:r>
      <w:r>
        <w:rPr>
          <w:rFonts w:hint="eastAsia" w:ascii="仿宋_GB2312" w:eastAsia="仿宋_GB2312"/>
          <w:sz w:val="32"/>
          <w:szCs w:val="32"/>
        </w:rPr>
        <w:t>”</w:t>
      </w:r>
      <w:r>
        <w:rPr>
          <w:rFonts w:hint="eastAsia" w:ascii="仿宋_GB2312" w:eastAsia="仿宋_GB2312" w:cs="FZFangSong-Z02"/>
          <w:sz w:val="32"/>
          <w:szCs w:val="32"/>
        </w:rPr>
        <w:t>等以外的收入。主要是按规定动用的租房收入、存款利息收入等。</w:t>
      </w:r>
    </w:p>
    <w:p>
      <w:pPr>
        <w:pStyle w:val="8"/>
        <w:rPr>
          <w:rFonts w:ascii="仿宋_GB2312" w:eastAsia="仿宋_GB2312" w:cs="FZFangSong-Z02"/>
          <w:sz w:val="32"/>
          <w:szCs w:val="32"/>
        </w:rPr>
      </w:pPr>
      <w:r>
        <w:rPr>
          <w:rFonts w:hint="eastAsia" w:ascii="仿宋_GB2312" w:eastAsia="仿宋_GB2312"/>
          <w:b/>
          <w:bCs/>
          <w:sz w:val="32"/>
          <w:szCs w:val="32"/>
        </w:rPr>
        <w:t xml:space="preserve">    4</w:t>
      </w:r>
      <w:r>
        <w:rPr>
          <w:rFonts w:hint="eastAsia" w:ascii="仿宋_GB2312" w:eastAsia="仿宋_GB2312" w:cs="FZFangSong-Z02"/>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
          <w:bCs/>
          <w:sz w:val="32"/>
          <w:szCs w:val="32"/>
        </w:rPr>
        <w:t xml:space="preserve">    5</w:t>
      </w:r>
      <w:r>
        <w:rPr>
          <w:rFonts w:hint="eastAsia" w:ascii="仿宋_GB2312" w:eastAsia="仿宋_GB2312" w:cs="FZFangSong-Z02"/>
          <w:sz w:val="32"/>
          <w:szCs w:val="32"/>
        </w:rPr>
        <w:t>、项目支出：</w:t>
      </w:r>
      <w:r>
        <w:rPr>
          <w:rFonts w:hint="eastAsia" w:ascii="仿宋_GB2312" w:eastAsia="仿宋_GB2312"/>
          <w:sz w:val="32"/>
          <w:szCs w:val="32"/>
        </w:rPr>
        <w:t>指在基本支出之外为完成特定行政任务和事业发展目标所发生的支出。</w:t>
      </w:r>
    </w:p>
    <w:p>
      <w:pPr>
        <w:pStyle w:val="8"/>
        <w:rPr>
          <w:rFonts w:ascii="仿宋_GB2312" w:eastAsia="仿宋_GB2312"/>
          <w:sz w:val="32"/>
          <w:szCs w:val="32"/>
        </w:rPr>
      </w:pPr>
      <w:r>
        <w:rPr>
          <w:rFonts w:hint="eastAsia" w:ascii="仿宋_GB2312" w:eastAsia="仿宋_GB2312"/>
          <w:b/>
          <w:bCs/>
          <w:sz w:val="32"/>
          <w:szCs w:val="32"/>
        </w:rPr>
        <w:t xml:space="preserve">    6</w:t>
      </w:r>
      <w:r>
        <w:rPr>
          <w:rFonts w:hint="eastAsia" w:ascii="仿宋_GB2312" w:eastAsia="仿宋_GB2312" w:cs="FZFangSong-Z02"/>
          <w:sz w:val="32"/>
          <w:szCs w:val="32"/>
        </w:rPr>
        <w:t>、上缴上级支出：</w:t>
      </w:r>
      <w:r>
        <w:rPr>
          <w:rFonts w:hint="eastAsia" w:ascii="仿宋_GB2312" w:eastAsia="仿宋_GB2312"/>
          <w:sz w:val="32"/>
          <w:szCs w:val="32"/>
        </w:rPr>
        <w:t>指下级单位上缴上级的支出。</w:t>
      </w:r>
    </w:p>
    <w:p>
      <w:pPr>
        <w:pStyle w:val="8"/>
        <w:rPr>
          <w:rFonts w:ascii="仿宋_GB2312" w:eastAsia="仿宋_GB2312" w:cs="FZFangSong-Z02"/>
          <w:sz w:val="32"/>
          <w:szCs w:val="32"/>
        </w:rPr>
      </w:pPr>
      <w:r>
        <w:rPr>
          <w:rFonts w:hint="eastAsia" w:ascii="仿宋_GB2312" w:eastAsia="仿宋_GB2312"/>
          <w:b/>
          <w:bCs/>
          <w:sz w:val="32"/>
          <w:szCs w:val="32"/>
        </w:rPr>
        <w:t xml:space="preserve">    7</w:t>
      </w:r>
      <w:r>
        <w:rPr>
          <w:rFonts w:hint="eastAsia" w:ascii="仿宋_GB2312" w:eastAsia="仿宋_GB2312" w:cs="FZFangSong-Z02"/>
          <w:sz w:val="32"/>
          <w:szCs w:val="32"/>
        </w:rPr>
        <w:t>、</w:t>
      </w:r>
      <w:r>
        <w:rPr>
          <w:rFonts w:hint="eastAsia" w:ascii="仿宋_GB2312" w:eastAsia="仿宋_GB2312"/>
          <w:b/>
          <w:bCs/>
          <w:sz w:val="32"/>
          <w:szCs w:val="32"/>
        </w:rPr>
        <w:t>“</w:t>
      </w:r>
      <w:r>
        <w:rPr>
          <w:rFonts w:hint="eastAsia" w:ascii="仿宋_GB2312" w:eastAsia="仿宋_GB2312" w:cs="FZFangSong-Z02"/>
          <w:sz w:val="32"/>
          <w:szCs w:val="32"/>
        </w:rPr>
        <w:t>三公</w:t>
      </w:r>
      <w:r>
        <w:rPr>
          <w:rFonts w:hint="eastAsia" w:ascii="仿宋_GB2312" w:eastAsia="仿宋_GB2312"/>
          <w:b/>
          <w:bCs/>
          <w:sz w:val="32"/>
          <w:szCs w:val="32"/>
        </w:rPr>
        <w:t>”</w:t>
      </w:r>
      <w:r>
        <w:rPr>
          <w:rFonts w:hint="eastAsia" w:ascii="仿宋_GB2312" w:eastAsia="仿宋_GB2312" w:cs="FZFangSong-Z02"/>
          <w:sz w:val="32"/>
          <w:szCs w:val="32"/>
        </w:rPr>
        <w:t>经费：纳入市级财政预算管理的</w:t>
      </w:r>
      <w:r>
        <w:rPr>
          <w:rFonts w:hint="eastAsia" w:ascii="仿宋_GB2312" w:eastAsia="仿宋_GB2312"/>
          <w:sz w:val="32"/>
          <w:szCs w:val="32"/>
        </w:rPr>
        <w:t>“</w:t>
      </w:r>
      <w:r>
        <w:rPr>
          <w:rFonts w:hint="eastAsia" w:ascii="仿宋_GB2312" w:eastAsia="仿宋_GB2312" w:cs="FZFangSong-Z02"/>
          <w:sz w:val="32"/>
          <w:szCs w:val="32"/>
        </w:rPr>
        <w:t>三公</w:t>
      </w:r>
      <w:r>
        <w:rPr>
          <w:rFonts w:hint="eastAsia" w:ascii="仿宋_GB2312" w:eastAsia="仿宋_GB2312"/>
          <w:sz w:val="32"/>
          <w:szCs w:val="32"/>
        </w:rPr>
        <w:t>”</w:t>
      </w:r>
      <w:r>
        <w:rPr>
          <w:rFonts w:hint="eastAsia" w:ascii="仿宋_GB2312" w:eastAsia="仿宋_GB2312" w:cs="FZFangSong-Z02"/>
          <w:sz w:val="32"/>
          <w:szCs w:val="32"/>
        </w:rPr>
        <w:t>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eastAsia="仿宋_GB2312" w:cs="FZFangSong-Z02"/>
          <w:sz w:val="32"/>
          <w:szCs w:val="32"/>
        </w:rPr>
      </w:pPr>
      <w:r>
        <w:rPr>
          <w:rFonts w:hint="eastAsia" w:ascii="仿宋_GB2312" w:eastAsia="仿宋_GB2312"/>
          <w:b/>
          <w:bCs/>
          <w:sz w:val="32"/>
          <w:szCs w:val="32"/>
        </w:rPr>
        <w:t xml:space="preserve">    8</w:t>
      </w:r>
      <w:r>
        <w:rPr>
          <w:rFonts w:hint="eastAsia" w:ascii="仿宋_GB2312" w:eastAsia="仿宋_GB2312" w:cs="FZFangSong-Z02"/>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widowControl/>
        <w:spacing w:line="360" w:lineRule="atLeast"/>
        <w:jc w:val="left"/>
        <w:rPr>
          <w:rFonts w:ascii="仿宋_GB2312" w:eastAsia="仿宋_GB2312" w:cs="宋体"/>
          <w:color w:val="000000"/>
          <w:kern w:val="0"/>
          <w:sz w:val="32"/>
          <w:szCs w:val="32"/>
        </w:rPr>
      </w:pPr>
      <w:r>
        <w:rPr>
          <w:rFonts w:hint="eastAsia" w:ascii="黑体" w:eastAsia="黑体" w:cs="宋体"/>
          <w:b/>
          <w:bCs/>
          <w:color w:val="000000"/>
          <w:kern w:val="0"/>
          <w:sz w:val="32"/>
          <w:szCs w:val="32"/>
        </w:rPr>
        <w:t>九、其</w:t>
      </w:r>
      <w:r>
        <w:rPr>
          <w:rFonts w:hint="eastAsia" w:ascii="黑体" w:eastAsia="黑体" w:cs="宋体"/>
          <w:b/>
          <w:bCs/>
          <w:color w:val="000000"/>
          <w:kern w:val="0"/>
          <w:sz w:val="32"/>
          <w:szCs w:val="32"/>
          <w:lang w:eastAsia="zh-CN"/>
        </w:rPr>
        <w:t>他</w:t>
      </w:r>
      <w:r>
        <w:rPr>
          <w:rFonts w:hint="eastAsia" w:ascii="黑体" w:eastAsia="黑体" w:cs="宋体"/>
          <w:b/>
          <w:bCs/>
          <w:color w:val="000000"/>
          <w:kern w:val="0"/>
          <w:sz w:val="32"/>
          <w:szCs w:val="32"/>
        </w:rPr>
        <w:t>需要说明的事项</w:t>
      </w:r>
      <w:r>
        <w:rPr>
          <w:rFonts w:hint="eastAsia" w:ascii="黑体" w:eastAsia="黑体" w:cs="宋体"/>
          <w:color w:val="000000"/>
          <w:kern w:val="0"/>
          <w:sz w:val="32"/>
          <w:szCs w:val="32"/>
        </w:rPr>
        <w:br w:type="textWrapping"/>
      </w:r>
      <w:r>
        <w:rPr>
          <w:rFonts w:hint="eastAsia" w:ascii="宋体" w:hAnsi="宋体" w:eastAsia="仿宋_GB2312" w:cs="宋体"/>
          <w:color w:val="000000"/>
          <w:kern w:val="0"/>
          <w:sz w:val="32"/>
          <w:szCs w:val="32"/>
        </w:rPr>
        <w:t xml:space="preserve">    </w:t>
      </w:r>
      <w:r>
        <w:rPr>
          <w:rFonts w:hint="eastAsia" w:ascii="仿宋_GB2312" w:eastAsia="仿宋_GB2312" w:cs="宋体"/>
          <w:color w:val="000000"/>
          <w:kern w:val="0"/>
          <w:sz w:val="32"/>
          <w:szCs w:val="32"/>
        </w:rPr>
        <w:t>无其</w:t>
      </w:r>
      <w:r>
        <w:rPr>
          <w:rFonts w:hint="eastAsia" w:ascii="仿宋_GB2312" w:eastAsia="仿宋_GB2312" w:cs="宋体"/>
          <w:color w:val="000000"/>
          <w:kern w:val="0"/>
          <w:sz w:val="32"/>
          <w:szCs w:val="32"/>
          <w:lang w:eastAsia="zh-CN"/>
        </w:rPr>
        <w:t>他</w:t>
      </w:r>
      <w:r>
        <w:rPr>
          <w:rFonts w:hint="eastAsia" w:ascii="仿宋_GB2312" w:eastAsia="仿宋_GB2312" w:cs="宋体"/>
          <w:color w:val="000000"/>
          <w:kern w:val="0"/>
          <w:sz w:val="32"/>
          <w:szCs w:val="32"/>
        </w:rPr>
        <w:t>需要说明的事项。</w:t>
      </w:r>
    </w:p>
    <w:p>
      <w:pPr>
        <w:rPr>
          <w:rFonts w:ascii="仿宋_GB2312" w:eastAsia="仿宋_GB2312"/>
          <w:sz w:val="32"/>
          <w:szCs w:val="32"/>
        </w:rPr>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FZFangSong-Z02">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2"/>
  </w:compat>
  <w:rsids>
    <w:rsidRoot w:val="002F336C"/>
    <w:rsid w:val="001D7C73"/>
    <w:rsid w:val="00241B35"/>
    <w:rsid w:val="002F336C"/>
    <w:rsid w:val="003A653C"/>
    <w:rsid w:val="00467544"/>
    <w:rsid w:val="004B6A9A"/>
    <w:rsid w:val="004D2499"/>
    <w:rsid w:val="00521A33"/>
    <w:rsid w:val="00650583"/>
    <w:rsid w:val="00656586"/>
    <w:rsid w:val="00920776"/>
    <w:rsid w:val="00CF6A79"/>
    <w:rsid w:val="00D0703B"/>
    <w:rsid w:val="00D3767C"/>
    <w:rsid w:val="00FA6F2F"/>
    <w:rsid w:val="4A5659F4"/>
    <w:rsid w:val="57627CC5"/>
    <w:rsid w:val="5D52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character" w:customStyle="1" w:styleId="7">
    <w:name w:val="apple-converted-space"/>
    <w:basedOn w:val="4"/>
    <w:qFormat/>
    <w:uiPriority w:val="0"/>
  </w:style>
  <w:style w:type="paragraph" w:customStyle="1" w:styleId="8">
    <w:name w:val="Default"/>
    <w:next w:val="3"/>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1009</Words>
  <Characters>5753</Characters>
  <Lines>47</Lines>
  <Paragraphs>13</Paragraphs>
  <TotalTime>5</TotalTime>
  <ScaleCrop>false</ScaleCrop>
  <LinksUpToDate>false</LinksUpToDate>
  <CharactersWithSpaces>6749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2017-10-27T09:49:00Z</dcterms:created>
  <dc:creator>lenovo</dc:creator>
  <cp:lastModifiedBy>lenovo</cp:lastModifiedBy>
  <dcterms:modified xsi:type="dcterms:W3CDTF">2018-02-15T09:19:38Z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