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4" w:name="_GoBack"/>
      <w:bookmarkEnd w:id="4"/>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廊坊市广阳区物价监督检查所2019年部门预算信息公开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w:t>
      </w:r>
      <w:r>
        <w:rPr>
          <w:rFonts w:hint="eastAsia" w:ascii="仿宋_GB2312" w:hAnsi="Times New Roman" w:eastAsia="仿宋_GB2312" w:cs="Times New Roman"/>
          <w:sz w:val="32"/>
          <w:szCs w:val="32"/>
        </w:rPr>
        <w:t>预算法》、《地方预决算公开操作规程》和《河北省省级预算公开办法》规定，现将廊坊市广阳区物价监督检查所2019年部门预算公开如下：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widowControl/>
        <w:ind w:firstLine="630" w:firstLineChars="196"/>
        <w:rPr>
          <w:rFonts w:ascii="楷体_GB2312" w:hAnsi="仿宋_GB2312" w:eastAsia="楷体_GB2312"/>
          <w:b/>
          <w:sz w:val="32"/>
          <w:szCs w:val="32"/>
        </w:rPr>
      </w:pPr>
      <w:r>
        <w:rPr>
          <w:rFonts w:hint="eastAsia" w:ascii="楷体_GB2312" w:hAnsi="仿宋_GB2312" w:eastAsia="楷体_GB2312"/>
          <w:b/>
          <w:sz w:val="32"/>
          <w:szCs w:val="32"/>
        </w:rPr>
        <w:t>部门职责:</w:t>
      </w:r>
    </w:p>
    <w:p>
      <w:pPr>
        <w:widowControl/>
        <w:ind w:firstLine="643" w:firstLineChars="200"/>
        <w:rPr>
          <w:rFonts w:ascii="仿宋_GB2312" w:hAnsi="仿宋_GB2312" w:eastAsia="仿宋_GB2312" w:cs="宋体"/>
          <w:kern w:val="0"/>
          <w:sz w:val="32"/>
          <w:szCs w:val="32"/>
        </w:rPr>
      </w:pPr>
      <w:r>
        <w:rPr>
          <w:rFonts w:hint="eastAsia" w:ascii="仿宋_GB2312" w:hAnsi="仿宋_GB2312" w:eastAsia="仿宋_GB2312"/>
          <w:b/>
          <w:sz w:val="32"/>
          <w:szCs w:val="32"/>
        </w:rPr>
        <w:t>1：</w:t>
      </w:r>
      <w:r>
        <w:rPr>
          <w:rFonts w:hint="eastAsia" w:ascii="仿宋_GB2312" w:hAnsi="仿宋_GB2312" w:eastAsia="仿宋_GB2312"/>
          <w:sz w:val="32"/>
          <w:szCs w:val="32"/>
        </w:rPr>
        <w:t>价格总水平调控和价格管理，绩效目标</w:t>
      </w:r>
      <w:r>
        <w:rPr>
          <w:rFonts w:hint="eastAsia" w:ascii="仿宋_GB2312" w:hAnsi="仿宋_GB2312" w:eastAsia="仿宋_GB2312"/>
          <w:b/>
          <w:sz w:val="32"/>
          <w:szCs w:val="32"/>
        </w:rPr>
        <w:t>：</w:t>
      </w:r>
      <w:r>
        <w:rPr>
          <w:rFonts w:hint="eastAsia" w:ascii="仿宋_GB2312" w:hAnsi="仿宋_GB2312" w:eastAsia="仿宋_GB2312"/>
          <w:kern w:val="0"/>
          <w:sz w:val="32"/>
        </w:rPr>
        <w:t>拟订全区价格总水平年度调控计划，开展日常、突发事件、重要节假日等价格巡查监测，提出调控建议；落实全区天然气、电力价格改革，完善供热价格管理；</w:t>
      </w:r>
      <w:r>
        <w:rPr>
          <w:rFonts w:hint="eastAsia" w:ascii="仿宋_GB2312" w:hAnsi="仿宋_GB2312" w:eastAsia="仿宋_GB2312" w:cs="宋体"/>
          <w:color w:val="000000"/>
          <w:kern w:val="0"/>
          <w:sz w:val="32"/>
          <w:szCs w:val="32"/>
        </w:rPr>
        <w:t>加强全区行政事业性收费管理；政府价格决策科学和透明;</w:t>
      </w:r>
      <w:r>
        <w:rPr>
          <w:rFonts w:hint="eastAsia" w:ascii="仿宋_GB2312" w:hAnsi="仿宋_GB2312" w:eastAsia="仿宋_GB2312" w:cs="宋体"/>
          <w:kern w:val="0"/>
          <w:sz w:val="32"/>
          <w:szCs w:val="32"/>
        </w:rPr>
        <w:t>客观、公正、合理出具价格鉴证结论，维护司法机关公平公正和当事人胡合法权益；为</w:t>
      </w:r>
      <w:r>
        <w:rPr>
          <w:rFonts w:hint="eastAsia" w:ascii="仿宋_GB2312" w:hAnsi="仿宋_GB2312" w:eastAsia="仿宋_GB2312" w:cs="宋体"/>
          <w:kern w:val="0"/>
          <w:sz w:val="32"/>
          <w:szCs w:val="32"/>
          <w:lang w:eastAsia="zh-CN"/>
        </w:rPr>
        <w:t>纪检监察机关</w:t>
      </w:r>
      <w:r>
        <w:rPr>
          <w:rFonts w:hint="eastAsia" w:ascii="仿宋_GB2312" w:hAnsi="仿宋_GB2312" w:eastAsia="仿宋_GB2312" w:cs="宋体"/>
          <w:kern w:val="0"/>
          <w:sz w:val="32"/>
          <w:szCs w:val="32"/>
        </w:rPr>
        <w:t>、税务机关、民政部门等办理案件提供依据，维护公平公正。保护国家、公民、法人和其他组织的合法权益；确定价格监测数据的真实性、准确性和及时性；客观、及时反映市场价格变动情况；科学引导商品生产、流通与消费.</w:t>
      </w:r>
    </w:p>
    <w:p>
      <w:pPr>
        <w:widowControl/>
        <w:ind w:firstLine="643" w:firstLineChars="200"/>
        <w:rPr>
          <w:rFonts w:ascii="仿宋_GB2312" w:hAnsi="仿宋_GB2312" w:eastAsia="仿宋_GB2312" w:cs="宋体"/>
          <w:kern w:val="0"/>
          <w:sz w:val="32"/>
          <w:szCs w:val="32"/>
        </w:rPr>
      </w:pPr>
      <w:r>
        <w:rPr>
          <w:rFonts w:hint="eastAsia" w:ascii="仿宋_GB2312" w:hAnsi="仿宋_GB2312" w:eastAsia="仿宋_GB2312"/>
          <w:b/>
          <w:sz w:val="32"/>
          <w:szCs w:val="32"/>
        </w:rPr>
        <w:t>2:</w:t>
      </w:r>
      <w:r>
        <w:rPr>
          <w:rFonts w:hint="eastAsia" w:ascii="仿宋_GB2312" w:hAnsi="仿宋_GB2312" w:eastAsia="仿宋_GB2312"/>
          <w:sz w:val="32"/>
          <w:szCs w:val="32"/>
        </w:rPr>
        <w:t>价格监督检查，绩效目标</w:t>
      </w:r>
      <w:r>
        <w:rPr>
          <w:rFonts w:hint="eastAsia" w:ascii="仿宋_GB2312" w:hAnsi="仿宋_GB2312" w:eastAsia="仿宋_GB2312"/>
          <w:b/>
          <w:sz w:val="32"/>
          <w:szCs w:val="32"/>
        </w:rPr>
        <w:t>：</w:t>
      </w:r>
      <w:r>
        <w:rPr>
          <w:rFonts w:hint="eastAsia" w:ascii="仿宋_GB2312" w:hAnsi="仿宋_GB2312" w:eastAsia="仿宋_GB2312" w:cs="宋体"/>
          <w:kern w:val="0"/>
          <w:sz w:val="32"/>
          <w:szCs w:val="32"/>
        </w:rPr>
        <w:t>确保依法办案，确保价格行政执法、处罚、审理程序合法。治理价格违法行为，规范收费环境和价格秩序；确保价格行政执法、处罚、审理程序合法；推行明码标价，促进明码实价；促进经营者价格自律，推进价格信用制度建设。</w:t>
      </w:r>
    </w:p>
    <w:p>
      <w:pPr>
        <w:widowControl/>
        <w:ind w:firstLine="643" w:firstLineChars="200"/>
        <w:rPr>
          <w:rFonts w:ascii="仿宋_GB2312" w:hAnsi="仿宋_GB2312" w:eastAsia="仿宋_GB2312" w:cs="宋体"/>
          <w:kern w:val="0"/>
          <w:sz w:val="32"/>
          <w:szCs w:val="32"/>
        </w:rPr>
      </w:pPr>
      <w:r>
        <w:rPr>
          <w:rFonts w:hint="eastAsia" w:ascii="仿宋_GB2312" w:hAnsi="仿宋_GB2312" w:eastAsia="仿宋_GB2312"/>
          <w:b/>
          <w:sz w:val="32"/>
          <w:szCs w:val="32"/>
        </w:rPr>
        <w:t>3:</w:t>
      </w:r>
      <w:r>
        <w:rPr>
          <w:rFonts w:hint="eastAsia" w:ascii="仿宋_GB2312" w:hAnsi="仿宋_GB2312" w:eastAsia="仿宋_GB2312"/>
          <w:sz w:val="32"/>
          <w:szCs w:val="32"/>
        </w:rPr>
        <w:t>物价事务管理，绩效目标：</w:t>
      </w:r>
      <w:r>
        <w:rPr>
          <w:rFonts w:hint="eastAsia" w:ascii="仿宋_GB2312" w:hAnsi="仿宋_GB2312" w:eastAsia="仿宋_GB2312" w:cs="宋体"/>
          <w:kern w:val="0"/>
          <w:sz w:val="32"/>
          <w:szCs w:val="32"/>
        </w:rPr>
        <w:t>提高行政效率和服务质量,进一步健全经营者价格诚信档案。</w:t>
      </w:r>
    </w:p>
    <w:p>
      <w:pPr>
        <w:widowControl/>
        <w:ind w:firstLine="643" w:firstLineChars="200"/>
        <w:rPr>
          <w:rFonts w:ascii="仿宋_GB2312" w:hAnsi="仿宋_GB2312" w:eastAsia="仿宋_GB2312" w:cs="宋体"/>
          <w:kern w:val="0"/>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廊坊市广阳区物价监督检查所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广阳区物价监督检查所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反映本部门当年全部收入。2019年预算收入408.44万元，其中：一般公共预算收入408.44万元，基金预算收入0万元，财政专户核拨收入0万元，其他来源收入0万元。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廊坊市广阳区物价监督检查所2019年度部门预算中支出预算的总体情况。2019年支出预算408.44万元，其中基本支出408.44万元，包括人员经费377.49万元和日常公用经费30.95万元；项目支出0万元，包括本级支出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2019年预算收支安排408.44万元，较2018年预算增加24.97万元，其中：基本支出增加24.97万元，主要为人员经费和日常公用经费支出；项目支出为0万元，2018年无项目支出。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w:t>
      </w:r>
      <w:r>
        <w:rPr>
          <w:rFonts w:hint="eastAsia" w:ascii="仿宋_GB2312" w:eastAsia="仿宋_GB2312" w:cs="宋体"/>
          <w:color w:val="000000"/>
          <w:kern w:val="0"/>
          <w:sz w:val="32"/>
          <w:szCs w:val="32"/>
        </w:rPr>
        <w:t>0.97万元，主要用于</w:t>
      </w:r>
      <w:r>
        <w:rPr>
          <w:rFonts w:hint="eastAsia" w:ascii="仿宋_GB2312" w:hAnsi="仿宋_GB2312" w:eastAsia="仿宋_GB2312" w:cs="仿宋_GB2312"/>
          <w:color w:val="000000"/>
          <w:kern w:val="0"/>
          <w:sz w:val="32"/>
          <w:szCs w:val="32"/>
        </w:rPr>
        <w:t>办公设备日常维修、购买办公用品</w:t>
      </w:r>
      <w:r>
        <w:rPr>
          <w:rFonts w:hint="eastAsia" w:ascii="仿宋" w:hAnsi="仿宋" w:eastAsia="仿宋" w:cs="仿宋"/>
          <w:color w:val="000000"/>
          <w:kern w:val="0"/>
          <w:sz w:val="32"/>
          <w:szCs w:val="32"/>
        </w:rPr>
        <w:t>、</w:t>
      </w:r>
      <w:r>
        <w:rPr>
          <w:rFonts w:hint="eastAsia" w:ascii="仿宋_GB2312" w:eastAsia="仿宋_GB2312" w:cs="宋体"/>
          <w:kern w:val="0"/>
          <w:sz w:val="32"/>
          <w:szCs w:val="32"/>
          <w:lang w:val="zh-CN"/>
        </w:rPr>
        <w:t>公务用车运行维护费以及其他业务费用</w:t>
      </w:r>
      <w:r>
        <w:rPr>
          <w:rFonts w:hint="eastAsia" w:ascii="仿宋_GB2312" w:eastAsia="仿宋_GB2312" w:cs="宋体"/>
          <w:kern w:val="0"/>
          <w:sz w:val="32"/>
          <w:szCs w:val="32"/>
        </w:rPr>
        <w:t>等</w:t>
      </w:r>
      <w:r>
        <w:rPr>
          <w:rFonts w:hint="eastAsia" w:ascii="仿宋_GB2312" w:eastAsia="仿宋_GB2312" w:cs="宋体"/>
          <w:color w:val="000000"/>
          <w:kern w:val="0"/>
          <w:sz w:val="32"/>
          <w:szCs w:val="32"/>
        </w:rPr>
        <w:t>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仿宋_GB2312" w:hAnsi="Times New Roman" w:eastAsia="仿宋_GB2312" w:cs="Times New Roman"/>
          <w:color w:val="FF0000"/>
          <w:sz w:val="32"/>
          <w:szCs w:val="32"/>
        </w:rPr>
      </w:pPr>
      <w:r>
        <w:rPr>
          <w:rFonts w:hint="eastAsia" w:ascii="仿宋_GB2312" w:hAnsi="仿宋_GB2312" w:eastAsia="仿宋_GB2312" w:cs="仿宋_GB2312"/>
          <w:sz w:val="32"/>
          <w:szCs w:val="32"/>
        </w:rPr>
        <w:t>2019年，我部门财政拨款“三</w:t>
      </w:r>
      <w:r>
        <w:rPr>
          <w:rFonts w:hint="eastAsia" w:ascii="仿宋_GB2312" w:hAnsi="Times New Roman" w:eastAsia="仿宋_GB2312" w:cs="Times New Roman"/>
          <w:sz w:val="32"/>
          <w:szCs w:val="32"/>
        </w:rPr>
        <w:t>公”经费预算安排2.19万元。其中，因公出国（境）费0万元；公务用车购置及运维费2.19万元（其中：公务用车购置费为0万元，公务用车运维费2.19万元)；公务接待费0万元。与2018年相比减少0.11万元，其中，公务用车购置及运维费减少0.11万元（其中：公务用车购置费增减为0万元，公务用车运维费减少0.11万元)，主要原因是我单位切实落实勤俭节约各项规定，压减公车运行经费支出；公务接待费增减0万元，与2018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00" w:lineRule="exact"/>
        <w:ind w:left="556" w:leftChars="265"/>
        <w:rPr>
          <w:rFonts w:ascii="仿宋_GB2312" w:eastAsia="仿宋_GB2312"/>
          <w:sz w:val="32"/>
          <w:szCs w:val="32"/>
        </w:rPr>
      </w:pPr>
      <w:bookmarkStart w:id="0" w:name="_Toc471398463"/>
      <w:r>
        <w:rPr>
          <w:rFonts w:ascii="Times New Roman" w:hAnsi="Times New Roman" w:eastAsia="楷体_GB2312" w:cs="Times New Roman"/>
          <w:b/>
          <w:sz w:val="32"/>
          <w:szCs w:val="32"/>
        </w:rPr>
        <w:t>总体绩效目标：</w:t>
      </w:r>
      <w:r>
        <w:rPr>
          <w:rFonts w:hint="eastAsia" w:ascii="仿宋_GB2312" w:hAnsi="仿宋_GB2312" w:eastAsia="仿宋_GB2312" w:cs="仿宋_GB2312"/>
          <w:color w:val="000000"/>
          <w:kern w:val="0"/>
          <w:sz w:val="32"/>
          <w:szCs w:val="32"/>
        </w:rPr>
        <w:br w:type="textWrapping"/>
      </w:r>
      <w:r>
        <w:rPr>
          <w:rFonts w:hint="eastAsia" w:ascii="仿宋_GB2312" w:eastAsia="仿宋_GB2312"/>
          <w:sz w:val="32"/>
          <w:szCs w:val="32"/>
        </w:rPr>
        <w:t>一、负责重要商品价格变动情况的监测，建立价格资料数据库，分析预测价格变动趋势，为政府</w:t>
      </w:r>
    </w:p>
    <w:p>
      <w:pPr>
        <w:spacing w:line="500" w:lineRule="exact"/>
        <w:rPr>
          <w:rFonts w:ascii="仿宋_GB2312" w:eastAsia="仿宋_GB2312"/>
          <w:sz w:val="32"/>
          <w:szCs w:val="32"/>
        </w:rPr>
      </w:pPr>
      <w:r>
        <w:rPr>
          <w:rFonts w:hint="eastAsia" w:ascii="仿宋_GB2312" w:eastAsia="仿宋_GB2312"/>
          <w:sz w:val="32"/>
          <w:szCs w:val="32"/>
        </w:rPr>
        <w:t>制定经济政策和全区产业结构调整提供可靠依据。</w:t>
      </w:r>
    </w:p>
    <w:p>
      <w:pPr>
        <w:spacing w:line="500" w:lineRule="exact"/>
        <w:ind w:firstLine="560"/>
        <w:rPr>
          <w:rFonts w:ascii="仿宋_GB2312" w:eastAsia="仿宋_GB2312"/>
          <w:sz w:val="32"/>
          <w:szCs w:val="32"/>
        </w:rPr>
      </w:pPr>
      <w:r>
        <w:rPr>
          <w:rFonts w:hint="eastAsia" w:ascii="仿宋_GB2312" w:eastAsia="仿宋_GB2312"/>
          <w:sz w:val="32"/>
          <w:szCs w:val="32"/>
        </w:rPr>
        <w:t>二、落实国家、省、市制定的收费政策、收费标准，对重要的公益性、强制性、垄断经营性收费项目和标准严格管理，签发和审验《收费许可证》；推行涉农收费公示制度，制止各种乱收费行为。</w:t>
      </w:r>
    </w:p>
    <w:p>
      <w:pPr>
        <w:spacing w:line="500" w:lineRule="exact"/>
        <w:ind w:firstLine="560"/>
        <w:rPr>
          <w:rFonts w:ascii="仿宋_GB2312" w:eastAsia="仿宋_GB2312"/>
          <w:sz w:val="32"/>
          <w:szCs w:val="32"/>
        </w:rPr>
      </w:pPr>
      <w:r>
        <w:rPr>
          <w:rFonts w:hint="eastAsia" w:ascii="仿宋_GB2312" w:eastAsia="仿宋_GB2312"/>
          <w:sz w:val="32"/>
          <w:szCs w:val="32"/>
        </w:rPr>
        <w:t>三、负责全区价格认证工作，为公、检、法、司办理案件和金融信贷、保险理赔、商业往来及社会各界提供价格鉴证和评估服务。</w:t>
      </w:r>
    </w:p>
    <w:p>
      <w:pPr>
        <w:spacing w:line="500" w:lineRule="exact"/>
        <w:ind w:firstLine="560"/>
        <w:rPr>
          <w:rFonts w:ascii="仿宋_GB2312" w:eastAsia="仿宋_GB2312"/>
          <w:sz w:val="32"/>
          <w:szCs w:val="32"/>
        </w:rPr>
      </w:pPr>
      <w:r>
        <w:rPr>
          <w:rFonts w:hint="eastAsia" w:ascii="仿宋_GB2312" w:eastAsia="仿宋_GB2312"/>
          <w:sz w:val="32"/>
          <w:szCs w:val="32"/>
        </w:rPr>
        <w:t>四、对同级人民政府业务主管部门、下级人民政府本行政区域内的企业、事业单位、私营企业和个体工商户的价格和收费检查工作，受理群众举报的价格和收费违法案件，依法处理价格和收费违法案件。</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价格总水平调控和价格管理：通过做好价格信息监测工作，完善价格监测预警体系的完善，形成跟踪、采集、分析、预测、公布的实时价格监测体系；积极推进各项价格改革，严格推行差别化价格政策，促进生态环境的改善；拟订全区价格总水平年度调控计划，编制中长期调控目标。开展日常、突发事件、重要节假日等价格巡查监测，密切跟踪国内外经济和价格运行，健全应对价格异常波动处理机制，及时启动应急预案，把价格总水平稳定在合理区间。拟定调整方案，完善价格形成机制；落实调整天燃气、电力、供热价格和相关收费价格并组织实施；提出区级调整方案和调控建议，适时调整区级医疗服务、药品等价格政策。加强全区行政事业性收费管理；政府价格决策科学和透明;加强与司法、公安等部门的工作联系，通过开展价格鉴证服务，支持司法审判和行政执法，维护法律尊严；拓展价格认证服务，维护生产经营者权益和市场经济秩序.巩固规范化认证中心建设成效，完善工作程序、制度和措施，提高价格服务水平。</w:t>
      </w:r>
    </w:p>
    <w:p>
      <w:pPr>
        <w:spacing w:line="500" w:lineRule="exact"/>
        <w:ind w:firstLine="560"/>
        <w:rPr>
          <w:rFonts w:ascii="仿宋_GB2312" w:eastAsia="仿宋_GB2312"/>
          <w:sz w:val="32"/>
          <w:szCs w:val="32"/>
        </w:rPr>
      </w:pPr>
      <w:r>
        <w:rPr>
          <w:rFonts w:hint="eastAsia" w:ascii="仿宋_GB2312" w:eastAsia="仿宋_GB2312"/>
          <w:sz w:val="32"/>
          <w:szCs w:val="32"/>
        </w:rPr>
        <w:t>二、价格监督检查：认真落实价格惠民政策，印制《廊坊市价格惠民政策手册》，实行动态管理，巩固和扩大价格惠民政策的成果；深入开展市场价格巡查及依法开展专项检查工作，通过市场价格监管体系建设，提高明码标价的普及率和规范化率。按照国家和省局工作部署，依法开展中介服务收费、涉企收费、涉农收费和教育、医疗收费专项检查，切实维护群众价格权益；完善价格举报平台建设，动态掌握群众关心的热点、难点及价格敏感问题，及时提出对策和建议，维护好消费者合法价格权益，建立价格举报应急响应机制，积极应对价格突发事件和需要及时查处价格举报，稳定市场价格，化解社会矛盾。</w:t>
      </w:r>
    </w:p>
    <w:p>
      <w:pPr>
        <w:spacing w:line="500" w:lineRule="exact"/>
        <w:ind w:firstLine="560"/>
        <w:rPr>
          <w:rFonts w:ascii="仿宋_GB2312" w:eastAsia="仿宋_GB2312"/>
          <w:sz w:val="32"/>
          <w:szCs w:val="32"/>
        </w:rPr>
      </w:pPr>
      <w:r>
        <w:rPr>
          <w:rFonts w:hint="eastAsia" w:ascii="仿宋_GB2312" w:eastAsia="仿宋_GB2312"/>
          <w:sz w:val="32"/>
          <w:szCs w:val="32"/>
        </w:rPr>
        <w:t>三、物价政务管理：加强行政许可后续监管，规范价格秩序。围绕提高行政效率和服务质量，强化管理措施，完善制度保障，打造廉洁高效的价格政务服务环境。建立并逐步完善经营者价格诚信档案；按照市场化的方向推进价格改革；建立舆情应急处置机制，健全价格舆情监测系统。拟订年度和中长期调控目标，提出调控建议。从办理时间、办理程序、按照法定和承诺时限完成价格诚信档案建立，提高行政效率和服务质量,进一步健全经营者价格诚信档案。</w:t>
      </w: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p>
      <w:pPr>
        <w:spacing w:line="300" w:lineRule="exact"/>
        <w:jc w:val="left"/>
        <w:outlineLvl w:val="0"/>
        <w:rPr>
          <w:rFonts w:ascii="仿宋_GB2312" w:eastAsia="仿宋_GB2312"/>
          <w:b/>
          <w:sz w:val="32"/>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223廊坊市广阳区物价监督检查所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一、价格总水平调控和价格管理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根据国民经济发展需要和社会承受能力，拟订全区价格总水平年度调控计划和中长期调控目标，监测预测全区价格总水平及其结构变动趋势，提出调控建议。管理全区与国民经济和人民生活关系重大、资源稀缺、自然垄断经营的商品价格，拟订作价原则、办法。</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保持市场价格总水平基本稳定,努力保障改善民生，促进经济持续健康发展和社会和谐稳定。</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1、拟订提出价格总水平年度调控目标和建议</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区价格总水平年度调控计划，编制中长期调控目标。开展日常、突发事件、重要节假日等价格巡查监测，密切跟踪国内外经济和价格运行，健全应对价格异常波动处理机制，及时启动应急预案，把价格总水平稳定在合理区间。拟定调整方案，完善价格形成机制；落实调整天燃气、电力、供热价格和相关收费价格并组织实施；提出区级调整方案和调控建议，适时调整区级医疗服务、药品等价格政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拟订全区价格总水平年度调控计划，开展日常、突发事件、重要节假日等价格巡查监测，提出调控建议；落实全区天然气、电力价格改革，完善供热价格管理</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天然气、电力价格改革政策落实完成率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居民消费价格涨幅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预期目标以内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等于预期目标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超过预期目标但未出现恶心通货膨胀</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出现通货膨胀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协助市局核定市城区供热价格调研完成率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2、调整收费标准；组织价格听证会</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根据国家政策和事业发展需要，调整公用事业、中介服务和重要经营收费的标准并监督执行。在制定政府指导价、政府定价过程中，协助市局组织召开听证会、论证会，完成相关调研工作，征求经营者、消费者和有关方面的意见，对制定价格的必要性、可行性进行论证。</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加强全区行政事业性收费管理；政府价格决策科学和透明</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主要行政事业性收费、经营收费标准执行完成率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听证会有效性完成情况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听证会成功召开</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听证会比较成功</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听证会基本成功召开</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听证会不成功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召开听证会工作完成率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按规定时限全部完成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按规定时限大部分完成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按规定时限基本完成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按规定时限未完成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3、涉案资产价格鉴定、认证</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办理刑事案件涉案资产价格鉴定；办理民事、经济、仲裁案件涉案资产价格鉴定；对市场主体价格行为的合法性、价格水平的合理性公正性认证；</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客观、公正、合理出具价格鉴证结论，维护司法机关公平公正和当事人胡合法权益；为</w:t>
            </w:r>
            <w:r>
              <w:rPr>
                <w:rFonts w:hint="eastAsia" w:ascii="仿宋_GB2312" w:eastAsia="仿宋_GB2312"/>
                <w:szCs w:val="21"/>
                <w:lang w:eastAsia="zh-CN"/>
              </w:rPr>
              <w:t>纪检监察机关</w:t>
            </w:r>
            <w:r>
              <w:rPr>
                <w:rFonts w:hint="eastAsia" w:ascii="仿宋_GB2312" w:eastAsia="仿宋_GB2312"/>
                <w:szCs w:val="21"/>
              </w:rPr>
              <w:t>、税务机关、民政部门等办理案件提供依据，维护公平公正。保护国家、公民、法人和其他组织的合法权益；确定价格监测数据的真实性、准确性和及时性；客观、及时反映市场价格变动情况；科学引导商品生产、流通与消费</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监测数据采集数量、价格分析数量、信息发布量完成率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案件复核维持率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办案准确率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二、价格监督检查</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组织价格和收费监督检查；推进价格信用制度建设；依法办理价格举报案件；推行明码标价和价格、收费公示制度，对市场放开商品实施价格监管，加强反价格欺诈工作，配合市级部门进行反垄断工作。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1、法制与案件审理;商品价格监督检查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价格违法案件情况进行监督、检查，对价格违法案件的审理、提出处理意见；告知价格处罚的行政复议、行政诉讼、申诉等权利；培训全区价格检查干部相关法律法规知识。规范市场价格秩序，打击虚构原价、虚假打折等欺诈行为；防范价格异动；开展价格诚信建设，探索不同行业明码标价的规则方法，建立经营者价格信用信息数据库。</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依法办案，确保价格行政执法、处罚、审理程序合法。治理价格违法行为，规范收费环境和价格秩序；确保价格行政执法、处罚、审理程序合法；推行明码标价，促进明码实价；促进经营者价格自律，推进价格信用制度建设</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价格处罚的行政复议与诉讼完成率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价格违法案件处理完成率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案件办结率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三、物价政务管理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负责物价系统综合业务管理和机关综合事务管理。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建立舆情应急处置机制，健全价格舆情监测系统。加强行政许可后续监管，规范价格秩序。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围绕提高行政效率和服务质量，强化管理措施，完善制度保障，打造廉洁高效的价格政务服务环境。</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提高行政效率和服务质量,进一步健全经营者价格诚信档案。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价格诚信档案建立率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按照法定和承诺时限完成率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223廊坊市广阳区物价监督检查所</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p>
        </w:tc>
        <w:tc>
          <w:tcPr>
            <w:tcW w:w="1057" w:type="dxa"/>
            <w:shd w:val="clear" w:color="auto" w:fill="auto"/>
            <w:vAlign w:val="center"/>
          </w:tcPr>
          <w:p>
            <w:pPr>
              <w:spacing w:line="584" w:lineRule="exact"/>
              <w:jc w:val="right"/>
              <w:rPr>
                <w:rFonts w:ascii="Times New Roman" w:hAnsi="Times New Roman" w:eastAsia="仿宋_GB2312" w:cs="Times New Roman"/>
                <w:b/>
              </w:rPr>
            </w:pP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广阳区物价监督检查所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42.4</w:t>
      </w:r>
      <w:r>
        <w:rPr>
          <w:rFonts w:ascii="Times New Roman" w:hAnsi="Times New Roman" w:eastAsia="仿宋_GB2312" w:cs="Times New Roman"/>
          <w:sz w:val="32"/>
          <w:szCs w:val="32"/>
        </w:rPr>
        <w:t>万元，本年度我部门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223</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广阳区物价监督检查所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152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23.4</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259E"/>
    <w:rsid w:val="00075D5F"/>
    <w:rsid w:val="0008180F"/>
    <w:rsid w:val="00093DA3"/>
    <w:rsid w:val="000B529B"/>
    <w:rsid w:val="000C24E6"/>
    <w:rsid w:val="000C3A19"/>
    <w:rsid w:val="000E4305"/>
    <w:rsid w:val="000F0D09"/>
    <w:rsid w:val="00100B74"/>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E6F7A"/>
    <w:rsid w:val="005F5714"/>
    <w:rsid w:val="005F7AE1"/>
    <w:rsid w:val="00611D03"/>
    <w:rsid w:val="00614A29"/>
    <w:rsid w:val="00651BA2"/>
    <w:rsid w:val="00654FB9"/>
    <w:rsid w:val="00673D76"/>
    <w:rsid w:val="006854F0"/>
    <w:rsid w:val="00690C9F"/>
    <w:rsid w:val="006B1C4A"/>
    <w:rsid w:val="006B610D"/>
    <w:rsid w:val="006C206A"/>
    <w:rsid w:val="006C4FE8"/>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173C9"/>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570E4"/>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6EFE"/>
    <w:rsid w:val="00CC75B0"/>
    <w:rsid w:val="00CD2773"/>
    <w:rsid w:val="00CE01BA"/>
    <w:rsid w:val="00CE143B"/>
    <w:rsid w:val="00CE3A91"/>
    <w:rsid w:val="00D07DBA"/>
    <w:rsid w:val="00D23C16"/>
    <w:rsid w:val="00D27003"/>
    <w:rsid w:val="00D324AD"/>
    <w:rsid w:val="00D4048F"/>
    <w:rsid w:val="00D9307A"/>
    <w:rsid w:val="00DB4322"/>
    <w:rsid w:val="00DD1D0C"/>
    <w:rsid w:val="00DE186D"/>
    <w:rsid w:val="00E127B3"/>
    <w:rsid w:val="00E167C7"/>
    <w:rsid w:val="00E440CF"/>
    <w:rsid w:val="00E55B78"/>
    <w:rsid w:val="00E76361"/>
    <w:rsid w:val="00E84020"/>
    <w:rsid w:val="00EB7A80"/>
    <w:rsid w:val="00EC47F6"/>
    <w:rsid w:val="00EE6D6D"/>
    <w:rsid w:val="00EF07B9"/>
    <w:rsid w:val="00EF08C9"/>
    <w:rsid w:val="00EF535E"/>
    <w:rsid w:val="00EF5A55"/>
    <w:rsid w:val="00F15CF0"/>
    <w:rsid w:val="00F471F7"/>
    <w:rsid w:val="00F66032"/>
    <w:rsid w:val="00F83B96"/>
    <w:rsid w:val="00F8441D"/>
    <w:rsid w:val="00F87C1E"/>
    <w:rsid w:val="00F958C2"/>
    <w:rsid w:val="00FA740E"/>
    <w:rsid w:val="00FC06C7"/>
    <w:rsid w:val="00FD5DB4"/>
    <w:rsid w:val="00FE1724"/>
    <w:rsid w:val="00FE753C"/>
    <w:rsid w:val="00FF2346"/>
    <w:rsid w:val="033D4567"/>
    <w:rsid w:val="052B2051"/>
    <w:rsid w:val="1FB85B95"/>
    <w:rsid w:val="21B8462B"/>
    <w:rsid w:val="281B5416"/>
    <w:rsid w:val="363D3D1F"/>
    <w:rsid w:val="394B1B94"/>
    <w:rsid w:val="3F6D424C"/>
    <w:rsid w:val="467A6407"/>
    <w:rsid w:val="54191A38"/>
    <w:rsid w:val="58826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892</Words>
  <Characters>5088</Characters>
  <Lines>42</Lines>
  <Paragraphs>11</Paragraphs>
  <TotalTime>38</TotalTime>
  <ScaleCrop>false</ScaleCrop>
  <LinksUpToDate>false</LinksUpToDate>
  <CharactersWithSpaces>5969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2024-05-16T02:46:51Z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83E9F2C4D3704A34AC0690693022DF71</vt:lpwstr>
  </property>
</Properties>
</file>