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ascii="Times New Roman" w:hAnsi="Times New Roman" w:eastAsia="仿宋_GB2312" w:cs="Times New Roman"/>
          <w:sz w:val="44"/>
          <w:szCs w:val="44"/>
        </w:rPr>
      </w:pPr>
      <w:bookmarkStart w:id="4" w:name="_GoBack"/>
      <w:bookmarkEnd w:id="4"/>
    </w:p>
    <w:p>
      <w:pPr>
        <w:spacing w:line="584"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廊坊市广阳区物价监督检查所2019年部门预算信息公开</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w:t>
      </w:r>
      <w:r>
        <w:rPr>
          <w:rFonts w:hint="eastAsia" w:ascii="仿宋_GB2312" w:hAnsi="Times New Roman" w:eastAsia="仿宋_GB2312" w:cs="Times New Roman"/>
          <w:sz w:val="32"/>
          <w:szCs w:val="32"/>
          <w:lang w:eastAsia="zh-CN"/>
        </w:rPr>
        <w:t>中华人民共和国</w:t>
      </w:r>
      <w:r>
        <w:rPr>
          <w:rFonts w:hint="eastAsia" w:ascii="仿宋_GB2312" w:hAnsi="Times New Roman" w:eastAsia="仿宋_GB2312" w:cs="Times New Roman"/>
          <w:sz w:val="32"/>
          <w:szCs w:val="32"/>
        </w:rPr>
        <w:t>预算法》、《地方预决算公开操作规程》和《河北省省级预算公开办法》规定，现将廊坊市广阳区物价监督检查所2019年部门预算公开如下：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widowControl/>
        <w:ind w:firstLine="630" w:firstLineChars="196"/>
        <w:rPr>
          <w:rFonts w:ascii="楷体_GB2312" w:hAnsi="仿宋_GB2312" w:eastAsia="楷体_GB2312"/>
          <w:b/>
          <w:sz w:val="32"/>
          <w:szCs w:val="32"/>
        </w:rPr>
      </w:pPr>
      <w:r>
        <w:rPr>
          <w:rFonts w:hint="eastAsia" w:ascii="楷体_GB2312" w:hAnsi="仿宋_GB2312" w:eastAsia="楷体_GB2312"/>
          <w:b/>
          <w:sz w:val="32"/>
          <w:szCs w:val="32"/>
        </w:rPr>
        <w:t>部门职责:</w:t>
      </w:r>
    </w:p>
    <w:p>
      <w:pPr>
        <w:widowControl/>
        <w:ind w:firstLine="643" w:firstLineChars="200"/>
        <w:rPr>
          <w:rFonts w:ascii="仿宋_GB2312" w:hAnsi="仿宋_GB2312" w:eastAsia="仿宋_GB2312" w:cs="宋体"/>
          <w:kern w:val="0"/>
          <w:sz w:val="32"/>
          <w:szCs w:val="32"/>
        </w:rPr>
      </w:pPr>
      <w:r>
        <w:rPr>
          <w:rFonts w:hint="eastAsia" w:ascii="仿宋_GB2312" w:hAnsi="仿宋_GB2312" w:eastAsia="仿宋_GB2312"/>
          <w:b/>
          <w:sz w:val="32"/>
          <w:szCs w:val="32"/>
        </w:rPr>
        <w:t>1：</w:t>
      </w:r>
      <w:r>
        <w:rPr>
          <w:rFonts w:hint="eastAsia" w:ascii="仿宋_GB2312" w:hAnsi="仿宋_GB2312" w:eastAsia="仿宋_GB2312"/>
          <w:sz w:val="32"/>
          <w:szCs w:val="32"/>
        </w:rPr>
        <w:t>价格总水平调控和价格管理，绩效目标</w:t>
      </w:r>
      <w:r>
        <w:rPr>
          <w:rFonts w:hint="eastAsia" w:ascii="仿宋_GB2312" w:hAnsi="仿宋_GB2312" w:eastAsia="仿宋_GB2312"/>
          <w:b/>
          <w:sz w:val="32"/>
          <w:szCs w:val="32"/>
        </w:rPr>
        <w:t>：</w:t>
      </w:r>
      <w:r>
        <w:rPr>
          <w:rFonts w:hint="eastAsia" w:ascii="仿宋_GB2312" w:hAnsi="仿宋_GB2312" w:eastAsia="仿宋_GB2312"/>
          <w:kern w:val="0"/>
          <w:sz w:val="32"/>
        </w:rPr>
        <w:t>拟订全区价格总水平年度调控计划，开展日常、突发事件、重要节假日等价格巡查监测，提出调控建议；落实全区天然气、电力价格改革，完善供热价格管理；</w:t>
      </w:r>
      <w:r>
        <w:rPr>
          <w:rFonts w:hint="eastAsia" w:ascii="仿宋_GB2312" w:hAnsi="仿宋_GB2312" w:eastAsia="仿宋_GB2312" w:cs="宋体"/>
          <w:color w:val="000000"/>
          <w:kern w:val="0"/>
          <w:sz w:val="32"/>
          <w:szCs w:val="32"/>
        </w:rPr>
        <w:t>加强全区行政事业性收费管理；政府价格决策科学和透明;</w:t>
      </w:r>
      <w:r>
        <w:rPr>
          <w:rFonts w:hint="eastAsia" w:ascii="仿宋_GB2312" w:hAnsi="仿宋_GB2312" w:eastAsia="仿宋_GB2312" w:cs="宋体"/>
          <w:kern w:val="0"/>
          <w:sz w:val="32"/>
          <w:szCs w:val="32"/>
        </w:rPr>
        <w:t>客观、公正、合理出具价格鉴证结论，维护司法机关公平公正和当事人胡合法权益；为</w:t>
      </w:r>
      <w:r>
        <w:rPr>
          <w:rFonts w:hint="eastAsia" w:ascii="仿宋_GB2312" w:hAnsi="仿宋_GB2312" w:eastAsia="仿宋_GB2312" w:cs="宋体"/>
          <w:kern w:val="0"/>
          <w:sz w:val="32"/>
          <w:szCs w:val="32"/>
          <w:lang w:eastAsia="zh-CN"/>
        </w:rPr>
        <w:t>纪检监察机关</w:t>
      </w:r>
      <w:r>
        <w:rPr>
          <w:rFonts w:hint="eastAsia" w:ascii="仿宋_GB2312" w:hAnsi="仿宋_GB2312" w:eastAsia="仿宋_GB2312" w:cs="宋体"/>
          <w:kern w:val="0"/>
          <w:sz w:val="32"/>
          <w:szCs w:val="32"/>
        </w:rPr>
        <w:t>、税务机关、民政部门等办理案件提供依据，维护公平公正。保护国家、公民、法人和其他组织的合法权益；确定价格监测数据的真实性、准确性和及时性；客观、及时反映市场价格变动情况；科学引导商品生产、流通与消费.</w:t>
      </w:r>
    </w:p>
    <w:p>
      <w:pPr>
        <w:widowControl/>
        <w:ind w:firstLine="643" w:firstLineChars="200"/>
        <w:rPr>
          <w:rFonts w:ascii="仿宋_GB2312" w:hAnsi="仿宋_GB2312" w:eastAsia="仿宋_GB2312" w:cs="宋体"/>
          <w:kern w:val="0"/>
          <w:sz w:val="32"/>
          <w:szCs w:val="32"/>
        </w:rPr>
      </w:pPr>
      <w:r>
        <w:rPr>
          <w:rFonts w:hint="eastAsia" w:ascii="仿宋_GB2312" w:hAnsi="仿宋_GB2312" w:eastAsia="仿宋_GB2312"/>
          <w:b/>
          <w:sz w:val="32"/>
          <w:szCs w:val="32"/>
        </w:rPr>
        <w:t>2:</w:t>
      </w:r>
      <w:r>
        <w:rPr>
          <w:rFonts w:hint="eastAsia" w:ascii="仿宋_GB2312" w:hAnsi="仿宋_GB2312" w:eastAsia="仿宋_GB2312"/>
          <w:sz w:val="32"/>
          <w:szCs w:val="32"/>
        </w:rPr>
        <w:t>价格监督检查，绩效目标</w:t>
      </w:r>
      <w:r>
        <w:rPr>
          <w:rFonts w:hint="eastAsia" w:ascii="仿宋_GB2312" w:hAnsi="仿宋_GB2312" w:eastAsia="仿宋_GB2312"/>
          <w:b/>
          <w:sz w:val="32"/>
          <w:szCs w:val="32"/>
        </w:rPr>
        <w:t>：</w:t>
      </w:r>
      <w:r>
        <w:rPr>
          <w:rFonts w:hint="eastAsia" w:ascii="仿宋_GB2312" w:hAnsi="仿宋_GB2312" w:eastAsia="仿宋_GB2312" w:cs="宋体"/>
          <w:kern w:val="0"/>
          <w:sz w:val="32"/>
          <w:szCs w:val="32"/>
        </w:rPr>
        <w:t>确保依法办案，确保价格行政执法、处罚、审理程序合法。治理价格违法行为，规范收费环境和价格秩序；确保价格行政执法、处罚、审理程序合法；推行明码标价，促进明码实价；促进经营者价格自律，推进价格信用制度建设。</w:t>
      </w:r>
    </w:p>
    <w:p>
      <w:pPr>
        <w:widowControl/>
        <w:ind w:firstLine="643" w:firstLineChars="200"/>
        <w:rPr>
          <w:rFonts w:ascii="仿宋_GB2312" w:hAnsi="仿宋_GB2312" w:eastAsia="仿宋_GB2312" w:cs="宋体"/>
          <w:kern w:val="0"/>
          <w:sz w:val="32"/>
          <w:szCs w:val="32"/>
        </w:rPr>
      </w:pPr>
      <w:r>
        <w:rPr>
          <w:rFonts w:hint="eastAsia" w:ascii="仿宋_GB2312" w:hAnsi="仿宋_GB2312" w:eastAsia="仿宋_GB2312"/>
          <w:b/>
          <w:sz w:val="32"/>
          <w:szCs w:val="32"/>
        </w:rPr>
        <w:t>3:</w:t>
      </w:r>
      <w:r>
        <w:rPr>
          <w:rFonts w:hint="eastAsia" w:ascii="仿宋_GB2312" w:hAnsi="仿宋_GB2312" w:eastAsia="仿宋_GB2312"/>
          <w:sz w:val="32"/>
          <w:szCs w:val="32"/>
        </w:rPr>
        <w:t>物价事务管理，绩效目标：</w:t>
      </w:r>
      <w:r>
        <w:rPr>
          <w:rFonts w:hint="eastAsia" w:ascii="仿宋_GB2312" w:hAnsi="仿宋_GB2312" w:eastAsia="仿宋_GB2312" w:cs="宋体"/>
          <w:kern w:val="0"/>
          <w:sz w:val="32"/>
          <w:szCs w:val="32"/>
        </w:rPr>
        <w:t>提高行政效率和服务质量,进一步健全经营者价格诚信档案。</w:t>
      </w:r>
    </w:p>
    <w:p>
      <w:pPr>
        <w:widowControl/>
        <w:ind w:firstLine="643" w:firstLineChars="200"/>
        <w:rPr>
          <w:rFonts w:ascii="仿宋_GB2312" w:hAnsi="仿宋_GB2312" w:eastAsia="仿宋_GB2312" w:cs="宋体"/>
          <w:kern w:val="0"/>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仿宋_GB2312" w:hAnsi="Times New Roman" w:eastAsia="仿宋_GB2312" w:cs="Times New Roman"/>
                <w:b/>
                <w:szCs w:val="21"/>
              </w:rPr>
            </w:pPr>
            <w:r>
              <w:rPr>
                <w:rFonts w:hint="eastAsia" w:ascii="仿宋_GB2312" w:hAnsi="Times New Roman" w:eastAsia="仿宋_GB2312" w:cs="Times New Roman"/>
                <w:b/>
                <w:szCs w:val="21"/>
              </w:rPr>
              <w:t>廊坊市广阳区物价监督检查所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广阳区物价监督检查所</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反映本部门当年全部收入。2019年预算收入408.44万元，其中：一般公共预算收入408.44万元，基金预算收入0万元，财政专户核拨收入0万元，其他来源收入0万元。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廊坊市广阳区物价监督检查所2019年度部门预算中支出预算的总体情况。2019年支出预算408.44万元，其中基本支出408.44万元，包括人员经费377.49万元和日常公用经费30.95万元；项目支出0万元，包括本级支出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2019年预算收支安排408.44万元，较2018年预算增加24.97万元，其中：基本支出增加24.97万元，主要为人员经费和日常公用经费支出；项目支出为0万元，2018年无项目支出。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widowControl/>
        <w:spacing w:line="360" w:lineRule="atLeast"/>
        <w:ind w:firstLine="640" w:firstLineChars="200"/>
        <w:jc w:val="left"/>
        <w:rPr>
          <w:rFonts w:ascii="仿宋_GB2312" w:eastAsia="仿宋_GB2312" w:cs="宋体"/>
          <w:color w:val="000000"/>
          <w:kern w:val="0"/>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w:t>
      </w:r>
      <w:r>
        <w:rPr>
          <w:rFonts w:hint="eastAsia" w:ascii="仿宋_GB2312" w:eastAsia="仿宋_GB2312" w:cs="宋体"/>
          <w:color w:val="000000"/>
          <w:kern w:val="0"/>
          <w:sz w:val="32"/>
          <w:szCs w:val="32"/>
        </w:rPr>
        <w:t>0.97万元，主要用于</w:t>
      </w:r>
      <w:r>
        <w:rPr>
          <w:rFonts w:hint="eastAsia" w:ascii="仿宋_GB2312" w:hAnsi="仿宋_GB2312" w:eastAsia="仿宋_GB2312" w:cs="仿宋_GB2312"/>
          <w:color w:val="000000"/>
          <w:kern w:val="0"/>
          <w:sz w:val="32"/>
          <w:szCs w:val="32"/>
        </w:rPr>
        <w:t>办公设备日常维修、购买办公用品</w:t>
      </w:r>
      <w:r>
        <w:rPr>
          <w:rFonts w:hint="eastAsia" w:ascii="仿宋" w:hAnsi="仿宋" w:eastAsia="仿宋" w:cs="仿宋"/>
          <w:color w:val="000000"/>
          <w:kern w:val="0"/>
          <w:sz w:val="32"/>
          <w:szCs w:val="32"/>
        </w:rPr>
        <w:t>、</w:t>
      </w:r>
      <w:r>
        <w:rPr>
          <w:rFonts w:hint="eastAsia" w:ascii="仿宋_GB2312" w:eastAsia="仿宋_GB2312" w:cs="宋体"/>
          <w:kern w:val="0"/>
          <w:sz w:val="32"/>
          <w:szCs w:val="32"/>
          <w:lang w:val="zh-CN"/>
        </w:rPr>
        <w:t>公务用车运行维护费以及其他业务费用</w:t>
      </w:r>
      <w:r>
        <w:rPr>
          <w:rFonts w:hint="eastAsia" w:ascii="仿宋_GB2312" w:eastAsia="仿宋_GB2312" w:cs="宋体"/>
          <w:kern w:val="0"/>
          <w:sz w:val="32"/>
          <w:szCs w:val="32"/>
        </w:rPr>
        <w:t>等</w:t>
      </w:r>
      <w:r>
        <w:rPr>
          <w:rFonts w:hint="eastAsia" w:ascii="仿宋_GB2312" w:eastAsia="仿宋_GB2312" w:cs="宋体"/>
          <w:color w:val="000000"/>
          <w:kern w:val="0"/>
          <w:sz w:val="32"/>
          <w:szCs w:val="32"/>
        </w:rPr>
        <w:t>日常运行支出。</w:t>
      </w:r>
    </w:p>
    <w:p>
      <w:pPr>
        <w:autoSpaceDE w:val="0"/>
        <w:autoSpaceDN w:val="0"/>
        <w:adjustRightInd w:val="0"/>
        <w:spacing w:line="584" w:lineRule="exact"/>
        <w:ind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jc w:val="left"/>
        <w:rPr>
          <w:rFonts w:ascii="仿宋_GB2312" w:hAnsi="Times New Roman" w:eastAsia="仿宋_GB2312" w:cs="Times New Roman"/>
          <w:color w:val="FF0000"/>
          <w:sz w:val="32"/>
          <w:szCs w:val="32"/>
        </w:rPr>
      </w:pPr>
      <w:r>
        <w:rPr>
          <w:rFonts w:hint="eastAsia" w:ascii="仿宋_GB2312" w:hAnsi="仿宋_GB2312" w:eastAsia="仿宋_GB2312" w:cs="仿宋_GB2312"/>
          <w:sz w:val="32"/>
          <w:szCs w:val="32"/>
        </w:rPr>
        <w:t>2019年，我部门财政拨款“三</w:t>
      </w:r>
      <w:r>
        <w:rPr>
          <w:rFonts w:hint="eastAsia" w:ascii="仿宋_GB2312" w:hAnsi="Times New Roman" w:eastAsia="仿宋_GB2312" w:cs="Times New Roman"/>
          <w:sz w:val="32"/>
          <w:szCs w:val="32"/>
        </w:rPr>
        <w:t>公”经费预算安排2.19万元。其中，因公出国（境）费0万元；公务用车购置及运维费2.19万元（其中：公务用车购置费为0万元，公务用车运维费2.19万元)；公务接待费0万元。与2018年相比减少0.11万元，其中，公务用车购置及运维费减少0.11万元（其中：公务用车购置费增减为0万元，公务用车运维费减少0.11万元)，主要原因是我单位切实落实勤俭节约各项规定，压减公车运行经费支出；公务接待费增减0万元，与2018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00" w:lineRule="exact"/>
        <w:ind w:left="556" w:leftChars="265"/>
        <w:rPr>
          <w:rFonts w:ascii="仿宋_GB2312" w:eastAsia="仿宋_GB2312"/>
          <w:sz w:val="32"/>
          <w:szCs w:val="32"/>
        </w:rPr>
      </w:pPr>
      <w:bookmarkStart w:id="0" w:name="_Toc471398463"/>
      <w:r>
        <w:rPr>
          <w:rFonts w:ascii="Times New Roman" w:hAnsi="Times New Roman" w:eastAsia="楷体_GB2312" w:cs="Times New Roman"/>
          <w:b/>
          <w:sz w:val="32"/>
          <w:szCs w:val="32"/>
        </w:rPr>
        <w:t>总体绩效目标：</w:t>
      </w:r>
      <w:r>
        <w:rPr>
          <w:rFonts w:hint="eastAsia" w:ascii="仿宋_GB2312" w:hAnsi="仿宋_GB2312" w:eastAsia="仿宋_GB2312" w:cs="仿宋_GB2312"/>
          <w:color w:val="000000"/>
          <w:kern w:val="0"/>
          <w:sz w:val="32"/>
          <w:szCs w:val="32"/>
        </w:rPr>
        <w:br w:type="textWrapping"/>
      </w:r>
      <w:r>
        <w:rPr>
          <w:rFonts w:hint="eastAsia" w:ascii="仿宋_GB2312" w:eastAsia="仿宋_GB2312"/>
          <w:sz w:val="32"/>
          <w:szCs w:val="32"/>
        </w:rPr>
        <w:t>一、负责重要商品价格变动情况的监测，建立价格资料数据库，分析预测价格变动趋势，为政府</w:t>
      </w:r>
    </w:p>
    <w:p>
      <w:pPr>
        <w:spacing w:line="500" w:lineRule="exact"/>
        <w:rPr>
          <w:rFonts w:ascii="仿宋_GB2312" w:eastAsia="仿宋_GB2312"/>
          <w:sz w:val="32"/>
          <w:szCs w:val="32"/>
        </w:rPr>
      </w:pPr>
      <w:r>
        <w:rPr>
          <w:rFonts w:hint="eastAsia" w:ascii="仿宋_GB2312" w:eastAsia="仿宋_GB2312"/>
          <w:sz w:val="32"/>
          <w:szCs w:val="32"/>
        </w:rPr>
        <w:t>制定经济政策和全区产业结构调整提供可靠依据。</w:t>
      </w:r>
    </w:p>
    <w:p>
      <w:pPr>
        <w:spacing w:line="500" w:lineRule="exact"/>
        <w:ind w:firstLine="560"/>
        <w:rPr>
          <w:rFonts w:ascii="仿宋_GB2312" w:eastAsia="仿宋_GB2312"/>
          <w:sz w:val="32"/>
          <w:szCs w:val="32"/>
        </w:rPr>
      </w:pPr>
      <w:r>
        <w:rPr>
          <w:rFonts w:hint="eastAsia" w:ascii="仿宋_GB2312" w:eastAsia="仿宋_GB2312"/>
          <w:sz w:val="32"/>
          <w:szCs w:val="32"/>
        </w:rPr>
        <w:t>二、落实国家、省、市制定的收费政策、收费标准，对重要的公益性、强制性、垄断经营性收费项目和标准严格管理，签发和审验《收费许可证》；推行涉农收费公示制度，制止各种乱收费行为。</w:t>
      </w:r>
    </w:p>
    <w:p>
      <w:pPr>
        <w:spacing w:line="500" w:lineRule="exact"/>
        <w:ind w:firstLine="560"/>
        <w:rPr>
          <w:rFonts w:ascii="仿宋_GB2312" w:eastAsia="仿宋_GB2312"/>
          <w:sz w:val="32"/>
          <w:szCs w:val="32"/>
        </w:rPr>
      </w:pPr>
      <w:r>
        <w:rPr>
          <w:rFonts w:hint="eastAsia" w:ascii="仿宋_GB2312" w:eastAsia="仿宋_GB2312"/>
          <w:sz w:val="32"/>
          <w:szCs w:val="32"/>
        </w:rPr>
        <w:t>三、负责全区价格认证工作，为公、检、法、司办理案件和金融信贷、保险理赔、商业往来及社会各界提供价格鉴证和评估服务。</w:t>
      </w:r>
    </w:p>
    <w:p>
      <w:pPr>
        <w:spacing w:line="500" w:lineRule="exact"/>
        <w:ind w:firstLine="560"/>
        <w:rPr>
          <w:rFonts w:ascii="仿宋_GB2312" w:eastAsia="仿宋_GB2312"/>
          <w:sz w:val="32"/>
          <w:szCs w:val="32"/>
        </w:rPr>
      </w:pPr>
      <w:r>
        <w:rPr>
          <w:rFonts w:hint="eastAsia" w:ascii="仿宋_GB2312" w:eastAsia="仿宋_GB2312"/>
          <w:sz w:val="32"/>
          <w:szCs w:val="32"/>
        </w:rPr>
        <w:t>四、对同级人民政府业务主管部门、下级人民政府本行政区域内的企业、事业单位、私营企业和个体工商户的价格和收费检查工作，受理群众举报的价格和收费违法案件，依法处理价格和收费违法案件。</w:t>
      </w:r>
    </w:p>
    <w:p>
      <w:pPr>
        <w:spacing w:line="500" w:lineRule="exact"/>
        <w:ind w:firstLine="560"/>
        <w:rPr>
          <w:rFonts w:ascii="楷体_GB2312" w:eastAsia="楷体_GB2312"/>
          <w:sz w:val="32"/>
          <w:szCs w:val="32"/>
        </w:rPr>
      </w:pPr>
      <w:r>
        <w:rPr>
          <w:rFonts w:hint="eastAsia" w:ascii="楷体_GB2312" w:eastAsia="楷体_GB2312"/>
          <w:b/>
          <w:sz w:val="32"/>
          <w:szCs w:val="32"/>
        </w:rPr>
        <w:t>职责分类绩效目标：</w:t>
      </w:r>
    </w:p>
    <w:p>
      <w:pPr>
        <w:spacing w:line="500" w:lineRule="exact"/>
        <w:ind w:firstLine="560"/>
        <w:rPr>
          <w:rFonts w:ascii="仿宋_GB2312" w:eastAsia="仿宋_GB2312"/>
          <w:sz w:val="32"/>
          <w:szCs w:val="32"/>
        </w:rPr>
      </w:pPr>
      <w:r>
        <w:rPr>
          <w:rFonts w:hint="eastAsia" w:ascii="仿宋_GB2312" w:eastAsia="仿宋_GB2312"/>
          <w:sz w:val="32"/>
          <w:szCs w:val="32"/>
        </w:rPr>
        <w:t>一、价格总水平调控和价格管理：通过做好价格信息监测工作，完善价格监测预警体系的完善，形成跟踪、采集、分析、预测、公布的实时价格监测体系；积极推进各项价格改革，严格推行差别化价格政策，促进生态环境的改善；拟订全区价格总水平年度调控计划，编制中长期调控目标。开展日常、突发事件、重要节假日等价格巡查监测，密切跟踪国内外经济和价格运行，健全应对价格异常波动处理机制，及时启动应急预案，把价格总水平稳定在合理区间。拟定调整方案，完善价格形成机制；落实调整天燃气、电力、供热价格和相关收费价格并组织实施；提出区级调整方案和调控建议，适时调整区级医疗服务、药品等价格政策。加强全区行政事业性收费管理；政府价格决策科学和透明;加强与司法、公安等部门的工作联系，通过开展价格鉴证服务，支持司法审判和行政执法，维护法律尊严；拓展价格认证服务，维护生产经营者权益和市场经济秩序.巩固规范化认证中心建设成效，完善工作程序、制度和措施，提高价格服务水平。</w:t>
      </w:r>
    </w:p>
    <w:p>
      <w:pPr>
        <w:spacing w:line="500" w:lineRule="exact"/>
        <w:ind w:firstLine="560"/>
        <w:rPr>
          <w:rFonts w:ascii="仿宋_GB2312" w:eastAsia="仿宋_GB2312"/>
          <w:sz w:val="32"/>
          <w:szCs w:val="32"/>
        </w:rPr>
      </w:pPr>
      <w:r>
        <w:rPr>
          <w:rFonts w:hint="eastAsia" w:ascii="仿宋_GB2312" w:eastAsia="仿宋_GB2312"/>
          <w:sz w:val="32"/>
          <w:szCs w:val="32"/>
        </w:rPr>
        <w:t>二、价格监督检查：认真落实价格惠民政策，印制《廊坊市价格惠民政策手册》，实行动态管理，巩固和扩大价格惠民政策的成果；深入开展市场价格巡查及依法开展专项检查工作，通过市场价格监管体系建设，提高明码标价的普及率和规范化率。按照国家和省局工作部署，依法开展中介服务收费、涉企收费、涉农收费和教育、医疗收费专项检查，切实维护群众价格权益；完善价格举报平台建设，动态掌握群众关心的热点、难点及价格敏感问题，及时提出对策和建议，维护好消费者合法价格权益，建立价格举报应急响应机制，积极应对价格突发事件和需要及时查处价格举报，稳定市场价格，化解社会矛盾。</w:t>
      </w:r>
    </w:p>
    <w:p>
      <w:pPr>
        <w:spacing w:line="500" w:lineRule="exact"/>
        <w:ind w:firstLine="560"/>
        <w:rPr>
          <w:rFonts w:ascii="仿宋_GB2312" w:eastAsia="仿宋_GB2312"/>
          <w:sz w:val="32"/>
          <w:szCs w:val="32"/>
        </w:rPr>
      </w:pPr>
      <w:r>
        <w:rPr>
          <w:rFonts w:hint="eastAsia" w:ascii="仿宋_GB2312" w:eastAsia="仿宋_GB2312"/>
          <w:sz w:val="32"/>
          <w:szCs w:val="32"/>
        </w:rPr>
        <w:t>三、物价政务管理：加强行政许可后续监管，规范价格秩序。围绕提高行政效率和服务质量，强化管理措施，完善制度保障，打造廉洁高效的价格政务服务环境。建立并逐步完善经营者价格诚信档案；按照市场化的方向推进价格改革；建立舆情应急处置机制，健全价格舆情监测系统。拟订年度和中长期调控目标，提出调控建议。从办理时间、办理程序、按照法定和承诺时限完成价格诚信档案建立，提高行政效率和服务质量,进一步健全经营者价格诚信档案。</w:t>
      </w:r>
    </w:p>
    <w:p>
      <w:pPr>
        <w:spacing w:line="584" w:lineRule="exact"/>
        <w:ind w:firstLine="56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部门职责及工作活动绩效目标指标：</w:t>
      </w:r>
    </w:p>
    <w:p>
      <w:pPr>
        <w:spacing w:line="584" w:lineRule="exact"/>
        <w:jc w:val="center"/>
        <w:outlineLvl w:val="0"/>
        <w:rPr>
          <w:rFonts w:ascii="Times New Roman" w:hAnsi="Times New Roman" w:eastAsia="仿宋_GB2312" w:cs="Times New Roman"/>
          <w:b/>
          <w:sz w:val="32"/>
        </w:rPr>
      </w:pPr>
      <w:bookmarkStart w:id="1" w:name="_Toc504489147"/>
      <w:r>
        <w:rPr>
          <w:rFonts w:ascii="Times New Roman" w:hAnsi="Times New Roman" w:eastAsia="仿宋_GB2312" w:cs="Times New Roman"/>
          <w:b/>
          <w:sz w:val="32"/>
        </w:rPr>
        <w:t>部门职责-工作活动绩效目标</w:t>
      </w:r>
      <w:bookmarkEnd w:id="1"/>
    </w:p>
    <w:p>
      <w:pPr>
        <w:spacing w:line="300" w:lineRule="exact"/>
        <w:jc w:val="left"/>
        <w:outlineLvl w:val="0"/>
        <w:rPr>
          <w:rFonts w:ascii="仿宋_GB2312" w:eastAsia="仿宋_GB2312"/>
          <w:b/>
          <w:sz w:val="32"/>
        </w:rPr>
      </w:pPr>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_GB2312" w:eastAsia="仿宋_GB2312"/>
                <w:sz w:val="24"/>
              </w:rPr>
            </w:pPr>
            <w:r>
              <w:rPr>
                <w:rFonts w:hint="eastAsia" w:ascii="仿宋_GB2312" w:eastAsia="仿宋_GB2312"/>
                <w:sz w:val="24"/>
              </w:rPr>
              <w:t>223廊坊市广阳区物价监督检查所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_GB2312" w:eastAsia="仿宋_GB2312"/>
                <w:sz w:val="24"/>
              </w:rPr>
            </w:pPr>
            <w:r>
              <w:rPr>
                <w:rFonts w:hint="eastAsia" w:ascii="仿宋_GB2312" w:eastAsia="仿宋_GB2312"/>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职责活动</w:t>
            </w:r>
          </w:p>
        </w:tc>
        <w:tc>
          <w:tcPr>
            <w:tcW w:w="12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年度预算数</w:t>
            </w:r>
          </w:p>
        </w:tc>
        <w:tc>
          <w:tcPr>
            <w:tcW w:w="29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内容描述</w:t>
            </w:r>
          </w:p>
        </w:tc>
        <w:tc>
          <w:tcPr>
            <w:tcW w:w="29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绩效目标</w:t>
            </w:r>
          </w:p>
        </w:tc>
        <w:tc>
          <w:tcPr>
            <w:tcW w:w="1417"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绩效指标</w:t>
            </w:r>
          </w:p>
        </w:tc>
        <w:tc>
          <w:tcPr>
            <w:tcW w:w="2948" w:type="dxa"/>
            <w:gridSpan w:val="4"/>
            <w:shd w:val="clear" w:color="auto" w:fill="auto"/>
            <w:vAlign w:val="center"/>
          </w:tcPr>
          <w:p>
            <w:pPr>
              <w:spacing w:line="300" w:lineRule="exact"/>
              <w:jc w:val="center"/>
              <w:rPr>
                <w:rFonts w:ascii="仿宋_GB2312" w:eastAsia="仿宋_GB2312"/>
                <w:b/>
              </w:rPr>
            </w:pPr>
            <w:r>
              <w:rPr>
                <w:rFonts w:hint="eastAsia" w:ascii="仿宋_GB2312" w:eastAsia="仿宋_GB2312"/>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rPr>
                <w:rFonts w:ascii="仿宋_GB2312" w:eastAsia="仿宋_GB2312"/>
              </w:rPr>
            </w:pPr>
          </w:p>
        </w:tc>
        <w:tc>
          <w:tcPr>
            <w:tcW w:w="1276" w:type="dxa"/>
            <w:vMerge w:val="continue"/>
            <w:shd w:val="clear" w:color="auto" w:fill="auto"/>
            <w:vAlign w:val="center"/>
          </w:tcPr>
          <w:p>
            <w:pPr>
              <w:spacing w:line="300" w:lineRule="exact"/>
              <w:jc w:val="left"/>
              <w:outlineLvl w:val="0"/>
              <w:rPr>
                <w:rFonts w:ascii="仿宋_GB2312" w:eastAsia="仿宋_GB2312"/>
              </w:rPr>
            </w:pPr>
          </w:p>
        </w:tc>
        <w:tc>
          <w:tcPr>
            <w:tcW w:w="2976" w:type="dxa"/>
            <w:vMerge w:val="continue"/>
            <w:shd w:val="clear" w:color="auto" w:fill="auto"/>
            <w:vAlign w:val="center"/>
          </w:tcPr>
          <w:p>
            <w:pPr>
              <w:spacing w:line="300" w:lineRule="exact"/>
              <w:jc w:val="left"/>
              <w:outlineLvl w:val="0"/>
              <w:rPr>
                <w:rFonts w:ascii="仿宋_GB2312" w:eastAsia="仿宋_GB2312"/>
              </w:rPr>
            </w:pPr>
          </w:p>
        </w:tc>
        <w:tc>
          <w:tcPr>
            <w:tcW w:w="2976" w:type="dxa"/>
            <w:vMerge w:val="continue"/>
            <w:shd w:val="clear" w:color="auto" w:fill="auto"/>
            <w:vAlign w:val="center"/>
          </w:tcPr>
          <w:p>
            <w:pPr>
              <w:spacing w:line="300" w:lineRule="exact"/>
              <w:jc w:val="left"/>
              <w:outlineLvl w:val="0"/>
              <w:rPr>
                <w:rFonts w:ascii="仿宋_GB2312" w:eastAsia="仿宋_GB2312"/>
              </w:rPr>
            </w:pPr>
          </w:p>
        </w:tc>
        <w:tc>
          <w:tcPr>
            <w:tcW w:w="1417" w:type="dxa"/>
            <w:vMerge w:val="continue"/>
            <w:shd w:val="clear" w:color="auto" w:fill="auto"/>
            <w:vAlign w:val="center"/>
          </w:tcPr>
          <w:p>
            <w:pPr>
              <w:spacing w:line="300" w:lineRule="exact"/>
              <w:jc w:val="left"/>
              <w:outlineLvl w:val="0"/>
              <w:rPr>
                <w:rFonts w:ascii="仿宋_GB2312" w:eastAsia="仿宋_GB2312"/>
              </w:rPr>
            </w:pP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优</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良</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中</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一、价格总水平调控和价格管理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根据国民经济发展需要和社会承受能力，拟订全区价格总水平年度调控计划和中长期调控目标，监测预测全区价格总水平及其结构变动趋势，提出调控建议。管理全区与国民经济和人民生活关系重大、资源稀缺、自然垄断经营的商品价格，拟订作价原则、办法。</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保持市场价格总水平基本稳定,努力保障改善民生，促进经济持续健康发展和社会和谐稳定。</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1、拟订提出价格总水平年度调控目标和建议</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拟订全区价格总水平年度调控计划，编制中长期调控目标。开展日常、突发事件、重要节假日等价格巡查监测，密切跟踪国内外经济和价格运行，健全应对价格异常波动处理机制，及时启动应急预案，把价格总水平稳定在合理区间。拟定调整方案，完善价格形成机制；落实调整天燃气、电力、供热价格和相关收费价格并组织实施；提出区级调整方案和调控建议，适时调整区级医疗服务、药品等价格政策。</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拟订全区价格总水平年度调控计划，开展日常、突发事件、重要节假日等价格巡查监测，提出调控建议；落实全区天然气、电力价格改革，完善供热价格管理</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天然气、电力价格改革政策落实完成率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居民消费价格涨幅</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预期目标以内</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等于预期目标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超过预期目标但未出现恶心通货膨胀</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出现通货膨胀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协助市局核定市城区供热价格调研完成率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2、调整收费标准；组织价格听证会</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根据国家政策和事业发展需要，调整公用事业、中介服务和重要经营收费的标准并监督执行。在制定政府指导价、政府定价过程中，协助市局组织召开听证会、论证会，完成相关调研工作，征求经营者、消费者和有关方面的意见，对制定价格的必要性、可行性进行论证。</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加强全区行政事业性收费管理；政府价格决策科学和透明</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主要行政事业性收费、经营收费标准执行完成率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听证会有效性完成情况</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听证会成功召开</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听证会比较成功</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听证会基本成功召开</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听证会不成功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召开听证会工作完成率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按规定时限全部完成</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按规定时限大部分完成</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按规定时限基本完成</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按规定时限未完成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3、涉案资产价格鉴定、认证</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办理刑事案件涉案资产价格鉴定；办理民事、经济、仲裁案件涉案资产价格鉴定；对市场主体价格行为的合法性、价格水平的合理性公正性认证；</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客观、公正、合理出具价格鉴证结论，维护司法机关公平公正和当事人胡合法权益；为</w:t>
            </w:r>
            <w:r>
              <w:rPr>
                <w:rFonts w:hint="eastAsia" w:ascii="仿宋_GB2312" w:eastAsia="仿宋_GB2312"/>
                <w:szCs w:val="21"/>
                <w:lang w:eastAsia="zh-CN"/>
              </w:rPr>
              <w:t>纪检监察机关</w:t>
            </w:r>
            <w:r>
              <w:rPr>
                <w:rFonts w:hint="eastAsia" w:ascii="仿宋_GB2312" w:eastAsia="仿宋_GB2312"/>
                <w:szCs w:val="21"/>
              </w:rPr>
              <w:t>、税务机关、民政部门等办理案件提供依据，维护公平公正。保护国家、公民、法人和其他组织的合法权益；确定价格监测数据的真实性、准确性和及时性；客观、及时反映市场价格变动情况；科学引导商品生产、流通与消费</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监测数据采集数量、价格分析数量、信息发布量完成率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案件复核维持率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办案准确率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二、价格监督检查</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组织价格和收费监督检查；推进价格信用制度建设；依法办理价格举报案件；推行明码标价和价格、收费公示制度，对市场放开商品实施价格监管，加强反价格欺诈工作，配合市级部门进行反垄断工作。</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治理价格违法行为，规范收费环境和价格秩序；确保价格行政执法、处罚、审理程序合法；推行明码标价，促进明码实价；促进经营者价格自律，推进价格信用制度建设。</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1、法制与案件审理;商品价格监督检查</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对价格违法案件情况进行监督、检查，对价格违法案件的审理、提出处理意见；告知价格处罚的行政复议、行政诉讼、申诉等权利；培训全区价格检查干部相关法律法规知识。规范市场价格秩序，打击虚构原价、虚假打折等欺诈行为；防范价格异动；开展价格诚信建设，探索不同行业明码标价的规则方法，建立经营者价格信用信息数据库。</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确保依法办案，确保价格行政执法、处罚、审理程序合法。治理价格违法行为，规范收费环境和价格秩序；确保价格行政执法、处罚、审理程序合法；推行明码标价，促进明码实价；促进经营者价格自律，推进价格信用制度建设</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价格处罚的行政复议与诉讼完成率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价格违法案件处理完成率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案件办结率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三、物价政务管理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负责物价系统综合业务管理和机关综合事务管理。</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建立舆情应急处置机制，健全价格舆情监测系统。加强行政许可后续监管，规范价格秩序。</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1、综合事务管理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围绕提高行政效率和服务质量，强化管理措施，完善制度保障，打造廉洁高效的价格政务服务环境。</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提高行政效率和服务质量,进一步健全经营者价格诚信档案。</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价格诚信档案建立率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按照法定和承诺时限完成率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综合事务管理工作完成率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r>
    </w:tbl>
    <w:p>
      <w:pPr>
        <w:spacing w:line="300" w:lineRule="exact"/>
        <w:jc w:val="left"/>
        <w:outlineLvl w:val="0"/>
        <w:sectPr>
          <w:pgSz w:w="16839" w:h="11907" w:orient="landscape"/>
          <w:pgMar w:top="1020" w:right="1361" w:bottom="1020" w:left="1361" w:header="851" w:footer="992" w:gutter="0"/>
          <w:cols w:space="425" w:num="1"/>
          <w:docGrid w:type="lines" w:linePitch="312" w:charSpace="0"/>
        </w:sectPr>
      </w:pPr>
    </w:p>
    <w:bookmarkEnd w:id="0"/>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201</w:t>
      </w:r>
      <w:r>
        <w:rPr>
          <w:rFonts w:hint="eastAsia" w:ascii="Times New Roman" w:hAnsi="Times New Roman" w:eastAsia="仿宋_GB2312" w:cs="Times New Roman"/>
          <w:sz w:val="32"/>
          <w:szCs w:val="24"/>
        </w:rPr>
        <w:t>9</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2"/>
    <w:p>
      <w:pPr>
        <w:spacing w:line="584" w:lineRule="exact"/>
        <w:jc w:val="center"/>
        <w:outlineLvl w:val="0"/>
        <w:rPr>
          <w:rFonts w:ascii="Times New Roman" w:hAnsi="Times New Roman" w:eastAsia="仿宋_GB2312" w:cs="Times New Roman"/>
          <w:sz w:val="32"/>
        </w:rPr>
      </w:pPr>
      <w:bookmarkStart w:id="3" w:name="_Toc504489153"/>
      <w:r>
        <w:rPr>
          <w:rFonts w:ascii="Times New Roman" w:hAnsi="Times New Roman" w:eastAsia="仿宋_GB2312" w:cs="Times New Roman"/>
          <w:sz w:val="32"/>
        </w:rPr>
        <w:t>部门政府采购预算</w:t>
      </w:r>
      <w:bookmarkEnd w:id="3"/>
    </w:p>
    <w:tbl>
      <w:tblPr>
        <w:tblStyle w:val="8"/>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177"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仿宋_GB2312" w:hAnsi="Times New Roman" w:eastAsia="仿宋_GB2312" w:cs="Times New Roman"/>
                <w:sz w:val="24"/>
              </w:rPr>
            </w:pPr>
            <w:r>
              <w:rPr>
                <w:rFonts w:hint="eastAsia" w:ascii="仿宋_GB2312" w:hAnsi="Times New Roman" w:eastAsia="仿宋_GB2312" w:cs="Times New Roman"/>
                <w:sz w:val="24"/>
              </w:rPr>
              <w:t>223廊坊市广阳区物价监督检查所</w:t>
            </w:r>
          </w:p>
        </w:tc>
        <w:tc>
          <w:tcPr>
            <w:tcW w:w="6391"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仿宋_GB2312" w:hAnsi="Times New Roman" w:eastAsia="仿宋_GB2312" w:cs="Times New Roman"/>
                <w:sz w:val="24"/>
              </w:rPr>
            </w:pPr>
            <w:r>
              <w:rPr>
                <w:rFonts w:hint="eastAsia" w:ascii="仿宋_GB2312"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63" w:type="dxa"/>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93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137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72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数量单位</w:t>
            </w:r>
          </w:p>
        </w:tc>
        <w:tc>
          <w:tcPr>
            <w:tcW w:w="74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95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6391" w:type="dxa"/>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1057"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4555" w:type="dxa"/>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88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40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057"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79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92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92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88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1057" w:type="dxa"/>
            <w:shd w:val="clear" w:color="auto" w:fill="auto"/>
            <w:vAlign w:val="center"/>
          </w:tcPr>
          <w:p>
            <w:pPr>
              <w:spacing w:line="584" w:lineRule="exact"/>
              <w:jc w:val="right"/>
              <w:rPr>
                <w:rFonts w:ascii="Times New Roman" w:hAnsi="Times New Roman" w:eastAsia="仿宋_GB2312" w:cs="Times New Roman"/>
                <w:b/>
              </w:rPr>
            </w:pPr>
          </w:p>
        </w:tc>
        <w:tc>
          <w:tcPr>
            <w:tcW w:w="932" w:type="dxa"/>
            <w:shd w:val="clear" w:color="auto" w:fill="auto"/>
            <w:vAlign w:val="center"/>
          </w:tcPr>
          <w:p>
            <w:pPr>
              <w:spacing w:line="584" w:lineRule="exact"/>
              <w:jc w:val="left"/>
              <w:rPr>
                <w:rFonts w:ascii="Times New Roman" w:hAnsi="Times New Roman" w:eastAsia="仿宋_GB2312" w:cs="Times New Roman"/>
                <w:b/>
              </w:rPr>
            </w:pPr>
          </w:p>
        </w:tc>
        <w:tc>
          <w:tcPr>
            <w:tcW w:w="1372" w:type="dxa"/>
            <w:shd w:val="clear" w:color="auto" w:fill="auto"/>
            <w:vAlign w:val="center"/>
          </w:tcPr>
          <w:p>
            <w:pPr>
              <w:spacing w:line="584" w:lineRule="exact"/>
              <w:jc w:val="left"/>
              <w:rPr>
                <w:rFonts w:ascii="Times New Roman" w:hAnsi="Times New Roman" w:eastAsia="仿宋_GB2312" w:cs="Times New Roman"/>
                <w:b/>
              </w:rPr>
            </w:pPr>
          </w:p>
        </w:tc>
        <w:tc>
          <w:tcPr>
            <w:tcW w:w="720" w:type="dxa"/>
            <w:shd w:val="clear" w:color="auto" w:fill="auto"/>
            <w:vAlign w:val="center"/>
          </w:tcPr>
          <w:p>
            <w:pPr>
              <w:spacing w:line="584" w:lineRule="exact"/>
              <w:jc w:val="left"/>
              <w:rPr>
                <w:rFonts w:ascii="Times New Roman" w:hAnsi="Times New Roman" w:eastAsia="仿宋_GB2312" w:cs="Times New Roman"/>
                <w:b/>
              </w:rPr>
            </w:pPr>
          </w:p>
        </w:tc>
        <w:tc>
          <w:tcPr>
            <w:tcW w:w="740" w:type="dxa"/>
            <w:shd w:val="clear" w:color="auto" w:fill="auto"/>
            <w:vAlign w:val="center"/>
          </w:tcPr>
          <w:p>
            <w:pPr>
              <w:spacing w:line="584" w:lineRule="exact"/>
              <w:jc w:val="right"/>
              <w:rPr>
                <w:rFonts w:ascii="Times New Roman" w:hAnsi="Times New Roman" w:eastAsia="仿宋_GB2312" w:cs="Times New Roman"/>
                <w:b/>
              </w:rPr>
            </w:pPr>
          </w:p>
        </w:tc>
        <w:tc>
          <w:tcPr>
            <w:tcW w:w="950"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790" w:type="dxa"/>
            <w:shd w:val="clear" w:color="auto" w:fill="auto"/>
            <w:vAlign w:val="center"/>
          </w:tcPr>
          <w:p>
            <w:pPr>
              <w:spacing w:line="584" w:lineRule="exact"/>
              <w:jc w:val="right"/>
              <w:rPr>
                <w:rFonts w:ascii="Times New Roman" w:hAnsi="Times New Roman" w:eastAsia="仿宋_GB2312" w:cs="Times New Roman"/>
                <w:b/>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b/>
              </w:rPr>
            </w:pPr>
          </w:p>
        </w:tc>
        <w:tc>
          <w:tcPr>
            <w:tcW w:w="1057" w:type="dxa"/>
            <w:shd w:val="clear" w:color="auto" w:fill="auto"/>
            <w:vAlign w:val="center"/>
          </w:tcPr>
          <w:p>
            <w:pPr>
              <w:spacing w:line="584" w:lineRule="exact"/>
              <w:jc w:val="right"/>
              <w:rPr>
                <w:rFonts w:ascii="Times New Roman" w:hAnsi="Times New Roman" w:eastAsia="仿宋_GB2312" w:cs="Times New Roman"/>
                <w:b/>
              </w:rPr>
            </w:pPr>
          </w:p>
        </w:tc>
        <w:tc>
          <w:tcPr>
            <w:tcW w:w="932" w:type="dxa"/>
            <w:shd w:val="clear" w:color="auto" w:fill="auto"/>
            <w:vAlign w:val="center"/>
          </w:tcPr>
          <w:p>
            <w:pPr>
              <w:spacing w:line="584" w:lineRule="exact"/>
              <w:jc w:val="left"/>
              <w:rPr>
                <w:rFonts w:ascii="Times New Roman" w:hAnsi="Times New Roman" w:eastAsia="仿宋_GB2312" w:cs="Times New Roman"/>
                <w:b/>
              </w:rPr>
            </w:pPr>
          </w:p>
        </w:tc>
        <w:tc>
          <w:tcPr>
            <w:tcW w:w="1372" w:type="dxa"/>
            <w:shd w:val="clear" w:color="auto" w:fill="auto"/>
            <w:vAlign w:val="center"/>
          </w:tcPr>
          <w:p>
            <w:pPr>
              <w:spacing w:line="584" w:lineRule="exact"/>
              <w:jc w:val="left"/>
              <w:rPr>
                <w:rFonts w:ascii="Times New Roman" w:hAnsi="Times New Roman" w:eastAsia="仿宋_GB2312" w:cs="Times New Roman"/>
                <w:b/>
              </w:rPr>
            </w:pPr>
          </w:p>
        </w:tc>
        <w:tc>
          <w:tcPr>
            <w:tcW w:w="720" w:type="dxa"/>
            <w:shd w:val="clear" w:color="auto" w:fill="auto"/>
            <w:vAlign w:val="center"/>
          </w:tcPr>
          <w:p>
            <w:pPr>
              <w:spacing w:line="584" w:lineRule="exact"/>
              <w:jc w:val="left"/>
              <w:rPr>
                <w:rFonts w:ascii="Times New Roman" w:hAnsi="Times New Roman" w:eastAsia="仿宋_GB2312" w:cs="Times New Roman"/>
                <w:b/>
              </w:rPr>
            </w:pPr>
          </w:p>
        </w:tc>
        <w:tc>
          <w:tcPr>
            <w:tcW w:w="740" w:type="dxa"/>
            <w:shd w:val="clear" w:color="auto" w:fill="auto"/>
            <w:vAlign w:val="center"/>
          </w:tcPr>
          <w:p>
            <w:pPr>
              <w:spacing w:line="584" w:lineRule="exact"/>
              <w:jc w:val="right"/>
              <w:rPr>
                <w:rFonts w:ascii="Times New Roman" w:hAnsi="Times New Roman" w:eastAsia="仿宋_GB2312" w:cs="Times New Roman"/>
                <w:b/>
              </w:rPr>
            </w:pPr>
          </w:p>
        </w:tc>
        <w:tc>
          <w:tcPr>
            <w:tcW w:w="950"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790" w:type="dxa"/>
            <w:shd w:val="clear" w:color="auto" w:fill="auto"/>
            <w:vAlign w:val="center"/>
          </w:tcPr>
          <w:p>
            <w:pPr>
              <w:spacing w:line="584" w:lineRule="exact"/>
              <w:jc w:val="right"/>
              <w:rPr>
                <w:rFonts w:ascii="Times New Roman" w:hAnsi="Times New Roman" w:eastAsia="仿宋_GB2312" w:cs="Times New Roman"/>
                <w:b/>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footerReference r:id="rId4" w:type="first"/>
          <w:footerReference r:id="rId3" w:type="default"/>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广阳区物价监督检查所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42.4</w:t>
      </w:r>
      <w:r>
        <w:rPr>
          <w:rFonts w:ascii="Times New Roman" w:hAnsi="Times New Roman" w:eastAsia="仿宋_GB2312" w:cs="Times New Roman"/>
          <w:sz w:val="32"/>
          <w:szCs w:val="32"/>
        </w:rPr>
        <w:t>万元，本年度我部门</w:t>
      </w:r>
      <w:r>
        <w:rPr>
          <w:rFonts w:hint="eastAsia" w:ascii="Times New Roman" w:hAnsi="Times New Roman" w:eastAsia="仿宋_GB2312" w:cs="Times New Roman"/>
          <w:sz w:val="32"/>
          <w:szCs w:val="32"/>
        </w:rPr>
        <w:t>无</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详见下表。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223</w:t>
            </w:r>
            <w:r>
              <w:rPr>
                <w:rFonts w:ascii="Times New Roman" w:hAnsi="Times New Roman" w:eastAsia="仿宋_GB2312" w:cs="Times New Roman"/>
                <w:kern w:val="0"/>
                <w:sz w:val="22"/>
              </w:rPr>
              <w:t>廊坊市</w:t>
            </w:r>
            <w:r>
              <w:rPr>
                <w:rFonts w:hint="eastAsia" w:ascii="Times New Roman" w:hAnsi="Times New Roman" w:eastAsia="仿宋_GB2312" w:cs="Times New Roman"/>
                <w:kern w:val="0"/>
                <w:sz w:val="22"/>
              </w:rPr>
              <w:t>广阳区物价监督检查所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8</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42.4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19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152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23.4</w:t>
            </w:r>
          </w:p>
        </w:tc>
      </w:tr>
    </w:tbl>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sdtPr>
    <w:sdtContent>
      <w:p>
        <w:pPr>
          <w:pStyle w:val="3"/>
          <w:jc w:val="center"/>
        </w:pPr>
        <w:r>
          <w:rPr>
            <w:rFonts w:hint="eastAsia"/>
          </w:rPr>
          <w:t>-</w:t>
        </w:r>
        <w:r>
          <w:fldChar w:fldCharType="begin"/>
        </w:r>
        <w:r>
          <w:instrText xml:space="preserve">PAGE   \* MERGEFORMAT</w:instrText>
        </w:r>
        <w:r>
          <w:fldChar w:fldCharType="separate"/>
        </w:r>
        <w:r>
          <w:rPr>
            <w:lang w:val="zh-CN"/>
          </w:rPr>
          <w:t>12</w:t>
        </w:r>
        <w:r>
          <w:rPr>
            <w:lang w:val="zh-CN"/>
          </w:rPr>
          <w:fldChar w:fldCharType="end"/>
        </w:r>
        <w:r>
          <w:rPr>
            <w:rFonts w:hint="eastAsia"/>
          </w:rPr>
          <w:t>-</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4299695"/>
    </w:sdtPr>
    <w:sdtContent>
      <w:p>
        <w:pPr>
          <w:pStyle w:val="3"/>
          <w:jc w:val="center"/>
        </w:pPr>
        <w:r>
          <w:fldChar w:fldCharType="begin"/>
        </w:r>
        <w:r>
          <w:instrText xml:space="preserve">PAGE   \* MERGEFORMAT</w:instrText>
        </w:r>
        <w:r>
          <w:fldChar w:fldCharType="separate"/>
        </w:r>
        <w:r>
          <w:rPr>
            <w:lang w:val="zh-CN"/>
          </w:rPr>
          <w:t>10</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37AF6"/>
    <w:rsid w:val="000410F2"/>
    <w:rsid w:val="0004565F"/>
    <w:rsid w:val="00072187"/>
    <w:rsid w:val="0007259E"/>
    <w:rsid w:val="00075D5F"/>
    <w:rsid w:val="0008180F"/>
    <w:rsid w:val="00093DA3"/>
    <w:rsid w:val="000B529B"/>
    <w:rsid w:val="000C24E6"/>
    <w:rsid w:val="000C3A19"/>
    <w:rsid w:val="000E4305"/>
    <w:rsid w:val="000F0D09"/>
    <w:rsid w:val="00100B74"/>
    <w:rsid w:val="001245BB"/>
    <w:rsid w:val="001251A3"/>
    <w:rsid w:val="0015229A"/>
    <w:rsid w:val="00160266"/>
    <w:rsid w:val="001643E8"/>
    <w:rsid w:val="00176C13"/>
    <w:rsid w:val="001919C4"/>
    <w:rsid w:val="0019723B"/>
    <w:rsid w:val="001A0943"/>
    <w:rsid w:val="001B5C1D"/>
    <w:rsid w:val="001E0757"/>
    <w:rsid w:val="001E6DDC"/>
    <w:rsid w:val="001E70E9"/>
    <w:rsid w:val="001F5C92"/>
    <w:rsid w:val="001F7873"/>
    <w:rsid w:val="00230E48"/>
    <w:rsid w:val="00241FD4"/>
    <w:rsid w:val="00246317"/>
    <w:rsid w:val="00251B12"/>
    <w:rsid w:val="00265318"/>
    <w:rsid w:val="00265F39"/>
    <w:rsid w:val="002835D7"/>
    <w:rsid w:val="00290FD6"/>
    <w:rsid w:val="00292821"/>
    <w:rsid w:val="00296113"/>
    <w:rsid w:val="002A673A"/>
    <w:rsid w:val="002C5E13"/>
    <w:rsid w:val="002C62BC"/>
    <w:rsid w:val="002E0EB8"/>
    <w:rsid w:val="002F3E58"/>
    <w:rsid w:val="0030542C"/>
    <w:rsid w:val="00311B7A"/>
    <w:rsid w:val="003126B6"/>
    <w:rsid w:val="00313D9C"/>
    <w:rsid w:val="00325215"/>
    <w:rsid w:val="0033339C"/>
    <w:rsid w:val="00335660"/>
    <w:rsid w:val="003B6D37"/>
    <w:rsid w:val="00414BD3"/>
    <w:rsid w:val="00424943"/>
    <w:rsid w:val="0042727E"/>
    <w:rsid w:val="0043175C"/>
    <w:rsid w:val="00437296"/>
    <w:rsid w:val="00451590"/>
    <w:rsid w:val="00451871"/>
    <w:rsid w:val="004706DE"/>
    <w:rsid w:val="00472923"/>
    <w:rsid w:val="00486DCD"/>
    <w:rsid w:val="0049120C"/>
    <w:rsid w:val="004B0C3A"/>
    <w:rsid w:val="004C49A8"/>
    <w:rsid w:val="004C58D3"/>
    <w:rsid w:val="004D5788"/>
    <w:rsid w:val="004E3066"/>
    <w:rsid w:val="004E419C"/>
    <w:rsid w:val="004E74CD"/>
    <w:rsid w:val="00524EFD"/>
    <w:rsid w:val="00572067"/>
    <w:rsid w:val="00573562"/>
    <w:rsid w:val="00590ECE"/>
    <w:rsid w:val="005C0E90"/>
    <w:rsid w:val="005D0C27"/>
    <w:rsid w:val="005D37CA"/>
    <w:rsid w:val="005E6F7A"/>
    <w:rsid w:val="005F5714"/>
    <w:rsid w:val="005F7AE1"/>
    <w:rsid w:val="00611D03"/>
    <w:rsid w:val="00614A29"/>
    <w:rsid w:val="00651BA2"/>
    <w:rsid w:val="00654FB9"/>
    <w:rsid w:val="00673D76"/>
    <w:rsid w:val="006854F0"/>
    <w:rsid w:val="00690C9F"/>
    <w:rsid w:val="006B1C4A"/>
    <w:rsid w:val="006B610D"/>
    <w:rsid w:val="006C206A"/>
    <w:rsid w:val="006C4FE8"/>
    <w:rsid w:val="006E49F5"/>
    <w:rsid w:val="007013C8"/>
    <w:rsid w:val="00727C84"/>
    <w:rsid w:val="0074338E"/>
    <w:rsid w:val="00753836"/>
    <w:rsid w:val="0075393C"/>
    <w:rsid w:val="00754592"/>
    <w:rsid w:val="00776C08"/>
    <w:rsid w:val="00790ABF"/>
    <w:rsid w:val="007B49AA"/>
    <w:rsid w:val="007C219A"/>
    <w:rsid w:val="007E1DA8"/>
    <w:rsid w:val="007E4B05"/>
    <w:rsid w:val="007F1335"/>
    <w:rsid w:val="007F6C26"/>
    <w:rsid w:val="00800F72"/>
    <w:rsid w:val="00811795"/>
    <w:rsid w:val="00813208"/>
    <w:rsid w:val="00815157"/>
    <w:rsid w:val="008173C9"/>
    <w:rsid w:val="0083348E"/>
    <w:rsid w:val="008334AE"/>
    <w:rsid w:val="00836FED"/>
    <w:rsid w:val="0083724E"/>
    <w:rsid w:val="00841D53"/>
    <w:rsid w:val="00843DF8"/>
    <w:rsid w:val="00845CD2"/>
    <w:rsid w:val="00852B0D"/>
    <w:rsid w:val="0085425A"/>
    <w:rsid w:val="00862CE4"/>
    <w:rsid w:val="00864B7F"/>
    <w:rsid w:val="00881692"/>
    <w:rsid w:val="00882539"/>
    <w:rsid w:val="008858FF"/>
    <w:rsid w:val="008A6576"/>
    <w:rsid w:val="008B3CC5"/>
    <w:rsid w:val="008B52CD"/>
    <w:rsid w:val="008C7C4D"/>
    <w:rsid w:val="008E4261"/>
    <w:rsid w:val="008E70D4"/>
    <w:rsid w:val="008F4662"/>
    <w:rsid w:val="0090563F"/>
    <w:rsid w:val="00905D08"/>
    <w:rsid w:val="00925753"/>
    <w:rsid w:val="00937F8B"/>
    <w:rsid w:val="009425F4"/>
    <w:rsid w:val="00943BD8"/>
    <w:rsid w:val="00954B2C"/>
    <w:rsid w:val="00966C5C"/>
    <w:rsid w:val="009676A1"/>
    <w:rsid w:val="00973104"/>
    <w:rsid w:val="009842F6"/>
    <w:rsid w:val="00984E9A"/>
    <w:rsid w:val="00995BF0"/>
    <w:rsid w:val="00996540"/>
    <w:rsid w:val="009A16D5"/>
    <w:rsid w:val="009A353D"/>
    <w:rsid w:val="009B0B77"/>
    <w:rsid w:val="009B511E"/>
    <w:rsid w:val="009B5215"/>
    <w:rsid w:val="009C6C86"/>
    <w:rsid w:val="009D37D3"/>
    <w:rsid w:val="009D3807"/>
    <w:rsid w:val="00A16E6C"/>
    <w:rsid w:val="00A40F60"/>
    <w:rsid w:val="00A44E3D"/>
    <w:rsid w:val="00A72D2E"/>
    <w:rsid w:val="00A74447"/>
    <w:rsid w:val="00A74CE5"/>
    <w:rsid w:val="00A77500"/>
    <w:rsid w:val="00A8536F"/>
    <w:rsid w:val="00A911E7"/>
    <w:rsid w:val="00A939D9"/>
    <w:rsid w:val="00AB77AA"/>
    <w:rsid w:val="00AC0E98"/>
    <w:rsid w:val="00AC4748"/>
    <w:rsid w:val="00AD5259"/>
    <w:rsid w:val="00B01D36"/>
    <w:rsid w:val="00B078CD"/>
    <w:rsid w:val="00B20712"/>
    <w:rsid w:val="00B40832"/>
    <w:rsid w:val="00B43238"/>
    <w:rsid w:val="00B45DD3"/>
    <w:rsid w:val="00B54B90"/>
    <w:rsid w:val="00B570E4"/>
    <w:rsid w:val="00B6358B"/>
    <w:rsid w:val="00B64FA8"/>
    <w:rsid w:val="00B73582"/>
    <w:rsid w:val="00B75216"/>
    <w:rsid w:val="00B755A2"/>
    <w:rsid w:val="00B9104C"/>
    <w:rsid w:val="00B91D52"/>
    <w:rsid w:val="00B9490F"/>
    <w:rsid w:val="00BA1ACD"/>
    <w:rsid w:val="00BD09F8"/>
    <w:rsid w:val="00BE356A"/>
    <w:rsid w:val="00C005B2"/>
    <w:rsid w:val="00C1565C"/>
    <w:rsid w:val="00C21E0F"/>
    <w:rsid w:val="00C362CA"/>
    <w:rsid w:val="00C37A99"/>
    <w:rsid w:val="00C772C1"/>
    <w:rsid w:val="00C93D22"/>
    <w:rsid w:val="00CA7176"/>
    <w:rsid w:val="00CB51D7"/>
    <w:rsid w:val="00CC6EFE"/>
    <w:rsid w:val="00CC75B0"/>
    <w:rsid w:val="00CD2773"/>
    <w:rsid w:val="00CE01BA"/>
    <w:rsid w:val="00CE143B"/>
    <w:rsid w:val="00CE3A91"/>
    <w:rsid w:val="00D07DBA"/>
    <w:rsid w:val="00D23C16"/>
    <w:rsid w:val="00D27003"/>
    <w:rsid w:val="00D324AD"/>
    <w:rsid w:val="00D4048F"/>
    <w:rsid w:val="00D9307A"/>
    <w:rsid w:val="00DB4322"/>
    <w:rsid w:val="00DD1D0C"/>
    <w:rsid w:val="00DE186D"/>
    <w:rsid w:val="00E127B3"/>
    <w:rsid w:val="00E167C7"/>
    <w:rsid w:val="00E440CF"/>
    <w:rsid w:val="00E55B78"/>
    <w:rsid w:val="00E76361"/>
    <w:rsid w:val="00E84020"/>
    <w:rsid w:val="00EB7A80"/>
    <w:rsid w:val="00EC47F6"/>
    <w:rsid w:val="00EE6D6D"/>
    <w:rsid w:val="00EF07B9"/>
    <w:rsid w:val="00EF08C9"/>
    <w:rsid w:val="00EF535E"/>
    <w:rsid w:val="00EF5A55"/>
    <w:rsid w:val="00F15CF0"/>
    <w:rsid w:val="00F471F7"/>
    <w:rsid w:val="00F66032"/>
    <w:rsid w:val="00F83B96"/>
    <w:rsid w:val="00F8441D"/>
    <w:rsid w:val="00F87C1E"/>
    <w:rsid w:val="00F958C2"/>
    <w:rsid w:val="00FA740E"/>
    <w:rsid w:val="00FC06C7"/>
    <w:rsid w:val="00FD5DB4"/>
    <w:rsid w:val="00FE1724"/>
    <w:rsid w:val="00FE753C"/>
    <w:rsid w:val="00FF2346"/>
    <w:rsid w:val="033D4567"/>
    <w:rsid w:val="052B2051"/>
    <w:rsid w:val="1FB85B95"/>
    <w:rsid w:val="21B8462B"/>
    <w:rsid w:val="281B5416"/>
    <w:rsid w:val="363D3D1F"/>
    <w:rsid w:val="394B1B94"/>
    <w:rsid w:val="3F6D424C"/>
    <w:rsid w:val="467A6407"/>
    <w:rsid w:val="54191A38"/>
    <w:rsid w:val="58826F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uiPriority w:val="39"/>
    <w:rPr>
      <w:rFonts w:ascii="Times New Roman" w:hAnsi="Times New Roman" w:eastAsia="宋体" w:cs="Times New Roman"/>
      <w:szCs w:val="24"/>
    </w:rPr>
  </w:style>
  <w:style w:type="paragraph" w:styleId="6">
    <w:name w:val="footnote text"/>
    <w:basedOn w:val="1"/>
    <w:link w:val="15"/>
    <w:semiHidden/>
    <w:unhideWhenUsed/>
    <w:uiPriority w:val="99"/>
    <w:pPr>
      <w:snapToGrid w:val="0"/>
      <w:jc w:val="left"/>
    </w:pPr>
    <w:rPr>
      <w:rFonts w:ascii="Calibri" w:hAnsi="Calibri" w:eastAsia="宋体" w:cs="Times New Roman"/>
      <w:sz w:val="18"/>
      <w:szCs w:val="18"/>
    </w:rPr>
  </w:style>
  <w:style w:type="paragraph" w:styleId="7">
    <w:name w:val="toc 2"/>
    <w:basedOn w:val="1"/>
    <w:next w:val="1"/>
    <w:uiPriority w:val="39"/>
    <w:pPr>
      <w:ind w:left="420" w:leftChars="200"/>
    </w:pPr>
    <w:rPr>
      <w:rFonts w:ascii="Times New Roman" w:hAnsi="Times New Roman" w:eastAsia="宋体" w:cs="Times New Roman"/>
      <w:szCs w:val="24"/>
    </w:rPr>
  </w:style>
  <w:style w:type="character" w:styleId="10">
    <w:name w:val="footnote reference"/>
    <w:semiHidden/>
    <w:unhideWhenUsed/>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uiPriority w:val="99"/>
    <w:rPr>
      <w:rFonts w:ascii="Times New Roman" w:hAnsi="Times New Roman" w:eastAsia="宋体" w:cs="Times New Roman"/>
      <w:sz w:val="18"/>
      <w:szCs w:val="18"/>
    </w:rPr>
  </w:style>
  <w:style w:type="character" w:customStyle="1" w:styleId="13">
    <w:name w:val="批注框文本 Char"/>
    <w:basedOn w:val="9"/>
    <w:link w:val="2"/>
    <w:semiHidden/>
    <w:uiPriority w:val="99"/>
    <w:rPr>
      <w:sz w:val="18"/>
      <w:szCs w:val="18"/>
    </w:rPr>
  </w:style>
  <w:style w:type="paragraph" w:customStyle="1" w:styleId="14">
    <w:name w:val="Defaul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D51BB-CDEA-47ED-AE9F-E2C4E149275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892</Words>
  <Characters>5088</Characters>
  <Lines>42</Lines>
  <Paragraphs>11</Paragraphs>
  <TotalTime>38</TotalTime>
  <ScaleCrop>false</ScaleCrop>
  <LinksUpToDate>false</LinksUpToDate>
  <CharactersWithSpaces>5969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2019-02-13T02:12:00Z</dcterms:created>
  <dc:creator>guest</dc:creator>
  <cp:lastModifiedBy>111</cp:lastModifiedBy>
  <cp:lastPrinted>2019-02-18T02:45:00Z</cp:lastPrinted>
  <dcterms:modified xsi:type="dcterms:W3CDTF">2024-05-16T02:46:51Z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83E9F2C4D3704A34AC0690693022DF71</vt:lpwstr>
  </property>
</Properties>
</file>