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59" w:rsidRDefault="00C87859">
      <w:pPr>
        <w:spacing w:line="584" w:lineRule="exact"/>
        <w:rPr>
          <w:rFonts w:ascii="Times New Roman" w:eastAsia="仿宋_GB2312" w:hAnsi="Times New Roman" w:cs="Times New Roman"/>
          <w:sz w:val="44"/>
          <w:szCs w:val="44"/>
        </w:rPr>
      </w:pPr>
    </w:p>
    <w:p w:rsidR="00C87859" w:rsidRPr="008F6875" w:rsidRDefault="007B0CE0" w:rsidP="008F6875">
      <w:pPr>
        <w:spacing w:line="584" w:lineRule="exact"/>
        <w:jc w:val="center"/>
        <w:rPr>
          <w:rFonts w:ascii="方正小标宋简体" w:eastAsia="方正小标宋简体" w:hAnsi="Times New Roman" w:cs="Times New Roman"/>
          <w:sz w:val="44"/>
          <w:szCs w:val="44"/>
        </w:rPr>
      </w:pPr>
      <w:r w:rsidRPr="008F6875">
        <w:rPr>
          <w:rFonts w:ascii="方正小标宋简体" w:eastAsia="方正小标宋简体" w:hAnsi="Times New Roman" w:cs="Times New Roman" w:hint="eastAsia"/>
          <w:sz w:val="44"/>
          <w:szCs w:val="44"/>
        </w:rPr>
        <w:t>廊坊市广阳区</w:t>
      </w:r>
      <w:r w:rsidR="008F6875">
        <w:rPr>
          <w:rFonts w:ascii="方正小标宋简体" w:eastAsia="方正小标宋简体" w:hAnsi="Times New Roman" w:cs="Times New Roman" w:hint="eastAsia"/>
          <w:sz w:val="44"/>
          <w:szCs w:val="44"/>
        </w:rPr>
        <w:t>人民政府</w:t>
      </w:r>
      <w:r w:rsidRPr="008F6875">
        <w:rPr>
          <w:rFonts w:ascii="方正小标宋简体" w:eastAsia="方正小标宋简体" w:hAnsi="Times New Roman" w:cs="Times New Roman" w:hint="eastAsia"/>
          <w:sz w:val="44"/>
          <w:szCs w:val="44"/>
        </w:rPr>
        <w:t>信访局2019年部门预算信息公开</w:t>
      </w:r>
    </w:p>
    <w:p w:rsidR="00C87859" w:rsidRDefault="00C87859">
      <w:pPr>
        <w:spacing w:line="584" w:lineRule="exact"/>
        <w:ind w:firstLineChars="200" w:firstLine="880"/>
        <w:jc w:val="center"/>
        <w:rPr>
          <w:rFonts w:ascii="Times New Roman" w:eastAsia="仿宋_GB2312" w:hAnsi="Times New Roman" w:cs="Times New Roman"/>
          <w:sz w:val="44"/>
          <w:szCs w:val="44"/>
        </w:rPr>
      </w:pPr>
    </w:p>
    <w:p w:rsidR="00C87859" w:rsidRDefault="007B0CE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Pr>
          <w:rFonts w:ascii="Times New Roman" w:eastAsia="仿宋_GB2312" w:hAnsi="Times New Roman" w:cs="Times New Roman" w:hint="eastAsia"/>
          <w:sz w:val="32"/>
          <w:szCs w:val="32"/>
        </w:rPr>
        <w:t>广阳区</w:t>
      </w:r>
      <w:r w:rsidR="008F6875">
        <w:rPr>
          <w:rFonts w:ascii="Times New Roman" w:eastAsia="仿宋_GB2312" w:hAnsi="Times New Roman" w:cs="Times New Roman" w:hint="eastAsia"/>
          <w:sz w:val="32"/>
          <w:szCs w:val="32"/>
        </w:rPr>
        <w:t>人</w:t>
      </w:r>
      <w:r w:rsidR="008F6875">
        <w:rPr>
          <w:rFonts w:ascii="Times New Roman" w:eastAsia="仿宋_GB2312" w:hAnsi="Times New Roman" w:cs="Times New Roman"/>
          <w:sz w:val="32"/>
          <w:szCs w:val="32"/>
        </w:rPr>
        <w:t>民政府信访局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年部门预算公开如下：</w:t>
      </w:r>
    </w:p>
    <w:p w:rsidR="00C87859" w:rsidRDefault="007B0CE0">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8F6875" w:rsidRDefault="007B0CE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color w:val="000000"/>
          <w:kern w:val="0"/>
          <w:sz w:val="32"/>
          <w:szCs w:val="32"/>
        </w:rPr>
        <w:t>1、</w:t>
      </w:r>
      <w:r w:rsidRPr="008F6875">
        <w:rPr>
          <w:rFonts w:ascii="仿宋_GB2312" w:eastAsia="仿宋_GB2312" w:hAnsi="仿宋" w:cs="仿宋" w:hint="eastAsia"/>
          <w:sz w:val="32"/>
          <w:szCs w:val="32"/>
        </w:rPr>
        <w:t>研究提出全区信访工作思路，拟定全区信访工作有关制度、规定。</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2、接待人民群众来访，办理人民群众来信，查办信访案件。</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3、负责区委、区政府人民群众建议征集办公室工作。</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4、调查研究和综合分析全区信访形势及信访工作状况，及时向区委、区政府提出对策建议。</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5、参与全区社会治安综合治理和维护社会政治稳定工作，参与处理影响社会政治稳定的突发性、群体性事件。</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6、对乡镇、街办处党委、政府和区直有关部门信访工作年度责任目标进行考核。</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7、督促检查和组织指导全区乡镇、街办处及有关部门的信访工作。</w:t>
      </w:r>
    </w:p>
    <w:p w:rsidR="008F6875" w:rsidRPr="008F6875" w:rsidRDefault="007B0CE0" w:rsidP="008F6875">
      <w:pPr>
        <w:spacing w:line="584" w:lineRule="exact"/>
        <w:ind w:firstLineChars="200" w:firstLine="640"/>
        <w:rPr>
          <w:rFonts w:ascii="仿宋_GB2312" w:eastAsia="仿宋_GB2312" w:hAnsi="仿宋" w:cs="仿宋"/>
          <w:sz w:val="32"/>
          <w:szCs w:val="32"/>
        </w:rPr>
      </w:pPr>
      <w:r w:rsidRPr="008F6875">
        <w:rPr>
          <w:rFonts w:ascii="仿宋_GB2312" w:eastAsia="仿宋_GB2312" w:hAnsi="仿宋" w:cs="仿宋" w:hint="eastAsia"/>
          <w:sz w:val="32"/>
          <w:szCs w:val="32"/>
        </w:rPr>
        <w:t>8、组织指导全区信访工作业务建设。</w:t>
      </w:r>
    </w:p>
    <w:p w:rsidR="00C87859" w:rsidRPr="008F6875" w:rsidRDefault="007B0CE0" w:rsidP="008F6875">
      <w:pPr>
        <w:spacing w:line="584" w:lineRule="exact"/>
        <w:ind w:firstLineChars="200" w:firstLine="640"/>
        <w:rPr>
          <w:rFonts w:ascii="仿宋_GB2312" w:eastAsia="仿宋_GB2312" w:hAnsi="Times New Roman" w:cs="Times New Roman"/>
          <w:b/>
          <w:sz w:val="32"/>
          <w:szCs w:val="32"/>
        </w:rPr>
      </w:pPr>
      <w:r w:rsidRPr="008F6875">
        <w:rPr>
          <w:rFonts w:ascii="仿宋_GB2312" w:eastAsia="仿宋_GB2312" w:hAnsi="仿宋" w:cs="仿宋" w:hint="eastAsia"/>
          <w:sz w:val="32"/>
          <w:szCs w:val="32"/>
        </w:rPr>
        <w:lastRenderedPageBreak/>
        <w:t>9、承办区委、区政府及上级信访部门交办的有关事项。</w:t>
      </w:r>
    </w:p>
    <w:p w:rsidR="00C87859" w:rsidRDefault="007B0CE0">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8F6875" w:rsidRPr="0090563F" w:rsidRDefault="008F6875" w:rsidP="008F6875">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8F6875" w:rsidRPr="0090563F" w:rsidTr="000B5F55">
        <w:trPr>
          <w:trHeight w:val="584"/>
          <w:tblHeader/>
          <w:jc w:val="center"/>
        </w:trPr>
        <w:tc>
          <w:tcPr>
            <w:tcW w:w="4443" w:type="dxa"/>
            <w:vMerge w:val="restart"/>
            <w:shd w:val="clear" w:color="auto" w:fill="auto"/>
            <w:vAlign w:val="center"/>
          </w:tcPr>
          <w:p w:rsidR="008F6875" w:rsidRPr="0090563F" w:rsidRDefault="008F6875" w:rsidP="000B5F55">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8F6875" w:rsidRPr="0090563F" w:rsidRDefault="008F6875" w:rsidP="000B5F55">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8F6875" w:rsidRPr="0090563F" w:rsidRDefault="008F6875" w:rsidP="000B5F55">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8F6875" w:rsidRPr="0090563F" w:rsidRDefault="008F6875" w:rsidP="000B5F55">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8F6875" w:rsidRPr="0090563F" w:rsidTr="000B5F55">
        <w:trPr>
          <w:trHeight w:val="584"/>
          <w:tblHeader/>
          <w:jc w:val="center"/>
        </w:trPr>
        <w:tc>
          <w:tcPr>
            <w:tcW w:w="4443" w:type="dxa"/>
            <w:vMerge/>
            <w:shd w:val="clear" w:color="auto" w:fill="auto"/>
            <w:vAlign w:val="center"/>
          </w:tcPr>
          <w:p w:rsidR="008F6875" w:rsidRPr="0090563F" w:rsidRDefault="008F6875" w:rsidP="000B5F55">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8F6875" w:rsidRPr="0090563F" w:rsidRDefault="008F6875" w:rsidP="000B5F55">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8F6875" w:rsidRPr="0090563F" w:rsidRDefault="008F6875" w:rsidP="000B5F55">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8F6875" w:rsidRPr="0090563F" w:rsidRDefault="008F6875" w:rsidP="000B5F55">
            <w:pPr>
              <w:spacing w:line="584" w:lineRule="exact"/>
              <w:jc w:val="left"/>
              <w:outlineLvl w:val="0"/>
              <w:rPr>
                <w:rFonts w:ascii="Times New Roman" w:eastAsia="仿宋_GB2312" w:hAnsi="Times New Roman" w:cs="Times New Roman"/>
                <w:szCs w:val="24"/>
              </w:rPr>
            </w:pPr>
          </w:p>
        </w:tc>
      </w:tr>
      <w:tr w:rsidR="008F6875" w:rsidRPr="0090563F" w:rsidTr="000B5F55">
        <w:trPr>
          <w:trHeight w:val="227"/>
          <w:jc w:val="center"/>
        </w:trPr>
        <w:tc>
          <w:tcPr>
            <w:tcW w:w="4443" w:type="dxa"/>
            <w:shd w:val="clear" w:color="auto" w:fill="auto"/>
            <w:vAlign w:val="center"/>
          </w:tcPr>
          <w:p w:rsidR="008F6875" w:rsidRPr="00EB2F00" w:rsidRDefault="00EB2F00" w:rsidP="000B5F55">
            <w:pPr>
              <w:spacing w:line="584" w:lineRule="exact"/>
              <w:jc w:val="center"/>
              <w:rPr>
                <w:rFonts w:ascii="仿宋_GB2312" w:eastAsia="仿宋_GB2312" w:hAnsi="Times New Roman" w:cs="Times New Roman"/>
                <w:b/>
                <w:szCs w:val="21"/>
              </w:rPr>
            </w:pPr>
            <w:r w:rsidRPr="00EB2F00">
              <w:rPr>
                <w:rFonts w:ascii="仿宋_GB2312" w:eastAsia="仿宋_GB2312" w:hAnsi="Times New Roman" w:cs="Times New Roman" w:hint="eastAsia"/>
                <w:szCs w:val="21"/>
              </w:rPr>
              <w:t>廊坊市广阳区人民政府信访局</w:t>
            </w:r>
          </w:p>
        </w:tc>
        <w:tc>
          <w:tcPr>
            <w:tcW w:w="1134" w:type="dxa"/>
            <w:shd w:val="clear" w:color="auto" w:fill="auto"/>
            <w:vAlign w:val="center"/>
          </w:tcPr>
          <w:p w:rsidR="008F6875" w:rsidRPr="00EB2F00" w:rsidRDefault="00EB2F00" w:rsidP="000B5F55">
            <w:pPr>
              <w:spacing w:line="584" w:lineRule="exact"/>
              <w:jc w:val="center"/>
              <w:rPr>
                <w:rFonts w:ascii="Times New Roman" w:eastAsia="仿宋_GB2312" w:hAnsi="Times New Roman" w:cs="Times New Roman"/>
              </w:rPr>
            </w:pPr>
            <w:r w:rsidRPr="00EB2F00">
              <w:rPr>
                <w:rFonts w:ascii="Times New Roman" w:eastAsia="仿宋_GB2312" w:hAnsi="Times New Roman" w:cs="Times New Roman"/>
              </w:rPr>
              <w:t>行政</w:t>
            </w:r>
          </w:p>
        </w:tc>
        <w:tc>
          <w:tcPr>
            <w:tcW w:w="1276" w:type="dxa"/>
            <w:shd w:val="clear" w:color="auto" w:fill="auto"/>
            <w:vAlign w:val="center"/>
          </w:tcPr>
          <w:p w:rsidR="008F6875" w:rsidRPr="00EB2F00" w:rsidRDefault="00EB2F00" w:rsidP="000B5F55">
            <w:pPr>
              <w:spacing w:line="584" w:lineRule="exact"/>
              <w:jc w:val="center"/>
              <w:rPr>
                <w:rFonts w:ascii="Times New Roman" w:eastAsia="仿宋_GB2312" w:hAnsi="Times New Roman" w:cs="Times New Roman"/>
              </w:rPr>
            </w:pPr>
            <w:r w:rsidRPr="00EB2F00">
              <w:rPr>
                <w:rFonts w:ascii="Times New Roman" w:eastAsia="仿宋_GB2312" w:hAnsi="Times New Roman" w:cs="Times New Roman"/>
              </w:rPr>
              <w:t>正科级</w:t>
            </w:r>
          </w:p>
        </w:tc>
        <w:tc>
          <w:tcPr>
            <w:tcW w:w="2902" w:type="dxa"/>
            <w:shd w:val="clear" w:color="auto" w:fill="auto"/>
            <w:vAlign w:val="center"/>
          </w:tcPr>
          <w:p w:rsidR="008F6875" w:rsidRPr="00EB2F00" w:rsidRDefault="00EB2F00" w:rsidP="000B5F55">
            <w:pPr>
              <w:spacing w:line="584" w:lineRule="exact"/>
              <w:jc w:val="center"/>
              <w:rPr>
                <w:rFonts w:ascii="Times New Roman" w:eastAsia="仿宋_GB2312" w:hAnsi="Times New Roman" w:cs="Times New Roman"/>
              </w:rPr>
            </w:pPr>
            <w:r w:rsidRPr="00EB2F00">
              <w:rPr>
                <w:rFonts w:ascii="Times New Roman" w:eastAsia="仿宋_GB2312" w:hAnsi="Times New Roman" w:cs="Times New Roman"/>
              </w:rPr>
              <w:t>财政拨款</w:t>
            </w:r>
          </w:p>
        </w:tc>
      </w:tr>
    </w:tbl>
    <w:p w:rsidR="00C87859" w:rsidRDefault="00C87859">
      <w:pPr>
        <w:spacing w:line="584" w:lineRule="exact"/>
        <w:jc w:val="center"/>
        <w:outlineLvl w:val="0"/>
        <w:rPr>
          <w:rFonts w:ascii="Times New Roman" w:eastAsia="仿宋_GB2312" w:hAnsi="Times New Roman" w:cs="Times New Roman"/>
          <w:b/>
          <w:sz w:val="32"/>
          <w:szCs w:val="24"/>
        </w:rPr>
      </w:pPr>
    </w:p>
    <w:p w:rsidR="00C87859" w:rsidRDefault="007B0CE0">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C87859" w:rsidRDefault="007B0CE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部门预算的编制实行综合预算制度，即全部收入和支出都反映在预算中。廊坊市</w:t>
      </w:r>
      <w:r>
        <w:rPr>
          <w:rFonts w:ascii="Times New Roman" w:eastAsia="仿宋_GB2312" w:hAnsi="Times New Roman" w:cs="Times New Roman" w:hint="eastAsia"/>
          <w:sz w:val="32"/>
          <w:szCs w:val="32"/>
        </w:rPr>
        <w:t>广阳区</w:t>
      </w:r>
      <w:r w:rsidR="00EB2F00">
        <w:rPr>
          <w:rFonts w:ascii="Times New Roman" w:eastAsia="仿宋_GB2312" w:hAnsi="Times New Roman" w:cs="Times New Roman" w:hint="eastAsia"/>
          <w:sz w:val="32"/>
          <w:szCs w:val="32"/>
        </w:rPr>
        <w:t>人民政府</w:t>
      </w:r>
      <w:r>
        <w:rPr>
          <w:rFonts w:ascii="Times New Roman" w:eastAsia="仿宋_GB2312" w:hAnsi="Times New Roman" w:cs="Times New Roman" w:hint="eastAsia"/>
          <w:sz w:val="32"/>
          <w:szCs w:val="32"/>
        </w:rPr>
        <w:t>信访局</w:t>
      </w:r>
      <w:r>
        <w:rPr>
          <w:rFonts w:ascii="Times New Roman" w:eastAsia="仿宋_GB2312" w:hAnsi="Times New Roman" w:cs="Times New Roman"/>
          <w:sz w:val="32"/>
          <w:szCs w:val="32"/>
        </w:rPr>
        <w:t>机关及所属事业单位的收支包含在部门预算中。</w:t>
      </w:r>
    </w:p>
    <w:p w:rsidR="00C87859" w:rsidRDefault="007B0CE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C87859" w:rsidRDefault="007B0CE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248.27</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248.27</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C87859" w:rsidRDefault="007B0CE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EB2F00" w:rsidRDefault="007B0CE0">
      <w:pPr>
        <w:spacing w:line="584"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Pr>
          <w:rFonts w:ascii="Times New Roman" w:eastAsia="仿宋_GB2312" w:hAnsi="Times New Roman" w:cs="Times New Roman" w:hint="eastAsia"/>
          <w:sz w:val="32"/>
          <w:szCs w:val="32"/>
        </w:rPr>
        <w:t>广阳区</w:t>
      </w:r>
      <w:r w:rsidR="00EB2F00">
        <w:rPr>
          <w:rFonts w:ascii="Times New Roman" w:eastAsia="仿宋_GB2312" w:hAnsi="Times New Roman" w:cs="Times New Roman" w:hint="eastAsia"/>
          <w:sz w:val="32"/>
          <w:szCs w:val="32"/>
        </w:rPr>
        <w:t>人民政府</w:t>
      </w:r>
      <w:r>
        <w:rPr>
          <w:rFonts w:ascii="Times New Roman" w:eastAsia="仿宋_GB2312" w:hAnsi="Times New Roman" w:cs="Times New Roman" w:hint="eastAsia"/>
          <w:sz w:val="32"/>
          <w:szCs w:val="32"/>
        </w:rPr>
        <w:t>信访局</w:t>
      </w:r>
      <w:r>
        <w:rPr>
          <w:rFonts w:ascii="Times New Roman" w:eastAsia="仿宋_GB2312" w:hAnsi="Times New Roman" w:cs="Times New Roman" w:hint="eastAsia"/>
          <w:sz w:val="32"/>
          <w:szCs w:val="32"/>
        </w:rPr>
        <w:t>2019</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248.27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其中基本支出</w:t>
      </w:r>
      <w:r>
        <w:rPr>
          <w:rFonts w:ascii="Times New Roman" w:eastAsia="仿宋_GB2312" w:hAnsi="Times New Roman" w:cs="Times New Roman" w:hint="eastAsia"/>
          <w:sz w:val="32"/>
          <w:szCs w:val="32"/>
        </w:rPr>
        <w:t>246.27</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226.1</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20.17</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万元，包括本级支出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w:t>
      </w:r>
      <w:bookmarkStart w:id="0" w:name="_GoBack"/>
      <w:bookmarkEnd w:id="0"/>
      <w:r w:rsidR="00EB2F00">
        <w:rPr>
          <w:rFonts w:ascii="Times New Roman" w:eastAsia="仿宋_GB2312" w:hAnsi="Times New Roman" w:cs="Times New Roman" w:hint="eastAsia"/>
          <w:sz w:val="32"/>
          <w:szCs w:val="32"/>
        </w:rPr>
        <w:t>，主要为信访问题处理项目支出。</w:t>
      </w:r>
    </w:p>
    <w:p w:rsidR="00C87859" w:rsidRDefault="007B0CE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C87859" w:rsidRDefault="007B0CE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248.27</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19.95</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28.05</w:t>
      </w:r>
      <w:r>
        <w:rPr>
          <w:rFonts w:ascii="Times New Roman" w:eastAsia="仿宋_GB2312" w:hAnsi="Times New Roman" w:cs="Times New Roman"/>
          <w:sz w:val="32"/>
          <w:szCs w:val="32"/>
        </w:rPr>
        <w:t>万元，主要为</w:t>
      </w:r>
      <w:r>
        <w:rPr>
          <w:rFonts w:ascii="仿宋_GB2312" w:eastAsia="仿宋_GB2312" w:cs="宋体"/>
          <w:color w:val="000000"/>
          <w:kern w:val="0"/>
          <w:sz w:val="32"/>
          <w:szCs w:val="32"/>
        </w:rPr>
        <w:t>人员经费支出</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48</w:t>
      </w:r>
      <w:r w:rsidR="001F6E13">
        <w:rPr>
          <w:rFonts w:ascii="Times New Roman" w:eastAsia="仿宋_GB2312" w:hAnsi="Times New Roman" w:cs="Times New Roman"/>
          <w:sz w:val="32"/>
          <w:szCs w:val="32"/>
        </w:rPr>
        <w:t>万元，主要为信访问题处理支出。</w:t>
      </w:r>
    </w:p>
    <w:p w:rsidR="00C87859" w:rsidRDefault="007B0CE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C87859" w:rsidRDefault="007B0CE0">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0.58</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机关</w:t>
      </w:r>
      <w:r>
        <w:rPr>
          <w:rFonts w:ascii="Times New Roman" w:eastAsia="仿宋_GB2312" w:hAnsi="Times New Roman" w:cs="Times New Roman"/>
          <w:sz w:val="32"/>
          <w:szCs w:val="32"/>
        </w:rPr>
        <w:t>办公区的日常维修、办公用房水电费、办公用房取暖费、办公用房物业管理费等日常运行支出。</w:t>
      </w:r>
    </w:p>
    <w:p w:rsidR="00C87859" w:rsidRDefault="007B0CE0">
      <w:pPr>
        <w:autoSpaceDE w:val="0"/>
        <w:autoSpaceDN w:val="0"/>
        <w:adjustRightInd w:val="0"/>
        <w:spacing w:line="584" w:lineRule="exact"/>
        <w:ind w:firstLineChars="200" w:firstLine="640"/>
        <w:jc w:val="left"/>
        <w:rPr>
          <w:rFonts w:ascii="Times New Roman" w:eastAsia="黑体" w:hAnsi="黑体" w:cs="Times New Roman"/>
          <w:sz w:val="32"/>
          <w:szCs w:val="32"/>
        </w:rPr>
      </w:pPr>
      <w:r>
        <w:rPr>
          <w:rFonts w:ascii="Times New Roman" w:eastAsia="黑体" w:hAnsi="黑体" w:cs="Times New Roman"/>
          <w:sz w:val="32"/>
          <w:szCs w:val="32"/>
        </w:rPr>
        <w:t>四、财政拨款“三公”经费预算情况及增减变化原因</w:t>
      </w:r>
    </w:p>
    <w:p w:rsidR="00C87859" w:rsidRDefault="007B0CE0">
      <w:pPr>
        <w:spacing w:line="584" w:lineRule="exact"/>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w:t>
      </w:r>
      <w:r>
        <w:rPr>
          <w:rFonts w:ascii="Times New Roman" w:eastAsia="仿宋_GB2312" w:hAnsi="Times New Roman" w:cs="Times New Roman" w:hint="eastAsia"/>
          <w:color w:val="000000" w:themeColor="text1"/>
          <w:sz w:val="32"/>
          <w:szCs w:val="32"/>
        </w:rPr>
        <w:t>比</w:t>
      </w:r>
      <w:r>
        <w:rPr>
          <w:rFonts w:ascii="Times New Roman" w:eastAsia="仿宋_GB2312" w:hAnsi="Times New Roman" w:cs="Times New Roman"/>
          <w:color w:val="000000" w:themeColor="text1"/>
          <w:sz w:val="32"/>
          <w:szCs w:val="32"/>
        </w:rPr>
        <w:t>减</w:t>
      </w:r>
      <w:r>
        <w:rPr>
          <w:rFonts w:ascii="Times New Roman" w:eastAsia="仿宋_GB2312" w:hAnsi="Times New Roman" w:cs="Times New Roman" w:hint="eastAsia"/>
          <w:color w:val="000000" w:themeColor="text1"/>
          <w:sz w:val="32"/>
          <w:szCs w:val="32"/>
        </w:rPr>
        <w:t>少</w:t>
      </w:r>
      <w:r>
        <w:rPr>
          <w:rFonts w:ascii="Times New Roman" w:eastAsia="仿宋_GB2312" w:hAnsi="Times New Roman" w:cs="Times New Roman" w:hint="eastAsia"/>
          <w:color w:val="000000" w:themeColor="text1"/>
          <w:sz w:val="32"/>
          <w:szCs w:val="32"/>
        </w:rPr>
        <w:t>0.11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color w:val="000000" w:themeColor="text1"/>
          <w:sz w:val="32"/>
          <w:szCs w:val="32"/>
        </w:rPr>
        <w:t>0.11</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sz w:val="32"/>
          <w:szCs w:val="32"/>
        </w:rPr>
        <w:t>（其中：公务用车购置费</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w:t>
      </w:r>
      <w:r>
        <w:rPr>
          <w:rFonts w:ascii="Times New Roman" w:eastAsia="仿宋_GB2312" w:hAnsi="Times New Roman" w:cs="Times New Roman"/>
          <w:sz w:val="32"/>
          <w:szCs w:val="32"/>
        </w:rPr>
        <w:t>元，公务用车运维费</w:t>
      </w:r>
      <w:r>
        <w:rPr>
          <w:rFonts w:ascii="Times New Roman" w:eastAsia="仿宋_GB2312" w:hAnsi="Times New Roman" w:cs="Times New Roman" w:hint="eastAsia"/>
          <w:sz w:val="32"/>
          <w:szCs w:val="32"/>
        </w:rPr>
        <w:t>减</w:t>
      </w:r>
      <w:r>
        <w:rPr>
          <w:rFonts w:ascii="Times New Roman" w:eastAsia="仿宋_GB2312" w:hAnsi="Times New Roman" w:cs="Times New Roman" w:hint="eastAsia"/>
          <w:color w:val="000000" w:themeColor="text1"/>
          <w:sz w:val="32"/>
          <w:szCs w:val="32"/>
        </w:rPr>
        <w:t>少</w:t>
      </w:r>
      <w:r>
        <w:rPr>
          <w:rFonts w:ascii="Times New Roman" w:eastAsia="仿宋_GB2312" w:hAnsi="Times New Roman" w:cs="Times New Roman" w:hint="eastAsia"/>
          <w:color w:val="000000" w:themeColor="text1"/>
          <w:sz w:val="32"/>
          <w:szCs w:val="32"/>
        </w:rPr>
        <w:t>0.11</w:t>
      </w:r>
      <w:r>
        <w:rPr>
          <w:rFonts w:ascii="Times New Roman" w:eastAsia="仿宋_GB2312" w:hAnsi="Times New Roman" w:cs="Times New Roman"/>
          <w:color w:val="000000" w:themeColor="text1"/>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我单位切实落实勤俭节约各项规定，压减公车运行经费支出</w:t>
      </w:r>
      <w:r w:rsidR="001F6E13">
        <w:rPr>
          <w:rFonts w:ascii="Times New Roman" w:eastAsia="仿宋_GB2312" w:hAnsi="Times New Roman" w:cs="Times New Roman" w:hint="eastAsia"/>
          <w:sz w:val="32"/>
          <w:szCs w:val="32"/>
        </w:rPr>
        <w:t>；</w:t>
      </w:r>
      <w:r w:rsidR="001F6E13">
        <w:rPr>
          <w:rFonts w:ascii="Times New Roman" w:eastAsia="仿宋_GB2312" w:hAnsi="Times New Roman" w:cs="Times New Roman"/>
          <w:sz w:val="32"/>
          <w:szCs w:val="32"/>
        </w:rPr>
        <w:t>公务接待费</w:t>
      </w:r>
      <w:r w:rsidR="001F6E13">
        <w:rPr>
          <w:rFonts w:ascii="Times New Roman" w:eastAsia="仿宋_GB2312" w:hAnsi="Times New Roman" w:cs="Times New Roman" w:hint="eastAsia"/>
          <w:sz w:val="32"/>
          <w:szCs w:val="32"/>
        </w:rPr>
        <w:t>增减</w:t>
      </w:r>
      <w:r w:rsidR="001F6E13">
        <w:rPr>
          <w:rFonts w:ascii="Times New Roman" w:eastAsia="仿宋_GB2312" w:hAnsi="Times New Roman" w:cs="Times New Roman" w:hint="eastAsia"/>
          <w:sz w:val="32"/>
          <w:szCs w:val="32"/>
        </w:rPr>
        <w:t>0</w:t>
      </w:r>
      <w:r w:rsidR="001F6E13">
        <w:rPr>
          <w:rFonts w:ascii="Times New Roman" w:eastAsia="仿宋_GB2312" w:hAnsi="Times New Roman" w:cs="Times New Roman" w:hint="eastAsia"/>
          <w:sz w:val="32"/>
          <w:szCs w:val="32"/>
        </w:rPr>
        <w:t>万元，</w:t>
      </w:r>
      <w:r w:rsidR="001F6E13" w:rsidRPr="001F6E13">
        <w:rPr>
          <w:rFonts w:ascii="Times New Roman" w:eastAsia="仿宋_GB2312" w:hAnsi="Times New Roman" w:cs="Times New Roman"/>
          <w:sz w:val="32"/>
          <w:szCs w:val="32"/>
        </w:rPr>
        <w:t>与</w:t>
      </w:r>
      <w:r w:rsidR="001F6E13" w:rsidRPr="001F6E13">
        <w:rPr>
          <w:rFonts w:ascii="Times New Roman" w:eastAsia="仿宋_GB2312" w:hAnsi="Times New Roman" w:cs="Times New Roman"/>
          <w:sz w:val="32"/>
          <w:szCs w:val="32"/>
        </w:rPr>
        <w:t>201</w:t>
      </w:r>
      <w:r w:rsidR="001F6E13" w:rsidRPr="001F6E13">
        <w:rPr>
          <w:rFonts w:ascii="Times New Roman" w:eastAsia="仿宋_GB2312" w:hAnsi="Times New Roman" w:cs="Times New Roman" w:hint="eastAsia"/>
          <w:sz w:val="32"/>
          <w:szCs w:val="32"/>
        </w:rPr>
        <w:t>8</w:t>
      </w:r>
      <w:r w:rsidR="001F6E13" w:rsidRPr="001F6E13">
        <w:rPr>
          <w:rFonts w:ascii="Times New Roman" w:eastAsia="仿宋_GB2312" w:hAnsi="Times New Roman" w:cs="Times New Roman"/>
          <w:sz w:val="32"/>
          <w:szCs w:val="32"/>
        </w:rPr>
        <w:t>年相比持平，无增减变化。</w:t>
      </w:r>
    </w:p>
    <w:p w:rsidR="00C87859" w:rsidRDefault="007B0CE0">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五、绩效预算信息</w:t>
      </w:r>
    </w:p>
    <w:p w:rsidR="00C87859" w:rsidRDefault="007B0CE0">
      <w:pPr>
        <w:spacing w:line="584" w:lineRule="exact"/>
        <w:ind w:firstLineChars="200" w:firstLine="643"/>
        <w:jc w:val="left"/>
        <w:rPr>
          <w:rFonts w:ascii="Times New Roman" w:eastAsia="楷体_GB2312" w:hAnsi="Times New Roman" w:cs="Times New Roman"/>
          <w:b/>
          <w:sz w:val="32"/>
          <w:szCs w:val="32"/>
        </w:rPr>
      </w:pPr>
      <w:bookmarkStart w:id="1" w:name="_Toc471398463"/>
      <w:r>
        <w:rPr>
          <w:rFonts w:ascii="Times New Roman" w:eastAsia="楷体_GB2312" w:hAnsi="Times New Roman" w:cs="Times New Roman"/>
          <w:b/>
          <w:sz w:val="32"/>
          <w:szCs w:val="32"/>
        </w:rPr>
        <w:t>总体绩效目标：</w:t>
      </w:r>
    </w:p>
    <w:p w:rsid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lastRenderedPageBreak/>
        <w:t>一是不断提高初访办结率；二是集中化解重信重访案件；三是有效缓解信访突出问题，协助各乡镇妥善解决涉及农村土地征用、房屋拆迁等信访突出问题。</w:t>
      </w:r>
    </w:p>
    <w:p w:rsidR="001F6E13" w:rsidRPr="001F6E13" w:rsidRDefault="001F6E13" w:rsidP="001F6E13">
      <w:pPr>
        <w:spacing w:line="500" w:lineRule="exact"/>
        <w:ind w:firstLine="560"/>
        <w:rPr>
          <w:rFonts w:ascii="楷体_GB2312" w:eastAsia="楷体_GB2312"/>
          <w:sz w:val="32"/>
          <w:szCs w:val="32"/>
        </w:rPr>
      </w:pPr>
      <w:r w:rsidRPr="001F6E13">
        <w:rPr>
          <w:rFonts w:ascii="楷体_GB2312" w:eastAsia="楷体_GB2312" w:hint="eastAsia"/>
          <w:b/>
          <w:sz w:val="32"/>
          <w:szCs w:val="32"/>
        </w:rPr>
        <w:t>职责分类绩效目标：</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一、信访问题处理</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信访业务办理。畅通信访渠道，提高信访事项办理质量和效率。确保及时受理的信访事项数量占信访事项数量的比例在80%以上，年度内已按期办结的案件数量占案件总数的比例在80%以上。</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处置非访、突发性及群体性事件。妥善处置非正常访，维护社会大局和谐稳定。确保及时受理的信访事项数量占信访事项数量的比例在80%以上，年度内已按期办结的案件数量占案件总数的比例在80%以上。</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信访事项督查、案件查办、复查复核、听证。推动重要信访事项解决，规范信访事项办理、终结，用好特殊疑难信访问题专项资金。确保复查案件数量占信访事项数量的比例小于等于20%，反映年度特殊信访疑难问题解决数量大于等于4件，反映年度督办案件数量大于等于8次。</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群众工作。组织区直部门联合接访，协调区级领导开展接访、约访、下访活动，解释、解答群众咨询的相关问题，做好群众的思想疏导工作。确保领导干部公开接访率达到90%以上。</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二、信访事务管理</w:t>
      </w:r>
    </w:p>
    <w:p w:rsidR="001F6E13" w:rsidRPr="001F6E13" w:rsidRDefault="001F6E13" w:rsidP="001F6E13">
      <w:pPr>
        <w:spacing w:line="500" w:lineRule="exact"/>
        <w:ind w:firstLine="560"/>
        <w:rPr>
          <w:rFonts w:ascii="仿宋_GB2312" w:eastAsia="仿宋_GB2312"/>
          <w:sz w:val="32"/>
          <w:szCs w:val="32"/>
        </w:rPr>
      </w:pPr>
      <w:r w:rsidRPr="001F6E13">
        <w:rPr>
          <w:rFonts w:ascii="仿宋_GB2312" w:eastAsia="仿宋_GB2312" w:hint="eastAsia"/>
          <w:sz w:val="32"/>
          <w:szCs w:val="32"/>
        </w:rPr>
        <w:t>其他综合事务管理。进一步提高信访干部业务能力；吸收可行建议，改进信访工作；提高信访信息化应用水平，实现办公自动化、网络化智能化。保障机要邮件正常传递和群众工作各项工作正常运转；确保各种会议正常召开。确保其他各项综合实务工作完成率达到100%。</w:t>
      </w:r>
    </w:p>
    <w:p w:rsidR="00C87859" w:rsidRDefault="007B0CE0">
      <w:pPr>
        <w:spacing w:line="584" w:lineRule="exact"/>
        <w:ind w:firstLine="560"/>
        <w:rPr>
          <w:rFonts w:ascii="宋体" w:eastAsia="仿宋_GB2312" w:hAnsi="宋体" w:cs="宋体"/>
          <w:color w:val="000000"/>
          <w:kern w:val="0"/>
          <w:sz w:val="32"/>
          <w:szCs w:val="32"/>
        </w:rPr>
      </w:pPr>
      <w:r>
        <w:rPr>
          <w:rFonts w:ascii="Times New Roman" w:eastAsia="楷体_GB2312" w:hAnsi="Times New Roman" w:cs="Times New Roman"/>
          <w:b/>
          <w:sz w:val="32"/>
          <w:szCs w:val="32"/>
        </w:rPr>
        <w:lastRenderedPageBreak/>
        <w:t>部门职责及工作活动绩效目标指标：</w:t>
      </w:r>
      <w:r>
        <w:rPr>
          <w:rFonts w:ascii="宋体" w:eastAsia="仿宋_GB2312" w:hAnsi="宋体" w:cs="宋体" w:hint="eastAsia"/>
          <w:color w:val="000000"/>
          <w:kern w:val="0"/>
          <w:sz w:val="32"/>
          <w:szCs w:val="32"/>
        </w:rPr>
        <w:t> </w:t>
      </w:r>
    </w:p>
    <w:p w:rsidR="00C87859" w:rsidRPr="004610B6" w:rsidRDefault="007B0CE0">
      <w:pPr>
        <w:spacing w:line="584" w:lineRule="exact"/>
        <w:ind w:firstLine="560"/>
        <w:jc w:val="center"/>
        <w:rPr>
          <w:rFonts w:ascii="仿宋_GB2312" w:eastAsia="仿宋_GB2312" w:hAnsi="仿宋" w:cs="仿宋"/>
          <w:b/>
          <w:sz w:val="32"/>
          <w:szCs w:val="24"/>
        </w:rPr>
      </w:pP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bookmarkStart w:id="2" w:name="_Toc505066971"/>
      <w:r w:rsidRPr="004610B6">
        <w:rPr>
          <w:rFonts w:ascii="仿宋_GB2312" w:eastAsia="仿宋_GB2312" w:hAnsi="仿宋" w:cs="仿宋" w:hint="eastAsia"/>
          <w:b/>
          <w:sz w:val="32"/>
          <w:szCs w:val="24"/>
        </w:rPr>
        <w:t>部门职责-工作活动绩效目标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Look w:val="04A0"/>
      </w:tblPr>
      <w:tblGrid>
        <w:gridCol w:w="2341"/>
        <w:gridCol w:w="1276"/>
        <w:gridCol w:w="2976"/>
        <w:gridCol w:w="2976"/>
        <w:gridCol w:w="1417"/>
        <w:gridCol w:w="737"/>
        <w:gridCol w:w="737"/>
        <w:gridCol w:w="737"/>
        <w:gridCol w:w="737"/>
      </w:tblGrid>
      <w:tr w:rsidR="00C87859" w:rsidRPr="004610B6">
        <w:trPr>
          <w:trHeight w:val="227"/>
          <w:tblHeader/>
          <w:jc w:val="center"/>
        </w:trPr>
        <w:tc>
          <w:tcPr>
            <w:tcW w:w="10986" w:type="dxa"/>
            <w:gridSpan w:val="5"/>
            <w:tcBorders>
              <w:top w:val="single" w:sz="6" w:space="0" w:color="FFFFFF"/>
              <w:left w:val="single" w:sz="6" w:space="0" w:color="FFFFFF"/>
              <w:bottom w:val="single" w:sz="6" w:space="0" w:color="000000"/>
              <w:right w:val="single" w:sz="6" w:space="0" w:color="FFFFFF"/>
              <w:tl2br w:val="nil"/>
              <w:tr2bl w:val="nil"/>
            </w:tcBorders>
            <w:vAlign w:val="center"/>
          </w:tcPr>
          <w:p w:rsidR="00C87859" w:rsidRPr="004610B6" w:rsidRDefault="007B0CE0">
            <w:pPr>
              <w:spacing w:line="570" w:lineRule="exact"/>
              <w:jc w:val="left"/>
              <w:rPr>
                <w:rFonts w:ascii="仿宋_GB2312" w:eastAsia="仿宋_GB2312"/>
                <w:sz w:val="24"/>
                <w:szCs w:val="24"/>
              </w:rPr>
            </w:pPr>
            <w:r w:rsidRPr="004610B6">
              <w:rPr>
                <w:rFonts w:ascii="仿宋_GB2312" w:eastAsia="仿宋_GB2312" w:hAnsi="仿宋" w:cs="仿宋" w:hint="eastAsia"/>
                <w:sz w:val="24"/>
                <w:szCs w:val="24"/>
              </w:rPr>
              <w:t>287廊坊市广阳区人民政府信访局</w:t>
            </w:r>
          </w:p>
        </w:tc>
        <w:tc>
          <w:tcPr>
            <w:tcW w:w="2948" w:type="dxa"/>
            <w:gridSpan w:val="4"/>
            <w:tcBorders>
              <w:top w:val="single" w:sz="6" w:space="0" w:color="FFFFFF"/>
              <w:left w:val="single" w:sz="6" w:space="0" w:color="FFFFFF"/>
              <w:bottom w:val="single" w:sz="6" w:space="0" w:color="000000"/>
              <w:right w:val="single" w:sz="6" w:space="0" w:color="FFFFFF"/>
              <w:tl2br w:val="nil"/>
              <w:tr2bl w:val="nil"/>
            </w:tcBorders>
            <w:vAlign w:val="center"/>
          </w:tcPr>
          <w:p w:rsidR="00C87859" w:rsidRPr="004610B6" w:rsidRDefault="007B0CE0">
            <w:pPr>
              <w:spacing w:line="570" w:lineRule="exact"/>
              <w:jc w:val="right"/>
              <w:rPr>
                <w:rFonts w:ascii="仿宋_GB2312" w:eastAsia="仿宋_GB2312" w:hAnsi="仿宋" w:cs="仿宋"/>
                <w:sz w:val="24"/>
                <w:szCs w:val="24"/>
              </w:rPr>
            </w:pPr>
            <w:r w:rsidRPr="004610B6">
              <w:rPr>
                <w:rFonts w:ascii="仿宋_GB2312" w:eastAsia="仿宋_GB2312" w:hAnsi="仿宋" w:cs="仿宋" w:hint="eastAsia"/>
                <w:sz w:val="24"/>
                <w:szCs w:val="24"/>
              </w:rPr>
              <w:t>单位：万元</w:t>
            </w:r>
          </w:p>
        </w:tc>
      </w:tr>
      <w:tr w:rsidR="00C87859">
        <w:trPr>
          <w:cantSplit/>
          <w:trHeight w:val="227"/>
          <w:tblHeader/>
          <w:jc w:val="center"/>
        </w:trPr>
        <w:tc>
          <w:tcPr>
            <w:tcW w:w="2341"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职责活动</w:t>
            </w:r>
          </w:p>
        </w:tc>
        <w:tc>
          <w:tcPr>
            <w:tcW w:w="1276"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年度预算数</w:t>
            </w:r>
          </w:p>
        </w:tc>
        <w:tc>
          <w:tcPr>
            <w:tcW w:w="2976"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内容描述</w:t>
            </w:r>
          </w:p>
        </w:tc>
        <w:tc>
          <w:tcPr>
            <w:tcW w:w="2976"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绩效目标</w:t>
            </w:r>
          </w:p>
        </w:tc>
        <w:tc>
          <w:tcPr>
            <w:tcW w:w="141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绩效指标</w:t>
            </w:r>
          </w:p>
        </w:tc>
        <w:tc>
          <w:tcPr>
            <w:tcW w:w="2948"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评价标准</w:t>
            </w:r>
          </w:p>
        </w:tc>
      </w:tr>
      <w:tr w:rsidR="00C87859">
        <w:trPr>
          <w:cantSplit/>
          <w:trHeight w:val="227"/>
          <w:tblHeader/>
          <w:jc w:val="center"/>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141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优</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良</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中</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b/>
                <w:szCs w:val="21"/>
              </w:rPr>
            </w:pPr>
            <w:r w:rsidRPr="004610B6">
              <w:rPr>
                <w:rFonts w:ascii="仿宋_GB2312" w:eastAsia="仿宋_GB2312" w:hAnsi="仿宋" w:cs="仿宋" w:hint="eastAsia"/>
                <w:b/>
                <w:szCs w:val="21"/>
              </w:rPr>
              <w:t>差</w:t>
            </w:r>
          </w:p>
        </w:tc>
      </w:tr>
      <w:tr w:rsidR="00C87859">
        <w:trPr>
          <w:trHeight w:val="227"/>
          <w:jc w:val="center"/>
        </w:trPr>
        <w:tc>
          <w:tcPr>
            <w:tcW w:w="2341"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t>一、信访问题处理</w:t>
            </w:r>
          </w:p>
        </w:tc>
        <w:tc>
          <w:tcPr>
            <w:tcW w:w="12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负责正常来信来访、网上信访，非访、突发性及群体性事件的办理；提供相关服务保障；协助区委、区政府处理全市群众进京上访；信访事项督查、案件查办、复查复核、听证；负责区委区政府交办的其他事项。贯彻落实党的群众路线，执行中央、省委、市委关于群众工作的方针政策和决策部</w:t>
            </w:r>
            <w:r w:rsidRPr="004610B6">
              <w:rPr>
                <w:rFonts w:ascii="仿宋_GB2312" w:eastAsia="仿宋_GB2312" w:hAnsi="仿宋" w:cs="仿宋" w:hint="eastAsia"/>
                <w:szCs w:val="21"/>
              </w:rPr>
              <w:lastRenderedPageBreak/>
              <w:t>署；研究提出区委群众工作的总体规划和重要政策，拟定相关工作规范和措施；指导和协调全市各级各部门、社会团体、企事业单位的群众工作。</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lastRenderedPageBreak/>
              <w:t>畅通信访渠道，维护群众合法利益，解决群众合理诉求，促进社会和谐稳定。</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r>
      <w:tr w:rsidR="00C87859">
        <w:trPr>
          <w:cantSplit/>
          <w:trHeight w:val="227"/>
          <w:jc w:val="center"/>
        </w:trPr>
        <w:tc>
          <w:tcPr>
            <w:tcW w:w="2341"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lastRenderedPageBreak/>
              <w:t>1、信访业务办理</w:t>
            </w:r>
          </w:p>
        </w:tc>
        <w:tc>
          <w:tcPr>
            <w:tcW w:w="12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办理人民群众来信、来访、网上信访；处理全区群众进京、赴省上访；处置国家重大活动期间的正常上访和越级上访工作。</w:t>
            </w: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畅通信访渠道，提高信访事项办理质量和效率。</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widowControl/>
              <w:jc w:val="left"/>
              <w:textAlignment w:val="center"/>
              <w:rPr>
                <w:rFonts w:ascii="仿宋_GB2312" w:eastAsia="仿宋_GB2312" w:hAnsi="仿宋" w:cs="仿宋"/>
                <w:szCs w:val="21"/>
              </w:rPr>
            </w:pPr>
            <w:r w:rsidRPr="004610B6">
              <w:rPr>
                <w:rFonts w:ascii="仿宋_GB2312" w:eastAsia="仿宋_GB2312" w:hAnsi="仿宋" w:cs="仿宋" w:hint="eastAsia"/>
                <w:color w:val="000000"/>
                <w:kern w:val="0"/>
                <w:szCs w:val="21"/>
              </w:rPr>
              <w:t>信访事项受理及时率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75.00%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70%以下</w:t>
            </w:r>
          </w:p>
        </w:tc>
      </w:tr>
      <w:tr w:rsidR="00C87859">
        <w:trPr>
          <w:cantSplit/>
          <w:trHeight w:val="227"/>
          <w:jc w:val="center"/>
        </w:trPr>
        <w:tc>
          <w:tcPr>
            <w:tcW w:w="2341"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12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rPr>
                <w:rFonts w:ascii="仿宋_GB2312" w:eastAsia="仿宋_GB2312" w:hAnsi="仿宋" w:cs="仿宋"/>
                <w:szCs w:val="21"/>
              </w:rPr>
            </w:p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widowControl/>
              <w:jc w:val="left"/>
              <w:textAlignment w:val="center"/>
              <w:rPr>
                <w:rFonts w:ascii="仿宋_GB2312" w:eastAsia="仿宋_GB2312" w:hAnsi="仿宋" w:cs="仿宋"/>
                <w:szCs w:val="21"/>
              </w:rPr>
            </w:pPr>
            <w:r w:rsidRPr="004610B6">
              <w:rPr>
                <w:rFonts w:ascii="仿宋_GB2312" w:eastAsia="仿宋_GB2312" w:hAnsi="仿宋" w:cs="仿宋" w:hint="eastAsia"/>
                <w:color w:val="000000"/>
                <w:kern w:val="0"/>
                <w:szCs w:val="21"/>
              </w:rPr>
              <w:t>信访事项按期结案率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75.00%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70%以下</w:t>
            </w:r>
          </w:p>
        </w:tc>
      </w:tr>
      <w:tr w:rsidR="00C87859">
        <w:trPr>
          <w:cantSplit/>
          <w:trHeight w:val="227"/>
          <w:jc w:val="center"/>
        </w:trPr>
        <w:tc>
          <w:tcPr>
            <w:tcW w:w="2341"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rPr>
                <w:rFonts w:ascii="仿宋_GB2312" w:eastAsia="仿宋_GB2312" w:hAnsi="仿宋" w:cs="仿宋"/>
                <w:szCs w:val="21"/>
              </w:rPr>
            </w:pPr>
            <w:r w:rsidRPr="004610B6">
              <w:rPr>
                <w:rFonts w:ascii="仿宋_GB2312" w:eastAsia="仿宋_GB2312" w:hAnsi="仿宋" w:cs="仿宋" w:hint="eastAsia"/>
                <w:b/>
                <w:szCs w:val="21"/>
              </w:rPr>
              <w:t>2、处置非访、突发性及群体性事件</w:t>
            </w:r>
          </w:p>
        </w:tc>
        <w:tc>
          <w:tcPr>
            <w:tcW w:w="12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jc w:val="center"/>
              <w:rPr>
                <w:rFonts w:ascii="仿宋_GB2312" w:eastAsia="仿宋_GB2312" w:hAnsi="仿宋" w:cs="仿宋"/>
                <w:szCs w:val="21"/>
              </w:rPr>
            </w:pPr>
            <w:r w:rsidRPr="004610B6">
              <w:rPr>
                <w:rFonts w:ascii="仿宋_GB2312" w:eastAsia="仿宋_GB2312" w:hAnsi="仿宋" w:cs="仿宋" w:hint="eastAsia"/>
                <w:szCs w:val="21"/>
              </w:rPr>
              <w:t>2</w:t>
            </w: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协助公安机关维护重点区域的正常工作秩序；处置影响社会政治稳定的各类非访、突发性、</w:t>
            </w:r>
            <w:r w:rsidRPr="004610B6">
              <w:rPr>
                <w:rFonts w:ascii="仿宋_GB2312" w:eastAsia="仿宋_GB2312" w:hAnsi="仿宋" w:cs="仿宋" w:hint="eastAsia"/>
                <w:szCs w:val="21"/>
              </w:rPr>
              <w:lastRenderedPageBreak/>
              <w:t>群体性事件；负责组织协调、稳控劝返、服务保障我区在京、省非访工作。承办区联席办的日常工作。</w:t>
            </w: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rPr>
                <w:rFonts w:ascii="仿宋_GB2312" w:eastAsia="仿宋_GB2312" w:hAnsi="仿宋" w:cs="仿宋"/>
                <w:szCs w:val="21"/>
              </w:rPr>
            </w:pPr>
            <w:r w:rsidRPr="004610B6">
              <w:rPr>
                <w:rFonts w:ascii="仿宋_GB2312" w:eastAsia="仿宋_GB2312" w:hAnsi="仿宋" w:cs="仿宋" w:hint="eastAsia"/>
                <w:szCs w:val="21"/>
              </w:rPr>
              <w:lastRenderedPageBreak/>
              <w:t>妥善处置非正常访，维护社会大局和谐稳定。</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widowControl/>
              <w:jc w:val="left"/>
              <w:textAlignment w:val="center"/>
              <w:rPr>
                <w:rFonts w:ascii="仿宋_GB2312" w:eastAsia="仿宋_GB2312" w:hAnsi="仿宋" w:cs="仿宋"/>
                <w:szCs w:val="21"/>
              </w:rPr>
            </w:pPr>
            <w:r w:rsidRPr="004610B6">
              <w:rPr>
                <w:rFonts w:ascii="仿宋_GB2312" w:eastAsia="仿宋_GB2312" w:hAnsi="仿宋" w:cs="仿宋" w:hint="eastAsia"/>
                <w:color w:val="000000"/>
                <w:kern w:val="0"/>
                <w:szCs w:val="21"/>
              </w:rPr>
              <w:t>信访事项受理及时率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75.00%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70%以下</w:t>
            </w:r>
          </w:p>
        </w:tc>
      </w:tr>
      <w:tr w:rsidR="00C87859">
        <w:trPr>
          <w:trHeight w:val="227"/>
          <w:jc w:val="center"/>
        </w:trPr>
        <w:tc>
          <w:tcPr>
            <w:tcW w:w="2341"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b/>
                <w:szCs w:val="21"/>
              </w:rPr>
            </w:pPr>
          </w:p>
        </w:tc>
        <w:tc>
          <w:tcPr>
            <w:tcW w:w="12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widowControl/>
              <w:jc w:val="left"/>
              <w:textAlignment w:val="center"/>
              <w:rPr>
                <w:rFonts w:ascii="仿宋_GB2312" w:eastAsia="仿宋_GB2312" w:hAnsi="仿宋" w:cs="仿宋"/>
                <w:szCs w:val="21"/>
              </w:rPr>
            </w:pPr>
            <w:r w:rsidRPr="004610B6">
              <w:rPr>
                <w:rFonts w:ascii="仿宋_GB2312" w:eastAsia="仿宋_GB2312" w:hAnsi="仿宋" w:cs="仿宋" w:hint="eastAsia"/>
                <w:color w:val="000000"/>
                <w:kern w:val="0"/>
                <w:szCs w:val="21"/>
              </w:rPr>
              <w:t>信访事项按期结案率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w:t>
            </w:r>
            <w:r w:rsidRPr="004610B6">
              <w:rPr>
                <w:rFonts w:ascii="仿宋_GB2312" w:eastAsia="仿宋_GB2312" w:hAnsi="仿宋" w:cs="仿宋" w:hint="eastAsia"/>
                <w:szCs w:val="21"/>
              </w:rPr>
              <w:lastRenderedPageBreak/>
              <w:t>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lastRenderedPageBreak/>
              <w:t>75.0</w:t>
            </w:r>
            <w:r w:rsidRPr="004610B6">
              <w:rPr>
                <w:rFonts w:ascii="仿宋_GB2312" w:eastAsia="仿宋_GB2312" w:hAnsi="仿宋" w:cs="仿宋" w:hint="eastAsia"/>
                <w:szCs w:val="21"/>
              </w:rPr>
              <w:lastRenderedPageBreak/>
              <w:t>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lastRenderedPageBreak/>
              <w:t>70.0</w:t>
            </w:r>
            <w:r w:rsidRPr="004610B6">
              <w:rPr>
                <w:rFonts w:ascii="仿宋_GB2312" w:eastAsia="仿宋_GB2312" w:hAnsi="仿宋" w:cs="仿宋" w:hint="eastAsia"/>
                <w:szCs w:val="21"/>
              </w:rPr>
              <w:lastRenderedPageBreak/>
              <w:t>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lastRenderedPageBreak/>
              <w:t>70%</w:t>
            </w:r>
            <w:r w:rsidRPr="004610B6">
              <w:rPr>
                <w:rFonts w:ascii="仿宋_GB2312" w:eastAsia="仿宋_GB2312" w:hAnsi="仿宋" w:cs="仿宋" w:hint="eastAsia"/>
                <w:szCs w:val="21"/>
              </w:rPr>
              <w:lastRenderedPageBreak/>
              <w:t>以下</w:t>
            </w:r>
          </w:p>
        </w:tc>
      </w:tr>
      <w:tr w:rsidR="00C87859">
        <w:trPr>
          <w:trHeight w:val="227"/>
          <w:jc w:val="center"/>
        </w:trPr>
        <w:tc>
          <w:tcPr>
            <w:tcW w:w="2341"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lastRenderedPageBreak/>
              <w:t>3、信访事项督查、案件查办、复查复核、听证</w:t>
            </w:r>
          </w:p>
        </w:tc>
        <w:tc>
          <w:tcPr>
            <w:tcW w:w="12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负责指导全区信访督查、案件查办、复查复核、听证等工作，并对相关事项进行审核、上报；负责三跨三分离案件的办理工作；负责信访疑难案件的督办。</w:t>
            </w:r>
          </w:p>
        </w:tc>
        <w:tc>
          <w:tcPr>
            <w:tcW w:w="2976" w:type="dxa"/>
            <w:vMerge w:val="restart"/>
            <w:tcBorders>
              <w:top w:val="single" w:sz="6" w:space="0" w:color="000000"/>
              <w:left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推动重要信访事项解决，规范信访事项办理、终结，用好特殊疑难信访问题专项资金。</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信访案件复查率</w:t>
            </w:r>
          </w:p>
          <w:p w:rsidR="00C87859" w:rsidRPr="004610B6" w:rsidRDefault="00C87859">
            <w:pPr>
              <w:spacing w:line="570" w:lineRule="exact"/>
              <w:jc w:val="left"/>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20.00%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30.00%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80%以上</w:t>
            </w:r>
          </w:p>
        </w:tc>
      </w:tr>
      <w:tr w:rsidR="00C87859">
        <w:trPr>
          <w:trHeight w:val="227"/>
          <w:jc w:val="center"/>
        </w:trPr>
        <w:tc>
          <w:tcPr>
            <w:tcW w:w="2341" w:type="dxa"/>
            <w:vMerge/>
            <w:tcBorders>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b/>
                <w:szCs w:val="21"/>
              </w:rPr>
            </w:pPr>
          </w:p>
        </w:tc>
        <w:tc>
          <w:tcPr>
            <w:tcW w:w="1276" w:type="dxa"/>
            <w:vMerge/>
            <w:tcBorders>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解决特殊信访疑难问题件</w:t>
            </w:r>
          </w:p>
          <w:p w:rsidR="00C87859" w:rsidRPr="004610B6" w:rsidRDefault="00C87859">
            <w:pPr>
              <w:spacing w:line="570" w:lineRule="exact"/>
              <w:jc w:val="left"/>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4件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3件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2件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1件以下</w:t>
            </w:r>
          </w:p>
        </w:tc>
      </w:tr>
      <w:tr w:rsidR="00C87859">
        <w:trPr>
          <w:trHeight w:val="227"/>
          <w:jc w:val="center"/>
        </w:trPr>
        <w:tc>
          <w:tcPr>
            <w:tcW w:w="2341"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b/>
                <w:szCs w:val="21"/>
              </w:rPr>
            </w:pPr>
          </w:p>
        </w:tc>
        <w:tc>
          <w:tcPr>
            <w:tcW w:w="12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vMerge/>
            <w:tcBorders>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数督办信访案件数</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6件</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6件以下</w:t>
            </w:r>
          </w:p>
        </w:tc>
      </w:tr>
      <w:tr w:rsidR="00C87859">
        <w:trPr>
          <w:trHeight w:val="227"/>
          <w:jc w:val="center"/>
        </w:trPr>
        <w:tc>
          <w:tcPr>
            <w:tcW w:w="2341"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lastRenderedPageBreak/>
              <w:t>4、群众工作</w:t>
            </w:r>
          </w:p>
        </w:tc>
        <w:tc>
          <w:tcPr>
            <w:tcW w:w="12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负责宣传《信访条例》及有关法律法规，教育引导群众依法逐级反映问题，规范信访秩序，负责开通专门网站，为群众提供网上服务；负责市、县、乡三级网络视频接访系统的建设及全区信访维稳工作网上指挥调度协调。</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组织区直部门联合接访，协调区级领导开展接访、约访、下访活动，解释、解答群众咨询的相关问题，做好群众的思想疏导工作。</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领导干部公开接访</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90.00%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80.00%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70%以下</w:t>
            </w:r>
          </w:p>
        </w:tc>
      </w:tr>
      <w:tr w:rsidR="00C87859">
        <w:trPr>
          <w:trHeight w:val="227"/>
          <w:jc w:val="center"/>
        </w:trPr>
        <w:tc>
          <w:tcPr>
            <w:tcW w:w="2341"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t>二、信访事务管理</w:t>
            </w:r>
          </w:p>
        </w:tc>
        <w:tc>
          <w:tcPr>
            <w:tcW w:w="12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拟定信访工作方针政策；调研提出信访工作对策建议；督促检查和指导全市信访工作；机关日常工作。</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进一步提高信访干部业务能力；吸收可行建议，改进信访工作；提高信访信息化应用水平，实现办公自动化、网络化智能化。保障机要邮件正常传</w:t>
            </w:r>
            <w:r w:rsidRPr="004610B6">
              <w:rPr>
                <w:rFonts w:ascii="仿宋_GB2312" w:eastAsia="仿宋_GB2312" w:hAnsi="仿宋" w:cs="仿宋" w:hint="eastAsia"/>
                <w:szCs w:val="21"/>
              </w:rPr>
              <w:lastRenderedPageBreak/>
              <w:t>递和群众工作各项工作正常运转；确保各种会议正常召开。</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center"/>
              <w:rPr>
                <w:rFonts w:ascii="仿宋_GB2312" w:eastAsia="仿宋_GB2312" w:hAnsi="仿宋" w:cs="仿宋"/>
                <w:szCs w:val="21"/>
              </w:rPr>
            </w:pPr>
          </w:p>
        </w:tc>
      </w:tr>
      <w:tr w:rsidR="00C87859">
        <w:trPr>
          <w:cantSplit/>
          <w:trHeight w:val="227"/>
          <w:jc w:val="center"/>
        </w:trPr>
        <w:tc>
          <w:tcPr>
            <w:tcW w:w="2341"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b/>
                <w:szCs w:val="21"/>
              </w:rPr>
            </w:pPr>
            <w:r w:rsidRPr="004610B6">
              <w:rPr>
                <w:rFonts w:ascii="仿宋_GB2312" w:eastAsia="仿宋_GB2312" w:hAnsi="仿宋" w:cs="仿宋" w:hint="eastAsia"/>
                <w:b/>
                <w:szCs w:val="21"/>
              </w:rPr>
              <w:lastRenderedPageBreak/>
              <w:t xml:space="preserve">　　1、其他综合事务管理</w:t>
            </w:r>
          </w:p>
        </w:tc>
        <w:tc>
          <w:tcPr>
            <w:tcW w:w="12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C87859">
            <w:pPr>
              <w:spacing w:line="570" w:lineRule="exact"/>
              <w:jc w:val="left"/>
              <w:rPr>
                <w:rFonts w:ascii="仿宋_GB2312" w:eastAsia="仿宋_GB2312" w:hAnsi="仿宋" w:cs="仿宋"/>
                <w:szCs w:val="21"/>
              </w:rPr>
            </w:pP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拟定信访工作方针政策；调研提出信访工作对策建议；督促检查和指导全市信访工作；信访先进表彰、业务培训、人民建议征集；信息化建设与运维管理；机要邮件正常传递；各类。负责局机关行政后勤、资产、物业管理。</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进一步提高信访干部业务能力；吸收可行建议，改进信访工作；提高信访信息化应用水平，实现办公自动化、网络化智能化。保障机要邮件正常传递和群众工作各项工作正常运转；确保各种会议正常召开。</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left"/>
              <w:rPr>
                <w:rFonts w:ascii="仿宋_GB2312" w:eastAsia="仿宋_GB2312" w:hAnsi="仿宋" w:cs="仿宋"/>
                <w:szCs w:val="21"/>
              </w:rPr>
            </w:pPr>
            <w:r w:rsidRPr="004610B6">
              <w:rPr>
                <w:rFonts w:ascii="仿宋_GB2312" w:eastAsia="仿宋_GB2312" w:hAnsi="仿宋" w:cs="仿宋" w:hint="eastAsia"/>
                <w:szCs w:val="21"/>
              </w:rPr>
              <w:t>其他各项综合实务工作完成率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100.00%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95.00%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90.00%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rsidR="00C87859" w:rsidRPr="004610B6" w:rsidRDefault="007B0CE0">
            <w:pPr>
              <w:spacing w:line="570" w:lineRule="exact"/>
              <w:jc w:val="center"/>
              <w:rPr>
                <w:rFonts w:ascii="仿宋_GB2312" w:eastAsia="仿宋_GB2312" w:hAnsi="仿宋" w:cs="仿宋"/>
                <w:szCs w:val="21"/>
              </w:rPr>
            </w:pPr>
            <w:r w:rsidRPr="004610B6">
              <w:rPr>
                <w:rFonts w:ascii="仿宋_GB2312" w:eastAsia="仿宋_GB2312" w:hAnsi="仿宋" w:cs="仿宋" w:hint="eastAsia"/>
                <w:szCs w:val="21"/>
              </w:rPr>
              <w:t>90%以下</w:t>
            </w:r>
          </w:p>
        </w:tc>
      </w:tr>
      <w:bookmarkEnd w:id="1"/>
    </w:tbl>
    <w:p w:rsidR="00C87859" w:rsidRDefault="00C87859">
      <w:pPr>
        <w:spacing w:line="584" w:lineRule="exact"/>
        <w:jc w:val="left"/>
        <w:outlineLvl w:val="0"/>
        <w:rPr>
          <w:rFonts w:ascii="仿宋" w:eastAsia="仿宋" w:hAnsi="仿宋" w:cs="仿宋"/>
          <w:szCs w:val="21"/>
        </w:rPr>
        <w:sectPr w:rsidR="00C87859">
          <w:footerReference w:type="default" r:id="rId8"/>
          <w:footerReference w:type="first" r:id="rId9"/>
          <w:pgSz w:w="16839" w:h="11907" w:orient="landscape"/>
          <w:pgMar w:top="1020" w:right="1361" w:bottom="1020" w:left="1361" w:header="851" w:footer="992" w:gutter="0"/>
          <w:cols w:space="425"/>
          <w:titlePg/>
          <w:docGrid w:type="lines" w:linePitch="312"/>
        </w:sectPr>
      </w:pPr>
    </w:p>
    <w:p w:rsidR="00C87859" w:rsidRDefault="007B0CE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C87859" w:rsidRDefault="007B0CE0">
      <w:pPr>
        <w:spacing w:line="584" w:lineRule="exact"/>
        <w:ind w:firstLineChars="200" w:firstLine="640"/>
        <w:outlineLvl w:val="0"/>
        <w:rPr>
          <w:rFonts w:ascii="Times New Roman" w:eastAsia="仿宋_GB2312" w:hAnsi="Times New Roman" w:cs="Times New Roman"/>
          <w:sz w:val="32"/>
          <w:szCs w:val="24"/>
        </w:rPr>
      </w:pPr>
      <w:bookmarkStart w:id="3" w:name="_Toc471398468"/>
      <w:r>
        <w:rPr>
          <w:rFonts w:ascii="Times New Roman" w:eastAsia="仿宋_GB2312" w:hAnsi="Times New Roman" w:cs="Times New Roman"/>
          <w:sz w:val="32"/>
          <w:szCs w:val="24"/>
        </w:rPr>
        <w:t>201</w:t>
      </w:r>
      <w:r>
        <w:rPr>
          <w:rFonts w:ascii="Times New Roman" w:eastAsia="仿宋_GB2312" w:hAnsi="Times New Roman" w:cs="Times New Roman" w:hint="eastAsia"/>
          <w:sz w:val="32"/>
          <w:szCs w:val="24"/>
        </w:rPr>
        <w:t>9</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C87859" w:rsidRDefault="007B0CE0">
      <w:pPr>
        <w:spacing w:line="584" w:lineRule="exact"/>
        <w:jc w:val="center"/>
        <w:outlineLvl w:val="0"/>
        <w:rPr>
          <w:rFonts w:ascii="Times New Roman" w:eastAsia="仿宋_GB2312" w:hAnsi="Times New Roman" w:cs="Times New Roman"/>
          <w:sz w:val="32"/>
        </w:rPr>
      </w:pPr>
      <w:bookmarkStart w:id="4" w:name="_Toc504489153"/>
      <w:bookmarkEnd w:id="3"/>
      <w:r>
        <w:rPr>
          <w:rFonts w:ascii="Times New Roman" w:eastAsia="仿宋_GB2312" w:hAnsi="Times New Roman" w:cs="Times New Roman"/>
          <w:sz w:val="32"/>
        </w:rPr>
        <w:t>部门政府采购预算</w:t>
      </w:r>
      <w:bookmarkEnd w:id="4"/>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6"/>
        <w:gridCol w:w="1057"/>
        <w:gridCol w:w="932"/>
        <w:gridCol w:w="1372"/>
        <w:gridCol w:w="720"/>
        <w:gridCol w:w="740"/>
        <w:gridCol w:w="950"/>
        <w:gridCol w:w="956"/>
        <w:gridCol w:w="956"/>
        <w:gridCol w:w="956"/>
        <w:gridCol w:w="790"/>
        <w:gridCol w:w="924"/>
        <w:gridCol w:w="929"/>
        <w:gridCol w:w="880"/>
      </w:tblGrid>
      <w:tr w:rsidR="00C87859" w:rsidRPr="004610B6">
        <w:trPr>
          <w:tblHeader/>
          <w:jc w:val="center"/>
        </w:trPr>
        <w:tc>
          <w:tcPr>
            <w:tcW w:w="8177" w:type="dxa"/>
            <w:gridSpan w:val="7"/>
            <w:tcBorders>
              <w:top w:val="single" w:sz="6" w:space="0" w:color="FFFFFF"/>
              <w:left w:val="single" w:sz="6" w:space="0" w:color="FFFFFF"/>
              <w:right w:val="single" w:sz="6" w:space="0" w:color="FFFFFF"/>
            </w:tcBorders>
            <w:shd w:val="clear" w:color="auto" w:fill="auto"/>
            <w:vAlign w:val="center"/>
          </w:tcPr>
          <w:p w:rsidR="00C87859" w:rsidRPr="004610B6" w:rsidRDefault="004610B6">
            <w:pPr>
              <w:spacing w:line="584" w:lineRule="exact"/>
              <w:jc w:val="left"/>
              <w:rPr>
                <w:rFonts w:ascii="仿宋_GB2312" w:eastAsia="仿宋_GB2312" w:hAnsi="Times New Roman" w:cs="Times New Roman"/>
                <w:sz w:val="24"/>
              </w:rPr>
            </w:pPr>
            <w:r w:rsidRPr="004610B6">
              <w:rPr>
                <w:rFonts w:ascii="仿宋_GB2312" w:eastAsia="仿宋_GB2312" w:hAnsi="Times New Roman" w:cs="Times New Roman" w:hint="eastAsia"/>
                <w:sz w:val="24"/>
              </w:rPr>
              <w:t>287</w:t>
            </w:r>
            <w:r w:rsidR="007B0CE0" w:rsidRPr="004610B6">
              <w:rPr>
                <w:rFonts w:ascii="仿宋_GB2312" w:eastAsia="仿宋_GB2312" w:hAnsi="Times New Roman" w:cs="Times New Roman" w:hint="eastAsia"/>
                <w:sz w:val="24"/>
              </w:rPr>
              <w:t>廊坊市广阳区</w:t>
            </w:r>
            <w:r w:rsidRPr="004610B6">
              <w:rPr>
                <w:rFonts w:ascii="仿宋_GB2312" w:eastAsia="仿宋_GB2312" w:hAnsi="Times New Roman" w:cs="Times New Roman" w:hint="eastAsia"/>
                <w:sz w:val="24"/>
              </w:rPr>
              <w:t>人民政府信访局</w:t>
            </w:r>
          </w:p>
        </w:tc>
        <w:tc>
          <w:tcPr>
            <w:tcW w:w="6391" w:type="dxa"/>
            <w:gridSpan w:val="7"/>
            <w:tcBorders>
              <w:top w:val="single" w:sz="6" w:space="0" w:color="FFFFFF"/>
              <w:left w:val="single" w:sz="6" w:space="0" w:color="FFFFFF"/>
              <w:right w:val="single" w:sz="6" w:space="0" w:color="FFFFFF"/>
            </w:tcBorders>
            <w:shd w:val="clear" w:color="auto" w:fill="auto"/>
            <w:vAlign w:val="center"/>
          </w:tcPr>
          <w:p w:rsidR="00C87859" w:rsidRPr="004610B6" w:rsidRDefault="007B0CE0">
            <w:pPr>
              <w:spacing w:line="584" w:lineRule="exact"/>
              <w:jc w:val="right"/>
              <w:rPr>
                <w:rFonts w:ascii="仿宋_GB2312" w:eastAsia="仿宋_GB2312" w:hAnsi="Times New Roman" w:cs="Times New Roman"/>
                <w:sz w:val="24"/>
              </w:rPr>
            </w:pPr>
            <w:r w:rsidRPr="004610B6">
              <w:rPr>
                <w:rFonts w:ascii="仿宋_GB2312" w:eastAsia="仿宋_GB2312" w:hAnsi="Times New Roman" w:cs="Times New Roman" w:hint="eastAsia"/>
                <w:sz w:val="24"/>
              </w:rPr>
              <w:t>单位：万元</w:t>
            </w:r>
          </w:p>
        </w:tc>
      </w:tr>
      <w:tr w:rsidR="00C87859">
        <w:trPr>
          <w:tblHeader/>
          <w:jc w:val="center"/>
        </w:trPr>
        <w:tc>
          <w:tcPr>
            <w:tcW w:w="3463" w:type="dxa"/>
            <w:gridSpan w:val="2"/>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932"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1372"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720"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数量单位</w:t>
            </w:r>
          </w:p>
        </w:tc>
        <w:tc>
          <w:tcPr>
            <w:tcW w:w="740"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950"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6391" w:type="dxa"/>
            <w:gridSpan w:val="7"/>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p>
        </w:tc>
      </w:tr>
      <w:tr w:rsidR="00C87859">
        <w:trPr>
          <w:tblHeader/>
          <w:jc w:val="center"/>
        </w:trPr>
        <w:tc>
          <w:tcPr>
            <w:tcW w:w="2406"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项目名称</w:t>
            </w:r>
          </w:p>
        </w:tc>
        <w:tc>
          <w:tcPr>
            <w:tcW w:w="1057"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预算资金</w:t>
            </w:r>
          </w:p>
        </w:tc>
        <w:tc>
          <w:tcPr>
            <w:tcW w:w="932"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1372"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72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74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5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56"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总计</w:t>
            </w:r>
          </w:p>
        </w:tc>
        <w:tc>
          <w:tcPr>
            <w:tcW w:w="4555" w:type="dxa"/>
            <w:gridSpan w:val="5"/>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当年部门预算安排资金</w:t>
            </w:r>
          </w:p>
        </w:tc>
        <w:tc>
          <w:tcPr>
            <w:tcW w:w="880" w:type="dxa"/>
            <w:vMerge w:val="restart"/>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其他渠道资金</w:t>
            </w:r>
          </w:p>
        </w:tc>
      </w:tr>
      <w:tr w:rsidR="00C87859">
        <w:trPr>
          <w:tblHeader/>
          <w:jc w:val="center"/>
        </w:trPr>
        <w:tc>
          <w:tcPr>
            <w:tcW w:w="2406"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1057"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32"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1372"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72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74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5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56"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c>
          <w:tcPr>
            <w:tcW w:w="956"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956"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790"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924"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929"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其他来源收入</w:t>
            </w:r>
          </w:p>
        </w:tc>
        <w:tc>
          <w:tcPr>
            <w:tcW w:w="880" w:type="dxa"/>
            <w:vMerge/>
            <w:shd w:val="clear" w:color="auto" w:fill="auto"/>
            <w:vAlign w:val="center"/>
          </w:tcPr>
          <w:p w:rsidR="00C87859" w:rsidRDefault="00C87859">
            <w:pPr>
              <w:spacing w:line="584" w:lineRule="exact"/>
              <w:jc w:val="left"/>
              <w:outlineLvl w:val="0"/>
              <w:rPr>
                <w:rFonts w:ascii="Times New Roman" w:eastAsia="仿宋_GB2312" w:hAnsi="Times New Roman" w:cs="Times New Roman"/>
              </w:rPr>
            </w:pPr>
          </w:p>
        </w:tc>
      </w:tr>
      <w:tr w:rsidR="00C87859">
        <w:trPr>
          <w:jc w:val="center"/>
        </w:trPr>
        <w:tc>
          <w:tcPr>
            <w:tcW w:w="2406" w:type="dxa"/>
            <w:shd w:val="clear" w:color="auto" w:fill="auto"/>
            <w:vAlign w:val="center"/>
          </w:tcPr>
          <w:p w:rsidR="00C87859" w:rsidRDefault="007B0CE0">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r>
      <w:tr w:rsidR="00C87859">
        <w:trPr>
          <w:jc w:val="center"/>
        </w:trPr>
        <w:tc>
          <w:tcPr>
            <w:tcW w:w="2406" w:type="dxa"/>
            <w:shd w:val="clear" w:color="auto" w:fill="auto"/>
            <w:vAlign w:val="center"/>
          </w:tcPr>
          <w:p w:rsidR="00C87859" w:rsidRDefault="00C87859">
            <w:pPr>
              <w:spacing w:line="584" w:lineRule="exact"/>
              <w:jc w:val="center"/>
              <w:rPr>
                <w:rFonts w:ascii="Times New Roman" w:eastAsia="仿宋_GB2312" w:hAnsi="Times New Roman" w:cs="Times New Roman"/>
                <w:b/>
              </w:rPr>
            </w:pP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b/>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b/>
              </w:rPr>
            </w:pPr>
          </w:p>
        </w:tc>
      </w:tr>
      <w:tr w:rsidR="00C87859">
        <w:trPr>
          <w:jc w:val="center"/>
        </w:trPr>
        <w:tc>
          <w:tcPr>
            <w:tcW w:w="2406"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r>
      <w:tr w:rsidR="00C87859">
        <w:trPr>
          <w:jc w:val="center"/>
        </w:trPr>
        <w:tc>
          <w:tcPr>
            <w:tcW w:w="2406"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r>
      <w:tr w:rsidR="00C87859">
        <w:trPr>
          <w:jc w:val="center"/>
        </w:trPr>
        <w:tc>
          <w:tcPr>
            <w:tcW w:w="2406"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r>
      <w:tr w:rsidR="00C87859">
        <w:trPr>
          <w:jc w:val="center"/>
        </w:trPr>
        <w:tc>
          <w:tcPr>
            <w:tcW w:w="2406"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057"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3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1372"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20" w:type="dxa"/>
            <w:shd w:val="clear" w:color="auto" w:fill="auto"/>
            <w:vAlign w:val="center"/>
          </w:tcPr>
          <w:p w:rsidR="00C87859" w:rsidRDefault="00C87859">
            <w:pPr>
              <w:spacing w:line="584" w:lineRule="exact"/>
              <w:jc w:val="left"/>
              <w:rPr>
                <w:rFonts w:ascii="Times New Roman" w:eastAsia="仿宋_GB2312" w:hAnsi="Times New Roman" w:cs="Times New Roman"/>
              </w:rPr>
            </w:pPr>
          </w:p>
        </w:tc>
        <w:tc>
          <w:tcPr>
            <w:tcW w:w="74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56"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79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4"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929"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c>
          <w:tcPr>
            <w:tcW w:w="880" w:type="dxa"/>
            <w:shd w:val="clear" w:color="auto" w:fill="auto"/>
            <w:vAlign w:val="center"/>
          </w:tcPr>
          <w:p w:rsidR="00C87859" w:rsidRDefault="00C87859">
            <w:pPr>
              <w:spacing w:line="584" w:lineRule="exact"/>
              <w:jc w:val="right"/>
              <w:rPr>
                <w:rFonts w:ascii="Times New Roman" w:eastAsia="仿宋_GB2312" w:hAnsi="Times New Roman" w:cs="Times New Roman"/>
              </w:rPr>
            </w:pPr>
          </w:p>
        </w:tc>
      </w:tr>
    </w:tbl>
    <w:p w:rsidR="00C87859" w:rsidRDefault="00C87859">
      <w:pPr>
        <w:spacing w:line="584" w:lineRule="exact"/>
        <w:jc w:val="left"/>
        <w:outlineLvl w:val="0"/>
        <w:rPr>
          <w:rFonts w:ascii="Times New Roman" w:eastAsia="仿宋_GB2312" w:hAnsi="Times New Roman" w:cs="Times New Roman"/>
        </w:rPr>
        <w:sectPr w:rsidR="00C87859">
          <w:pgSz w:w="16839" w:h="11907" w:orient="landscape"/>
          <w:pgMar w:top="1361" w:right="1020" w:bottom="1361" w:left="1020" w:header="851" w:footer="992" w:gutter="0"/>
          <w:cols w:space="425"/>
          <w:docGrid w:type="lines" w:linePitch="312"/>
        </w:sectPr>
      </w:pPr>
    </w:p>
    <w:p w:rsidR="00C87859" w:rsidRDefault="007B0CE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C87859" w:rsidRDefault="007B0CE0" w:rsidP="00862FE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广阳区</w:t>
      </w:r>
      <w:r w:rsidR="004610B6">
        <w:rPr>
          <w:rFonts w:ascii="Times New Roman" w:eastAsia="仿宋_GB2312" w:hAnsi="Times New Roman" w:cs="Times New Roman" w:hint="eastAsia"/>
          <w:sz w:val="32"/>
          <w:szCs w:val="32"/>
        </w:rPr>
        <w:t>人民政府</w:t>
      </w:r>
      <w:r>
        <w:rPr>
          <w:rFonts w:ascii="Times New Roman" w:eastAsia="仿宋_GB2312" w:hAnsi="Times New Roman" w:cs="Times New Roman" w:hint="eastAsia"/>
          <w:sz w:val="32"/>
          <w:szCs w:val="32"/>
        </w:rPr>
        <w:t>信访局</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79.99</w:t>
      </w:r>
      <w:r>
        <w:rPr>
          <w:rFonts w:ascii="Times New Roman" w:eastAsia="仿宋_GB2312" w:hAnsi="Times New Roman" w:cs="Times New Roman"/>
          <w:sz w:val="32"/>
          <w:szCs w:val="32"/>
        </w:rPr>
        <w:t>万元，</w:t>
      </w:r>
      <w:r w:rsidR="004610B6" w:rsidRPr="0090563F">
        <w:rPr>
          <w:rFonts w:ascii="Times New Roman" w:eastAsia="仿宋_GB2312" w:hAnsi="Times New Roman" w:cs="Times New Roman"/>
          <w:sz w:val="32"/>
          <w:szCs w:val="32"/>
        </w:rPr>
        <w:t>本年度我部门</w:t>
      </w:r>
      <w:r w:rsidR="0050092E">
        <w:rPr>
          <w:rFonts w:ascii="Times New Roman" w:eastAsia="仿宋_GB2312" w:hAnsi="Times New Roman" w:cs="Times New Roman"/>
          <w:sz w:val="32"/>
          <w:szCs w:val="32"/>
        </w:rPr>
        <w:t>无</w:t>
      </w:r>
      <w:r w:rsidR="004610B6" w:rsidRPr="0090563F">
        <w:rPr>
          <w:rFonts w:ascii="Times New Roman" w:eastAsia="仿宋_GB2312" w:hAnsi="Times New Roman" w:cs="Times New Roman"/>
          <w:sz w:val="32"/>
          <w:szCs w:val="32"/>
        </w:rPr>
        <w:t>拟购置固定资产</w:t>
      </w:r>
      <w:r w:rsidR="0050092E">
        <w:rPr>
          <w:rFonts w:ascii="Times New Roman" w:eastAsia="仿宋_GB2312" w:hAnsi="Times New Roman" w:cs="Times New Roman"/>
          <w:sz w:val="32"/>
          <w:szCs w:val="32"/>
        </w:rPr>
        <w:t>。</w:t>
      </w:r>
      <w:r w:rsidR="004610B6" w:rsidRPr="0090563F">
        <w:rPr>
          <w:rFonts w:ascii="Times New Roman" w:eastAsia="仿宋_GB2312" w:hAnsi="Times New Roman" w:cs="Times New Roman"/>
          <w:sz w:val="32"/>
          <w:szCs w:val="32"/>
        </w:rPr>
        <w:t>详见下表。</w:t>
      </w:r>
    </w:p>
    <w:tbl>
      <w:tblPr>
        <w:tblW w:w="13482" w:type="dxa"/>
        <w:tblInd w:w="93" w:type="dxa"/>
        <w:tblLayout w:type="fixed"/>
        <w:tblLook w:val="04A0"/>
      </w:tblPr>
      <w:tblGrid>
        <w:gridCol w:w="5224"/>
        <w:gridCol w:w="3155"/>
        <w:gridCol w:w="5103"/>
      </w:tblGrid>
      <w:tr w:rsidR="00C87859">
        <w:trPr>
          <w:trHeight w:val="705"/>
        </w:trPr>
        <w:tc>
          <w:tcPr>
            <w:tcW w:w="13482" w:type="dxa"/>
            <w:gridSpan w:val="3"/>
            <w:tcBorders>
              <w:top w:val="nil"/>
              <w:left w:val="nil"/>
              <w:bottom w:val="nil"/>
              <w:right w:val="nil"/>
            </w:tcBorders>
            <w:shd w:val="clear" w:color="auto" w:fill="auto"/>
            <w:noWrap/>
            <w:vAlign w:val="center"/>
          </w:tcPr>
          <w:p w:rsidR="00C87859" w:rsidRDefault="007B0CE0">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w:t>
            </w:r>
            <w:r w:rsidR="0050092E">
              <w:rPr>
                <w:rFonts w:ascii="Times New Roman" w:eastAsia="仿宋_GB2312" w:hAnsi="Times New Roman" w:cs="Times New Roman" w:hint="eastAsia"/>
                <w:b/>
                <w:bCs/>
                <w:kern w:val="0"/>
                <w:sz w:val="32"/>
                <w:szCs w:val="32"/>
              </w:rPr>
              <w:t>区</w:t>
            </w:r>
            <w:r>
              <w:rPr>
                <w:rFonts w:ascii="Times New Roman" w:eastAsia="仿宋_GB2312" w:hAnsi="Times New Roman" w:cs="Times New Roman"/>
                <w:b/>
                <w:bCs/>
                <w:kern w:val="0"/>
                <w:sz w:val="32"/>
                <w:szCs w:val="32"/>
              </w:rPr>
              <w:t>直部门固定资产占用情况表</w:t>
            </w:r>
          </w:p>
        </w:tc>
      </w:tr>
      <w:tr w:rsidR="00C87859">
        <w:trPr>
          <w:trHeight w:val="510"/>
        </w:trPr>
        <w:tc>
          <w:tcPr>
            <w:tcW w:w="8379" w:type="dxa"/>
            <w:gridSpan w:val="2"/>
            <w:tcBorders>
              <w:top w:val="nil"/>
              <w:left w:val="nil"/>
              <w:bottom w:val="nil"/>
              <w:right w:val="nil"/>
            </w:tcBorders>
            <w:shd w:val="clear" w:color="auto" w:fill="auto"/>
            <w:noWrap/>
            <w:vAlign w:val="center"/>
          </w:tcPr>
          <w:p w:rsidR="00C87859" w:rsidRDefault="007B0CE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广阳区</w:t>
            </w:r>
            <w:r w:rsidR="0050092E">
              <w:rPr>
                <w:rFonts w:ascii="Times New Roman" w:eastAsia="仿宋_GB2312" w:hAnsi="Times New Roman" w:cs="Times New Roman" w:hint="eastAsia"/>
                <w:kern w:val="0"/>
                <w:sz w:val="22"/>
              </w:rPr>
              <w:t>人民政府</w:t>
            </w:r>
            <w:r>
              <w:rPr>
                <w:rFonts w:ascii="Times New Roman" w:eastAsia="仿宋_GB2312" w:hAnsi="Times New Roman" w:cs="Times New Roman" w:hint="eastAsia"/>
                <w:kern w:val="0"/>
                <w:sz w:val="22"/>
              </w:rPr>
              <w:t>信访局</w:t>
            </w:r>
          </w:p>
        </w:tc>
        <w:tc>
          <w:tcPr>
            <w:tcW w:w="5103" w:type="dxa"/>
            <w:tcBorders>
              <w:top w:val="nil"/>
              <w:left w:val="nil"/>
              <w:bottom w:val="nil"/>
              <w:right w:val="nil"/>
            </w:tcBorders>
            <w:shd w:val="clear" w:color="auto" w:fill="auto"/>
            <w:noWrap/>
            <w:vAlign w:val="center"/>
          </w:tcPr>
          <w:p w:rsidR="00C87859" w:rsidRDefault="007B0CE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8</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C87859">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859" w:rsidRDefault="007B0CE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C87859" w:rsidRDefault="007B0CE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C87859" w:rsidRDefault="007B0CE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87859" w:rsidRPr="0050092E" w:rsidRDefault="007B0CE0">
            <w:pPr>
              <w:widowControl/>
              <w:spacing w:line="584" w:lineRule="exact"/>
              <w:jc w:val="center"/>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7B0CE0">
            <w:pPr>
              <w:spacing w:line="584" w:lineRule="exact"/>
              <w:jc w:val="center"/>
              <w:rPr>
                <w:rFonts w:ascii="仿宋_GB2312" w:eastAsia="仿宋_GB2312" w:hAnsi="Times New Roman" w:cs="Times New Roman"/>
                <w:sz w:val="22"/>
              </w:rPr>
            </w:pPr>
            <w:r w:rsidRPr="0050092E">
              <w:rPr>
                <w:rFonts w:ascii="仿宋_GB2312" w:eastAsia="仿宋_GB2312" w:hAnsi="Times New Roman" w:cs="Times New Roman" w:hint="eastAsia"/>
                <w:sz w:val="22"/>
              </w:rPr>
              <w:t>——</w:t>
            </w: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7B0CE0">
            <w:pPr>
              <w:spacing w:line="584" w:lineRule="exact"/>
              <w:jc w:val="center"/>
              <w:rPr>
                <w:rFonts w:ascii="仿宋_GB2312" w:eastAsia="仿宋_GB2312" w:hAnsi="Times New Roman" w:cs="Times New Roman"/>
                <w:sz w:val="22"/>
              </w:rPr>
            </w:pPr>
            <w:r w:rsidRPr="0050092E">
              <w:rPr>
                <w:rFonts w:ascii="仿宋_GB2312" w:eastAsia="仿宋_GB2312" w:hAnsi="Times New Roman" w:cs="Times New Roman" w:hint="eastAsia"/>
                <w:sz w:val="22"/>
              </w:rPr>
              <w:t>79.99</w:t>
            </w: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87859" w:rsidRPr="0050092E" w:rsidRDefault="007B0CE0">
            <w:pPr>
              <w:widowControl/>
              <w:spacing w:line="584" w:lineRule="exact"/>
              <w:jc w:val="left"/>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87859" w:rsidRPr="0050092E" w:rsidRDefault="007B0CE0">
            <w:pPr>
              <w:widowControl/>
              <w:spacing w:line="584" w:lineRule="exact"/>
              <w:jc w:val="left"/>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87859" w:rsidRPr="0050092E" w:rsidRDefault="007B0CE0">
            <w:pPr>
              <w:widowControl/>
              <w:spacing w:line="584" w:lineRule="exact"/>
              <w:jc w:val="left"/>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7B0CE0">
            <w:pPr>
              <w:spacing w:line="584" w:lineRule="exact"/>
              <w:jc w:val="center"/>
              <w:rPr>
                <w:rFonts w:ascii="仿宋_GB2312" w:eastAsia="仿宋_GB2312" w:hAnsi="Times New Roman" w:cs="Times New Roman"/>
                <w:sz w:val="22"/>
              </w:rPr>
            </w:pPr>
            <w:r w:rsidRPr="0050092E">
              <w:rPr>
                <w:rFonts w:ascii="仿宋_GB2312"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7B0CE0">
            <w:pPr>
              <w:spacing w:line="584" w:lineRule="exact"/>
              <w:jc w:val="center"/>
              <w:rPr>
                <w:rFonts w:ascii="仿宋_GB2312" w:eastAsia="仿宋_GB2312" w:hAnsi="Times New Roman" w:cs="Times New Roman"/>
                <w:sz w:val="22"/>
              </w:rPr>
            </w:pPr>
            <w:r w:rsidRPr="0050092E">
              <w:rPr>
                <w:rFonts w:ascii="仿宋_GB2312" w:eastAsia="仿宋_GB2312" w:hAnsi="Times New Roman" w:cs="Times New Roman" w:hint="eastAsia"/>
                <w:sz w:val="22"/>
              </w:rPr>
              <w:t>28.68</w:t>
            </w: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C87859" w:rsidRPr="0050092E" w:rsidRDefault="007B0CE0">
            <w:pPr>
              <w:widowControl/>
              <w:spacing w:line="584" w:lineRule="exact"/>
              <w:jc w:val="left"/>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r>
      <w:tr w:rsidR="00C8785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87859" w:rsidRPr="0050092E" w:rsidRDefault="007B0CE0">
            <w:pPr>
              <w:widowControl/>
              <w:spacing w:line="584" w:lineRule="exact"/>
              <w:jc w:val="left"/>
              <w:rPr>
                <w:rFonts w:ascii="仿宋_GB2312" w:eastAsia="仿宋_GB2312" w:hAnsi="Times New Roman" w:cs="Times New Roman"/>
                <w:kern w:val="0"/>
                <w:sz w:val="22"/>
              </w:rPr>
            </w:pPr>
            <w:r w:rsidRPr="0050092E">
              <w:rPr>
                <w:rFonts w:ascii="仿宋_GB2312" w:eastAsia="仿宋_GB2312" w:hAnsi="Times New Roman" w:cs="Times New Roman"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C87859" w:rsidRPr="0050092E" w:rsidRDefault="00C87859">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87859" w:rsidRPr="0050092E" w:rsidRDefault="007B0CE0">
            <w:pPr>
              <w:spacing w:line="584" w:lineRule="exact"/>
              <w:jc w:val="center"/>
              <w:rPr>
                <w:rFonts w:ascii="仿宋_GB2312" w:eastAsia="仿宋_GB2312" w:hAnsi="Times New Roman" w:cs="Times New Roman"/>
                <w:sz w:val="22"/>
              </w:rPr>
            </w:pPr>
            <w:r w:rsidRPr="0050092E">
              <w:rPr>
                <w:rFonts w:ascii="仿宋_GB2312" w:eastAsia="仿宋_GB2312" w:hAnsi="Times New Roman" w:cs="Times New Roman" w:hint="eastAsia"/>
                <w:sz w:val="22"/>
              </w:rPr>
              <w:t>51.31</w:t>
            </w:r>
          </w:p>
        </w:tc>
      </w:tr>
    </w:tbl>
    <w:p w:rsidR="00862FE2" w:rsidRDefault="00862FE2" w:rsidP="0050092E">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862FE2" w:rsidRDefault="00862FE2" w:rsidP="0050092E">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87859" w:rsidRDefault="007B0CE0" w:rsidP="0050092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八、名词解释</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C87859" w:rsidRDefault="007B0CE0">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C87859" w:rsidRDefault="007B0CE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C87859" w:rsidRDefault="007B0CE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C87859" w:rsidRPr="0050092E" w:rsidRDefault="0050092E" w:rsidP="0050092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C87859" w:rsidRPr="0050092E" w:rsidSect="00C87859">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DC" w:rsidRDefault="005421DC" w:rsidP="00C87859">
      <w:r>
        <w:separator/>
      </w:r>
    </w:p>
  </w:endnote>
  <w:endnote w:type="continuationSeparator" w:id="1">
    <w:p w:rsidR="005421DC" w:rsidRDefault="005421DC" w:rsidP="00C87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C87859" w:rsidRDefault="007B0CE0">
        <w:pPr>
          <w:pStyle w:val="a4"/>
          <w:jc w:val="center"/>
        </w:pPr>
        <w:r>
          <w:rPr>
            <w:rFonts w:hint="eastAsia"/>
          </w:rPr>
          <w:t>-</w:t>
        </w:r>
        <w:r w:rsidR="00BF5DB3" w:rsidRPr="00BF5DB3">
          <w:fldChar w:fldCharType="begin"/>
        </w:r>
        <w:r>
          <w:instrText>PAGE   \* MERGEFORMAT</w:instrText>
        </w:r>
        <w:r w:rsidR="00BF5DB3" w:rsidRPr="00BF5DB3">
          <w:fldChar w:fldCharType="separate"/>
        </w:r>
        <w:r w:rsidR="000C0DED" w:rsidRPr="000C0DED">
          <w:rPr>
            <w:noProof/>
            <w:lang w:val="zh-CN"/>
          </w:rPr>
          <w:t>2</w:t>
        </w:r>
        <w:r w:rsidR="00BF5DB3">
          <w:rPr>
            <w:lang w:val="zh-CN"/>
          </w:rPr>
          <w:fldChar w:fldCharType="end"/>
        </w:r>
        <w:r>
          <w:rPr>
            <w:rFonts w:hint="eastAsia"/>
          </w:rPr>
          <w:t>-</w:t>
        </w:r>
      </w:p>
    </w:sdtContent>
  </w:sdt>
  <w:p w:rsidR="00C87859" w:rsidRDefault="00C878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299695"/>
    </w:sdtPr>
    <w:sdtContent>
      <w:p w:rsidR="00C87859" w:rsidRDefault="00BF5DB3">
        <w:pPr>
          <w:pStyle w:val="a4"/>
          <w:jc w:val="center"/>
        </w:pPr>
        <w:r>
          <w:fldChar w:fldCharType="begin"/>
        </w:r>
        <w:r w:rsidR="007B0CE0">
          <w:instrText>PAGE   \* MERGEFORMAT</w:instrText>
        </w:r>
        <w:r>
          <w:fldChar w:fldCharType="separate"/>
        </w:r>
        <w:r w:rsidR="000C0DED" w:rsidRPr="000C0DED">
          <w:rPr>
            <w:noProof/>
            <w:lang w:val="zh-CN"/>
          </w:rPr>
          <w:t>1</w:t>
        </w:r>
        <w:r>
          <w:fldChar w:fldCharType="end"/>
        </w:r>
      </w:p>
    </w:sdtContent>
  </w:sdt>
  <w:p w:rsidR="00C87859" w:rsidRDefault="00C878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DC" w:rsidRDefault="005421DC" w:rsidP="00C87859">
      <w:r>
        <w:separator/>
      </w:r>
    </w:p>
  </w:footnote>
  <w:footnote w:type="continuationSeparator" w:id="1">
    <w:p w:rsidR="005421DC" w:rsidRDefault="005421DC" w:rsidP="00C87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53CC"/>
    <w:rsid w:val="00037AF6"/>
    <w:rsid w:val="000410F2"/>
    <w:rsid w:val="0004565F"/>
    <w:rsid w:val="00072187"/>
    <w:rsid w:val="00075D5F"/>
    <w:rsid w:val="0008180F"/>
    <w:rsid w:val="00093DA3"/>
    <w:rsid w:val="000B529B"/>
    <w:rsid w:val="000C0DED"/>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6E13"/>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610B6"/>
    <w:rsid w:val="004706DE"/>
    <w:rsid w:val="00472923"/>
    <w:rsid w:val="00486DCD"/>
    <w:rsid w:val="0049120C"/>
    <w:rsid w:val="004B0C3A"/>
    <w:rsid w:val="004C49A8"/>
    <w:rsid w:val="004C58D3"/>
    <w:rsid w:val="004D5788"/>
    <w:rsid w:val="004E3066"/>
    <w:rsid w:val="004E419C"/>
    <w:rsid w:val="004E74CD"/>
    <w:rsid w:val="0050092E"/>
    <w:rsid w:val="00524EFD"/>
    <w:rsid w:val="005421DC"/>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0CE0"/>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2FE2"/>
    <w:rsid w:val="00864B7F"/>
    <w:rsid w:val="00881692"/>
    <w:rsid w:val="00882539"/>
    <w:rsid w:val="008858FF"/>
    <w:rsid w:val="008A6576"/>
    <w:rsid w:val="008B3CC5"/>
    <w:rsid w:val="008B52CD"/>
    <w:rsid w:val="008C7C4D"/>
    <w:rsid w:val="008E4261"/>
    <w:rsid w:val="008E70D4"/>
    <w:rsid w:val="008F4662"/>
    <w:rsid w:val="008F6875"/>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2AB0"/>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BF5DB3"/>
    <w:rsid w:val="00C005B2"/>
    <w:rsid w:val="00C1565C"/>
    <w:rsid w:val="00C21E0F"/>
    <w:rsid w:val="00C362CA"/>
    <w:rsid w:val="00C37A99"/>
    <w:rsid w:val="00C772C1"/>
    <w:rsid w:val="00C87859"/>
    <w:rsid w:val="00C93D22"/>
    <w:rsid w:val="00CA7176"/>
    <w:rsid w:val="00CB51D7"/>
    <w:rsid w:val="00CC75B0"/>
    <w:rsid w:val="00CD2773"/>
    <w:rsid w:val="00CE01BA"/>
    <w:rsid w:val="00CE143B"/>
    <w:rsid w:val="00CE3A91"/>
    <w:rsid w:val="00D07DBA"/>
    <w:rsid w:val="00D23C16"/>
    <w:rsid w:val="00D27003"/>
    <w:rsid w:val="00D324AD"/>
    <w:rsid w:val="00D9307A"/>
    <w:rsid w:val="00DB35E9"/>
    <w:rsid w:val="00DB4322"/>
    <w:rsid w:val="00DD1D0C"/>
    <w:rsid w:val="00DE186D"/>
    <w:rsid w:val="00E167C7"/>
    <w:rsid w:val="00E440CF"/>
    <w:rsid w:val="00E45EFB"/>
    <w:rsid w:val="00E55B78"/>
    <w:rsid w:val="00E76361"/>
    <w:rsid w:val="00E84020"/>
    <w:rsid w:val="00EB2F0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2CD60C30"/>
    <w:rsid w:val="4E864011"/>
    <w:rsid w:val="703F511B"/>
    <w:rsid w:val="70813013"/>
    <w:rsid w:val="78345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87859"/>
    <w:rPr>
      <w:sz w:val="18"/>
      <w:szCs w:val="18"/>
    </w:rPr>
  </w:style>
  <w:style w:type="paragraph" w:styleId="a4">
    <w:name w:val="footer"/>
    <w:basedOn w:val="a"/>
    <w:link w:val="Char0"/>
    <w:uiPriority w:val="99"/>
    <w:qFormat/>
    <w:rsid w:val="00C87859"/>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C878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C87859"/>
    <w:rPr>
      <w:rFonts w:ascii="Times New Roman" w:eastAsia="宋体" w:hAnsi="Times New Roman" w:cs="Times New Roman"/>
      <w:szCs w:val="24"/>
    </w:rPr>
  </w:style>
  <w:style w:type="paragraph" w:styleId="a6">
    <w:name w:val="footnote text"/>
    <w:basedOn w:val="a"/>
    <w:link w:val="Char2"/>
    <w:uiPriority w:val="99"/>
    <w:semiHidden/>
    <w:unhideWhenUsed/>
    <w:qFormat/>
    <w:rsid w:val="00C87859"/>
    <w:pPr>
      <w:snapToGrid w:val="0"/>
      <w:jc w:val="left"/>
    </w:pPr>
    <w:rPr>
      <w:rFonts w:ascii="Calibri" w:eastAsia="宋体" w:hAnsi="Calibri" w:cs="Times New Roman"/>
      <w:sz w:val="18"/>
      <w:szCs w:val="18"/>
    </w:rPr>
  </w:style>
  <w:style w:type="paragraph" w:styleId="2">
    <w:name w:val="toc 2"/>
    <w:basedOn w:val="a"/>
    <w:next w:val="a"/>
    <w:uiPriority w:val="39"/>
    <w:qFormat/>
    <w:rsid w:val="00C87859"/>
    <w:pPr>
      <w:ind w:leftChars="200" w:left="420"/>
    </w:pPr>
    <w:rPr>
      <w:rFonts w:ascii="Times New Roman" w:eastAsia="宋体" w:hAnsi="Times New Roman" w:cs="Times New Roman"/>
      <w:szCs w:val="24"/>
    </w:rPr>
  </w:style>
  <w:style w:type="character" w:styleId="a7">
    <w:name w:val="footnote reference"/>
    <w:uiPriority w:val="99"/>
    <w:semiHidden/>
    <w:unhideWhenUsed/>
    <w:rsid w:val="00C87859"/>
    <w:rPr>
      <w:vertAlign w:val="superscript"/>
    </w:rPr>
  </w:style>
  <w:style w:type="character" w:customStyle="1" w:styleId="Char1">
    <w:name w:val="页眉 Char"/>
    <w:basedOn w:val="a0"/>
    <w:link w:val="a5"/>
    <w:uiPriority w:val="99"/>
    <w:qFormat/>
    <w:rsid w:val="00C87859"/>
    <w:rPr>
      <w:rFonts w:ascii="Times New Roman" w:eastAsia="宋体" w:hAnsi="Times New Roman" w:cs="Times New Roman"/>
      <w:sz w:val="18"/>
      <w:szCs w:val="18"/>
    </w:rPr>
  </w:style>
  <w:style w:type="character" w:customStyle="1" w:styleId="Char0">
    <w:name w:val="页脚 Char"/>
    <w:basedOn w:val="a0"/>
    <w:link w:val="a4"/>
    <w:uiPriority w:val="99"/>
    <w:qFormat/>
    <w:rsid w:val="00C8785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87859"/>
    <w:rPr>
      <w:sz w:val="18"/>
      <w:szCs w:val="18"/>
    </w:rPr>
  </w:style>
  <w:style w:type="paragraph" w:customStyle="1" w:styleId="Default">
    <w:name w:val="Default"/>
    <w:rsid w:val="00C87859"/>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sid w:val="00C878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92D51BB-CDEA-47ED-AE9F-E2C4E14927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693</Words>
  <Characters>3954</Characters>
  <Application>Microsoft Office Word</Application>
  <DocSecurity>0</DocSecurity>
  <Lines>32</Lines>
  <Paragraphs>9</Paragraphs>
  <ScaleCrop>false</ScaleCrop>
  <Company>Microsoft</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13</cp:revision>
  <cp:lastPrinted>2019-02-18T02:45:00Z</cp:lastPrinted>
  <dcterms:created xsi:type="dcterms:W3CDTF">2019-02-13T02:12:00Z</dcterms:created>
  <dcterms:modified xsi:type="dcterms:W3CDTF">2019-02-15T05:49:00Z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