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廊坊市广阳区水务局2019年部门预算信息公开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广阳区水务局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bookmarkStart w:id="4" w:name="_GoBack"/>
      <w:bookmarkEnd w:id="4"/>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（一）负责保障水资源的合理开发利用。拟订水利战略规划和政策，起草有关地方性法规、政府规章草案，组织编制全区水资源战略规划、重要江河湖泊流域综合规划、防洪规划等重大水利规划。</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生活、生产经营和生态环境用水的统筹和保障。组织实施最严格水资源管理制度，实施水资源的统一监督管理，拟订全区和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（四）指导水资源保护工作。组织编制并实施水资源保护规划。指导饮用水水源保护有关工作，指导地下水开发利用和</w:t>
      </w:r>
      <w:r>
        <w:rPr>
          <w:rFonts w:hint="eastAsia" w:ascii="Times New Roman" w:hAnsi="Times New Roman" w:eastAsia="仿宋_GB2312" w:cs="Times New Roman"/>
          <w:sz w:val="32"/>
          <w:szCs w:val="32"/>
          <w:lang w:eastAsia="zh-CN"/>
        </w:rPr>
        <w:t>地下水资源</w:t>
      </w:r>
      <w:r>
        <w:rPr>
          <w:rFonts w:hint="eastAsia" w:ascii="Times New Roman" w:hAnsi="Times New Roman" w:eastAsia="仿宋_GB2312" w:cs="Times New Roman"/>
          <w:sz w:val="32"/>
          <w:szCs w:val="32"/>
        </w:rPr>
        <w:t>管理保护。组织指导地下水超采区综合治理。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（五）负责节约用水工作。拟订节约用水政策，组织编制节约用水规划并监督实施，组织指导有关标准，组织实施用水总量控制等管理制度，指导和推动节水型社会建设工作。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指导水利设施、水域及其岸线的管理、保护与综合利用。组织指导水利基础设施网络建设。指导重要江河湖泊及河口的治理、开发和保护。指导河湖水生态保护与修复、河湖生态流量水量管理以及河湖水系连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指导监督水利工程建设与运行管理。组织实施具有控制性的和跨区域跨流域的重要水利工程建设与运行管理。组织提出并协调落实南水北调配套工程运行和后续工程建设的有关政策措施，指导监督工程安全运行，组织工程验收有关工作，督促指导地方配套工程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（八）负责水土保持工作。拟订水土保持规划并监督实施，组织实施水土流失的综合防治、监测预报并定期公告。负责建设项目水土保持监督管理工作，指导重点水土保持建设项目的实施。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指导农村水利工作。组织开展大中型灌溉工程建设与改造。指导农村饮水安全工程建设管理工作，指导节水灌溉有关工作。指导农村水利改革创新和社会化服务体系建设。指导农村水能资源开发、小水电改造和水电农村电气化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（十）指导水库、水电工程移民管理工作。拟订水库、水电工程移民有关政策并监督实施，组织实施移民安置验收、监督评估等制度。指导监督水库移民后期扶持政策的实施。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重大涉水违法事件的查处，协调和仲裁跨区水事纠纷，指导水政监察和水行政执法。依法负责水利行业安全生产工作，组织指导水库、水电站大坝、农村水电站的安全监管。指导水利建设市场的监督管理，组织实施水利工程建设的监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（十二）组织开展水利行业质量监督工作，拟订水利行业的地方技术标准、规程规范并监督实施。组织重大水利科学研究、技术引进和科技推广，开展国际交流与合作。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落实综合防灾减灾规划相关要求，组织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廊坊市广阳区水务局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广阳区水务局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1995.13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1993.33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广阳区水务局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1995.13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1647.82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1420.52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227.30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345.51</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345.51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水利工程管理处人员经费345万元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曹国义伤残抚恤金0.51万元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1995.13</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147.84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311.84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165.80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水利</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4.17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13.11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13.11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13.11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减少0.69</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；公务接待费增减</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sz w:val="32"/>
          <w:szCs w:val="32"/>
        </w:rPr>
        <w:t>一、</w:t>
      </w:r>
      <w:r>
        <w:rPr>
          <w:rFonts w:hint="eastAsia" w:ascii="仿宋_GB2312" w:eastAsia="仿宋_GB2312"/>
          <w:sz w:val="32"/>
          <w:szCs w:val="32"/>
        </w:rPr>
        <w:t>强化党风廉政建设，巩固巡察整改成果，抓好干部队伍建设。健全机关制度，激发干部主动性，强化业务培训，提高人员素质，规范执法行为，树立水务形象。</w:t>
      </w:r>
    </w:p>
    <w:p>
      <w:pPr>
        <w:spacing w:line="500" w:lineRule="exact"/>
        <w:ind w:firstLine="560"/>
        <w:rPr>
          <w:rFonts w:ascii="仿宋_GB2312" w:eastAsia="仿宋_GB2312"/>
          <w:sz w:val="32"/>
          <w:szCs w:val="32"/>
        </w:rPr>
      </w:pPr>
      <w:r>
        <w:rPr>
          <w:rFonts w:hint="eastAsia" w:ascii="仿宋_GB2312" w:eastAsia="仿宋_GB2312"/>
          <w:sz w:val="32"/>
          <w:szCs w:val="32"/>
        </w:rPr>
        <w:t>二、加速重点工程项目进度。督导在建工程加快实施，加大现场协调力度，确保全年任务圆满收关。</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三、全面谋划2019年工程项目。根据2018年水利项目实施情况，全面谋划2019年项目，同上级水利部门保持密切联系，积极争取项目资金。 </w:t>
      </w:r>
    </w:p>
    <w:p>
      <w:pPr>
        <w:spacing w:line="500" w:lineRule="exact"/>
        <w:ind w:firstLine="560"/>
        <w:rPr>
          <w:rFonts w:ascii="仿宋_GB2312" w:eastAsia="仿宋_GB2312"/>
          <w:sz w:val="32"/>
          <w:szCs w:val="32"/>
        </w:rPr>
      </w:pPr>
      <w:r>
        <w:rPr>
          <w:rFonts w:hint="eastAsia" w:ascii="仿宋_GB2312" w:eastAsia="仿宋_GB2312"/>
          <w:sz w:val="32"/>
          <w:szCs w:val="32"/>
        </w:rPr>
        <w:t>（1）北京新机场广阳区防洪工程</w:t>
      </w:r>
    </w:p>
    <w:p>
      <w:pPr>
        <w:spacing w:line="500" w:lineRule="exact"/>
        <w:ind w:firstLine="560"/>
        <w:rPr>
          <w:rFonts w:ascii="仿宋_GB2312" w:eastAsia="仿宋_GB2312"/>
          <w:sz w:val="32"/>
          <w:szCs w:val="32"/>
        </w:rPr>
      </w:pPr>
      <w:r>
        <w:rPr>
          <w:rFonts w:hint="eastAsia" w:ascii="仿宋_GB2312" w:eastAsia="仿宋_GB2312"/>
          <w:sz w:val="32"/>
          <w:szCs w:val="32"/>
        </w:rPr>
        <w:t>（2）农村人饮村街管网改造工程。</w:t>
      </w:r>
    </w:p>
    <w:p>
      <w:pPr>
        <w:spacing w:line="500" w:lineRule="exact"/>
        <w:ind w:firstLine="560"/>
        <w:rPr>
          <w:rFonts w:ascii="仿宋_GB2312" w:eastAsia="仿宋_GB2312"/>
          <w:sz w:val="32"/>
          <w:szCs w:val="32"/>
        </w:rPr>
      </w:pPr>
      <w:r>
        <w:rPr>
          <w:rFonts w:hint="eastAsia" w:ascii="仿宋_GB2312" w:eastAsia="仿宋_GB2312"/>
          <w:sz w:val="32"/>
          <w:szCs w:val="32"/>
        </w:rPr>
        <w:t>（3）长征现代农业产业创意园高效节水建设项目。</w:t>
      </w:r>
    </w:p>
    <w:p>
      <w:pPr>
        <w:spacing w:line="500" w:lineRule="exact"/>
        <w:ind w:firstLine="560"/>
        <w:rPr>
          <w:rFonts w:ascii="仿宋_GB2312" w:eastAsia="仿宋_GB2312"/>
          <w:sz w:val="32"/>
          <w:szCs w:val="32"/>
        </w:rPr>
      </w:pPr>
      <w:r>
        <w:rPr>
          <w:rFonts w:hint="eastAsia" w:ascii="仿宋_GB2312" w:eastAsia="仿宋_GB2312"/>
          <w:sz w:val="32"/>
          <w:szCs w:val="32"/>
        </w:rPr>
        <w:t>（4）防汛信息监控平台建设项目。</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 xml:space="preserve">1、水利水电项目的建设与维护管理   </w:t>
      </w:r>
    </w:p>
    <w:p>
      <w:pPr>
        <w:spacing w:line="500" w:lineRule="exact"/>
        <w:ind w:firstLine="560"/>
        <w:rPr>
          <w:rFonts w:ascii="仿宋_GB2312" w:eastAsia="仿宋_GB2312"/>
          <w:sz w:val="32"/>
          <w:szCs w:val="32"/>
        </w:rPr>
      </w:pPr>
      <w:r>
        <w:rPr>
          <w:rFonts w:hint="eastAsia" w:ascii="仿宋_GB2312" w:eastAsia="仿宋_GB2312"/>
          <w:sz w:val="32"/>
          <w:szCs w:val="32"/>
        </w:rPr>
        <w:t>按期完成水利水电项目建设和维修管护任务，对社会稳定和经济发展起到积极作用。按期保质保量完成水利项目建设任务。争取2019年全年完成项目进度的100%。</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2、水资源保护和生态建设  </w:t>
      </w:r>
    </w:p>
    <w:p>
      <w:pPr>
        <w:spacing w:line="500" w:lineRule="exact"/>
        <w:ind w:firstLine="560"/>
        <w:rPr>
          <w:rFonts w:ascii="仿宋_GB2312" w:eastAsia="仿宋_GB2312"/>
          <w:sz w:val="32"/>
          <w:szCs w:val="32"/>
        </w:rPr>
      </w:pPr>
      <w:r>
        <w:rPr>
          <w:rFonts w:hint="eastAsia" w:ascii="仿宋_GB2312" w:eastAsia="仿宋_GB2312"/>
          <w:sz w:val="32"/>
          <w:szCs w:val="32"/>
        </w:rPr>
        <w:t>统一管理全区水资源，组织实施全区水资源节约、保护、配置、监督管理等工作。全面落实最严格水资源管理制度。协调实施跨流域调水，制定调水计划，组织做好输水管理工作。促进水资源可持续发展，保护生态环境。用水总量、用水效率、水功能区纳污能力控制在红线以内，农业用水水权确权登记完成，完成农业水资源税纳税人认定工作。争取2019年全年完成项目进度的100%。</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3、水利科技支撑和公共服务  </w:t>
      </w:r>
    </w:p>
    <w:p>
      <w:pPr>
        <w:spacing w:line="500" w:lineRule="exact"/>
        <w:ind w:firstLine="560"/>
        <w:rPr>
          <w:rFonts w:ascii="仿宋_GB2312" w:eastAsia="仿宋_GB2312"/>
          <w:sz w:val="32"/>
          <w:szCs w:val="32"/>
        </w:rPr>
      </w:pPr>
      <w:r>
        <w:rPr>
          <w:rFonts w:hint="eastAsia" w:ascii="仿宋_GB2312" w:eastAsia="仿宋_GB2312"/>
          <w:sz w:val="32"/>
          <w:szCs w:val="32"/>
        </w:rPr>
        <w:t>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争取2019年全年完成项目进度的100%。</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4、水利政务管理  </w:t>
      </w:r>
    </w:p>
    <w:p>
      <w:pPr>
        <w:spacing w:line="500" w:lineRule="exact"/>
        <w:ind w:firstLine="560"/>
        <w:rPr>
          <w:rFonts w:ascii="仿宋_GB2312" w:eastAsia="仿宋_GB2312"/>
          <w:sz w:val="32"/>
          <w:szCs w:val="32"/>
        </w:rPr>
      </w:pPr>
      <w:r>
        <w:rPr>
          <w:rFonts w:hint="eastAsia" w:ascii="仿宋_GB2312" w:eastAsia="仿宋_GB2312"/>
          <w:sz w:val="32"/>
          <w:szCs w:val="32"/>
        </w:rPr>
        <w:t>依法依规履行机关日常管理职责，确保水利工作正常运行。加强机关事务性管理，开展机关自身能力建设。确保机关工作正常运行。争取2019年全年完成工作进度的100%。</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End w:id="0"/>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332廊坊市广阳区水务局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一、水利水电项目的建设与维护管理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331.80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水利水电项目的建设与维护管理。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1、水利工程建设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组织实施水利工程项目建设。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按期保质保量完成水利项目建设任务。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工程按时完成率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水利工程除险加固及治理工作完成率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实施工程建设管理和质量监督工作完成率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工程质量合格率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2、水利工程运行与维护</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330.00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编制全区水利工程运行与维护计划，指导河道堤防、水闸、排灌泵站、水文等水利工程运行管理和加强对全区水利行业的安全生产监督、检查。对水利工程进行维修养护，确保工程安全运行。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年度维修养护工程质量全部合格，工程正常运行。</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编制全区水利工程运行与维护计划，指导河道堤防、水闸、排灌泵站、水文等水利工程运行管理和加强对全区水利行业的安全生产监督、检查次数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有完善的水利工程运行及维护计划，进行安全生产检查3次以上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有较完善的水利工程运行及维护计划，进行安全生产检查2次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有较完善的水利工程运行及维护计划，进行安全生产检查1次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没有完善的水利工程运行及维护计划，未进行安全生产检查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对水利工程进行维修养护，确保工程安全运行率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工程运行故障率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工程质量验收合格率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3、农田水利建设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建设小型农田水利设施，实施节水灌溉、灌区续建配套与节水改造等，推广综合节水技术，农业水价综合改革，开展乡镇水利站建设。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提高农业用水效率、改善农业生产条件。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小型农田水利设施建设完成率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灌溉利用率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≥0.72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≥0.71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≥0.63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发展节水灌溉面积完成率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4、保障农村饮水安全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在全区范围内通过实施农村饮水安全项目，解决农村居民饮水不安全问题。</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保障农村供水安全。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农村饮用水监测管理工作完成率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农村饮用水安全工程完成量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项目验收情况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项目验收及时、规范，且一次验收合格率100%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项目验收基本及时、规范，且一次验收合格率100%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项目一次验收合格率达到100%，但验收不及时、不规范。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项目该验收未验收，或一次验收合格率低于100%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项目安全情况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安全生产措施到位，且未发生安全生产事故。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安全生产措施基本到位，且未发生安全生产事故。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安全生产措施有过整改情况，且未发生安全生产事故。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5、水库移民安置及后期管理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1.80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落实水库移民政策，扶持移民发展生产，保持移民稳定。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增加移民收入，改善移民生产生活条件，促进移民稳定。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移民政策落进度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移民政策落数量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移民政策落实率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6、农村水电建设与管理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开展水能资源调查评价、水能资源开发利用规划编制。农村水电建设、质量和安全监督管理、绿色小水电建设。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充分利用水能资源，提供清洁可再生能源，促进节能减排，保护生态环境，服务“三农”。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项目完成数量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项目完成进度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二、水资源保护和生态建设</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组织实施全区水资源管理和水土保持相关工作。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促进水资源可持续发展，保护生态环境。</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1、水资源管理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统一管理全区水资源，组织实施全区水资源节约、保护、配置、监督管理等工作。全面落实最严格水资源管理制度。协调实施跨流域调水，制定调水计划，组织做好输水管理工作。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促进水资源可持续发展。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在全区范围内水资源费改税工作完成率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农业用水实行水权制度落实率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全区范围内实行最严格水资源管理制度落实率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2、水土保持</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组织全区水土保持工作。研究制定水土保持规划，承担水土流失综合防治工作；依法开展水土保持监督管理工作，组织全区水土流失监测、预报并公告；组织开展水土保持宣传教育工作。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保护和合理利用水土资源，改善生态环境，维护生态安全。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水土保持监督管理工作完成率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水土流失治理面积率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水土保持宣传次数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三、水利科技支撑和公共服务</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组织指导全区水利事业建设的科技创新和技术示范推广，为水利事业科学发展提供公共支撑。</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研制并示范推广水利工程和管理技术，提高水利事业管理水平。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1、防汛抗旱</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全区防汛抗旱组织管理、应急调度，指导水利行业信息化建设，建设应急度汛、抗旱应急、洪水灾害防治项目，支持基层防汛抗旱组织建设，储备管理防汛抗旱物资，建设水利信息化基础设施，提高全区抗御水旱灾害能力。</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工程质量及是否发生事故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工程质量较好且未发生任何质量问题或质量事故。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工程质量较好且未发生质量事故，出现的质量问题得到及时处理。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工程质量一般且未发生质量事故，出现的质量问题没有及时处理。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发生质量事故。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物资储备可以正常使用率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预案修订及安全事故发生次数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修订及时，便于操作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修订不及时，未发生应急安全事故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修订不及时，发生一般安全事故能及时处理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修订不及时，发生安全事故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四、水利政务管理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0.51</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依法依规履行机关日常管理职责。</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依法依规履行机关日常管理职责，确保水利工作正常运行。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水利规划，研究重要课题和政策建议，工作部署、协调推动、普查统计、督促指导、对外合作、行政审批、业务监管、水利执法、处理水事纠纷，监督检查、人事管理、表彰奖励及其他依法行政管理活动。区委、政府交办的其他事项等行政管理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依法依规完成工作任务，推进科学决策。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水利规划</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普查统计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0.51</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加强机关事务性管理，开展机关自身能力建设。</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确保机关工作正常运行。</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车辆设备管理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文件管理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bl>
    <w:p>
      <w:pPr>
        <w:spacing w:line="584" w:lineRule="exact"/>
        <w:ind w:firstLine="627" w:firstLineChars="196"/>
        <w:rPr>
          <w:rFonts w:ascii="Times New Roman" w:hAnsi="黑体" w:eastAsia="黑体" w:cs="Times New Roman"/>
          <w:sz w:val="32"/>
          <w:szCs w:val="32"/>
        </w:rPr>
      </w:pPr>
    </w:p>
    <w:p>
      <w:pPr>
        <w:spacing w:line="584" w:lineRule="exact"/>
        <w:ind w:firstLine="627" w:firstLineChars="196"/>
        <w:rPr>
          <w:rFonts w:ascii="Times New Roman" w:hAnsi="黑体" w:eastAsia="黑体" w:cs="Times New Roman"/>
          <w:sz w:val="32"/>
          <w:szCs w:val="32"/>
        </w:rPr>
      </w:pPr>
    </w:p>
    <w:p>
      <w:pPr>
        <w:spacing w:line="584" w:lineRule="exact"/>
        <w:ind w:firstLine="627" w:firstLineChars="196"/>
        <w:rPr>
          <w:rFonts w:ascii="Times New Roman" w:hAnsi="黑体" w:eastAsia="黑体" w:cs="Times New Roman"/>
          <w:sz w:val="32"/>
          <w:szCs w:val="32"/>
        </w:rPr>
      </w:pPr>
    </w:p>
    <w:p>
      <w:pPr>
        <w:spacing w:line="584" w:lineRule="exact"/>
        <w:ind w:firstLine="640" w:firstLineChars="200"/>
        <w:rPr>
          <w:rFonts w:ascii="Times New Roman" w:hAnsi="Times New Roman" w:eastAsia="楷体_GB2312" w:cs="Times New Roman"/>
          <w:b/>
          <w:sz w:val="32"/>
          <w:szCs w:val="24"/>
        </w:rPr>
      </w:pPr>
      <w:r>
        <w:rPr>
          <w:rFonts w:ascii="Times New Roman" w:hAnsi="黑体"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9"/>
        <w:gridCol w:w="1043"/>
        <w:gridCol w:w="1084"/>
        <w:gridCol w:w="1419"/>
        <w:gridCol w:w="612"/>
        <w:gridCol w:w="813"/>
        <w:gridCol w:w="932"/>
        <w:gridCol w:w="938"/>
        <w:gridCol w:w="938"/>
        <w:gridCol w:w="938"/>
        <w:gridCol w:w="775"/>
        <w:gridCol w:w="909"/>
        <w:gridCol w:w="912"/>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4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332廊坊市广阳区水务局</w:t>
            </w:r>
          </w:p>
        </w:tc>
        <w:tc>
          <w:tcPr>
            <w:tcW w:w="215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8"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7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8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1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7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5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5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7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8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1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7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35"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29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5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7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8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1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7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6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2"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29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58" w:type="pct"/>
            <w:shd w:val="clear" w:color="auto" w:fill="auto"/>
            <w:vAlign w:val="center"/>
          </w:tcPr>
          <w:p>
            <w:pPr>
              <w:spacing w:line="584" w:lineRule="exact"/>
              <w:jc w:val="right"/>
              <w:rPr>
                <w:rFonts w:ascii="Times New Roman" w:hAnsi="Times New Roman" w:eastAsia="仿宋_GB2312" w:cs="Times New Roman"/>
                <w:b/>
              </w:rPr>
            </w:pPr>
          </w:p>
        </w:tc>
        <w:tc>
          <w:tcPr>
            <w:tcW w:w="372" w:type="pct"/>
            <w:shd w:val="clear" w:color="auto" w:fill="auto"/>
            <w:vAlign w:val="center"/>
          </w:tcPr>
          <w:p>
            <w:pPr>
              <w:spacing w:line="584" w:lineRule="exact"/>
              <w:jc w:val="left"/>
              <w:rPr>
                <w:rFonts w:ascii="Times New Roman" w:hAnsi="Times New Roman" w:eastAsia="仿宋_GB2312" w:cs="Times New Roman"/>
                <w:b/>
              </w:rPr>
            </w:pPr>
          </w:p>
        </w:tc>
        <w:tc>
          <w:tcPr>
            <w:tcW w:w="487" w:type="pct"/>
            <w:shd w:val="clear" w:color="auto" w:fill="auto"/>
            <w:vAlign w:val="center"/>
          </w:tcPr>
          <w:p>
            <w:pPr>
              <w:spacing w:line="584" w:lineRule="exact"/>
              <w:jc w:val="left"/>
              <w:rPr>
                <w:rFonts w:ascii="Times New Roman" w:hAnsi="Times New Roman" w:eastAsia="仿宋_GB2312" w:cs="Times New Roman"/>
                <w:b/>
              </w:rPr>
            </w:pPr>
          </w:p>
        </w:tc>
        <w:tc>
          <w:tcPr>
            <w:tcW w:w="210" w:type="pct"/>
            <w:shd w:val="clear" w:color="auto" w:fill="auto"/>
            <w:vAlign w:val="center"/>
          </w:tcPr>
          <w:p>
            <w:pPr>
              <w:spacing w:line="584" w:lineRule="exact"/>
              <w:jc w:val="left"/>
              <w:rPr>
                <w:rFonts w:ascii="Times New Roman" w:hAnsi="Times New Roman" w:eastAsia="仿宋_GB2312" w:cs="Times New Roman"/>
                <w:b/>
              </w:rPr>
            </w:pPr>
          </w:p>
        </w:tc>
        <w:tc>
          <w:tcPr>
            <w:tcW w:w="279"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right"/>
              <w:rPr>
                <w:rFonts w:ascii="Times New Roman" w:hAnsi="Times New Roman" w:eastAsia="仿宋_GB2312" w:cs="Times New Roman"/>
                <w:b/>
              </w:rPr>
            </w:pPr>
          </w:p>
        </w:tc>
        <w:tc>
          <w:tcPr>
            <w:tcW w:w="322" w:type="pct"/>
            <w:shd w:val="clear" w:color="auto" w:fill="auto"/>
            <w:vAlign w:val="center"/>
          </w:tcPr>
          <w:p>
            <w:pPr>
              <w:spacing w:line="584" w:lineRule="exact"/>
              <w:jc w:val="right"/>
              <w:rPr>
                <w:rFonts w:ascii="Times New Roman" w:hAnsi="Times New Roman" w:eastAsia="仿宋_GB2312" w:cs="Times New Roman"/>
                <w:b/>
              </w:rPr>
            </w:pPr>
          </w:p>
        </w:tc>
        <w:tc>
          <w:tcPr>
            <w:tcW w:w="322" w:type="pct"/>
            <w:shd w:val="clear" w:color="auto" w:fill="auto"/>
            <w:vAlign w:val="center"/>
          </w:tcPr>
          <w:p>
            <w:pPr>
              <w:spacing w:line="584" w:lineRule="exact"/>
              <w:jc w:val="right"/>
              <w:rPr>
                <w:rFonts w:ascii="Times New Roman" w:hAnsi="Times New Roman" w:eastAsia="仿宋_GB2312" w:cs="Times New Roman"/>
                <w:b/>
              </w:rPr>
            </w:pPr>
          </w:p>
        </w:tc>
        <w:tc>
          <w:tcPr>
            <w:tcW w:w="322" w:type="pct"/>
            <w:shd w:val="clear" w:color="auto" w:fill="auto"/>
            <w:vAlign w:val="center"/>
          </w:tcPr>
          <w:p>
            <w:pPr>
              <w:spacing w:line="584" w:lineRule="exact"/>
              <w:jc w:val="right"/>
              <w:rPr>
                <w:rFonts w:ascii="Times New Roman" w:hAnsi="Times New Roman" w:eastAsia="仿宋_GB2312" w:cs="Times New Roman"/>
                <w:b/>
              </w:rPr>
            </w:pPr>
          </w:p>
        </w:tc>
        <w:tc>
          <w:tcPr>
            <w:tcW w:w="266" w:type="pct"/>
            <w:shd w:val="clear" w:color="auto" w:fill="auto"/>
            <w:vAlign w:val="center"/>
          </w:tcPr>
          <w:p>
            <w:pPr>
              <w:spacing w:line="584" w:lineRule="exact"/>
              <w:jc w:val="right"/>
              <w:rPr>
                <w:rFonts w:ascii="Times New Roman" w:hAnsi="Times New Roman" w:eastAsia="仿宋_GB2312" w:cs="Times New Roman"/>
                <w:b/>
              </w:rPr>
            </w:pPr>
          </w:p>
        </w:tc>
        <w:tc>
          <w:tcPr>
            <w:tcW w:w="312" w:type="pct"/>
            <w:shd w:val="clear" w:color="auto" w:fill="auto"/>
            <w:vAlign w:val="center"/>
          </w:tcPr>
          <w:p>
            <w:pPr>
              <w:spacing w:line="584" w:lineRule="exact"/>
              <w:jc w:val="right"/>
              <w:rPr>
                <w:rFonts w:ascii="Times New Roman" w:hAnsi="Times New Roman" w:eastAsia="仿宋_GB2312" w:cs="Times New Roman"/>
                <w:b/>
              </w:rPr>
            </w:pPr>
          </w:p>
        </w:tc>
        <w:tc>
          <w:tcPr>
            <w:tcW w:w="313" w:type="pct"/>
            <w:shd w:val="clear" w:color="auto" w:fill="auto"/>
            <w:vAlign w:val="center"/>
          </w:tcPr>
          <w:p>
            <w:pPr>
              <w:spacing w:line="584" w:lineRule="exact"/>
              <w:jc w:val="right"/>
              <w:rPr>
                <w:rFonts w:ascii="Times New Roman" w:hAnsi="Times New Roman" w:eastAsia="仿宋_GB2312" w:cs="Times New Roman"/>
                <w:b/>
              </w:rPr>
            </w:pPr>
          </w:p>
        </w:tc>
        <w:tc>
          <w:tcPr>
            <w:tcW w:w="297"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rPr>
                <w:rFonts w:ascii="仿宋_GB2312" w:hAnsi="Times New Roman" w:eastAsia="仿宋_GB2312" w:cs="Times New Roman"/>
              </w:rPr>
            </w:pPr>
          </w:p>
        </w:tc>
        <w:tc>
          <w:tcPr>
            <w:tcW w:w="358" w:type="pct"/>
            <w:shd w:val="clear" w:color="auto" w:fill="auto"/>
            <w:vAlign w:val="center"/>
          </w:tcPr>
          <w:p>
            <w:pPr>
              <w:spacing w:line="584" w:lineRule="exact"/>
              <w:jc w:val="right"/>
              <w:rPr>
                <w:rFonts w:ascii="仿宋_GB2312" w:hAnsi="Times New Roman" w:eastAsia="仿宋_GB2312" w:cs="Times New Roman"/>
              </w:rPr>
            </w:pPr>
          </w:p>
        </w:tc>
        <w:tc>
          <w:tcPr>
            <w:tcW w:w="372" w:type="pct"/>
            <w:shd w:val="clear" w:color="auto" w:fill="auto"/>
            <w:vAlign w:val="center"/>
          </w:tcPr>
          <w:p>
            <w:pPr>
              <w:spacing w:line="584" w:lineRule="exact"/>
              <w:jc w:val="left"/>
              <w:rPr>
                <w:rFonts w:ascii="仿宋_GB2312" w:hAnsi="Times New Roman" w:eastAsia="仿宋_GB2312" w:cs="Times New Roman"/>
              </w:rPr>
            </w:pPr>
          </w:p>
        </w:tc>
        <w:tc>
          <w:tcPr>
            <w:tcW w:w="487" w:type="pct"/>
            <w:shd w:val="clear" w:color="auto" w:fill="auto"/>
            <w:vAlign w:val="center"/>
          </w:tcPr>
          <w:p>
            <w:pPr>
              <w:spacing w:line="584" w:lineRule="exact"/>
              <w:jc w:val="left"/>
              <w:rPr>
                <w:rFonts w:ascii="仿宋_GB2312" w:hAnsi="Times New Roman" w:eastAsia="仿宋_GB2312" w:cs="Times New Roman"/>
              </w:rPr>
            </w:pPr>
          </w:p>
        </w:tc>
        <w:tc>
          <w:tcPr>
            <w:tcW w:w="210" w:type="pct"/>
            <w:shd w:val="clear" w:color="auto" w:fill="auto"/>
            <w:vAlign w:val="center"/>
          </w:tcPr>
          <w:p>
            <w:pPr>
              <w:spacing w:line="584" w:lineRule="exact"/>
              <w:jc w:val="left"/>
              <w:rPr>
                <w:rFonts w:ascii="仿宋_GB2312" w:hAnsi="Times New Roman" w:eastAsia="仿宋_GB2312" w:cs="Times New Roman"/>
              </w:rPr>
            </w:pPr>
          </w:p>
        </w:tc>
        <w:tc>
          <w:tcPr>
            <w:tcW w:w="279" w:type="pct"/>
            <w:shd w:val="clear" w:color="auto" w:fill="auto"/>
            <w:vAlign w:val="center"/>
          </w:tcPr>
          <w:p>
            <w:pPr>
              <w:spacing w:line="584" w:lineRule="exact"/>
              <w:jc w:val="right"/>
              <w:rPr>
                <w:rFonts w:ascii="仿宋_GB2312" w:hAnsi="Times New Roman" w:eastAsia="仿宋_GB2312" w:cs="Times New Roman"/>
              </w:rPr>
            </w:pPr>
          </w:p>
        </w:tc>
        <w:tc>
          <w:tcPr>
            <w:tcW w:w="320"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266" w:type="pct"/>
            <w:shd w:val="clear" w:color="auto" w:fill="auto"/>
            <w:vAlign w:val="center"/>
          </w:tcPr>
          <w:p>
            <w:pPr>
              <w:spacing w:line="584" w:lineRule="exact"/>
              <w:jc w:val="right"/>
              <w:rPr>
                <w:rFonts w:ascii="仿宋_GB2312" w:hAnsi="Times New Roman" w:eastAsia="仿宋_GB2312" w:cs="Times New Roman"/>
              </w:rPr>
            </w:pPr>
          </w:p>
        </w:tc>
        <w:tc>
          <w:tcPr>
            <w:tcW w:w="312" w:type="pct"/>
            <w:shd w:val="clear" w:color="auto" w:fill="auto"/>
            <w:vAlign w:val="center"/>
          </w:tcPr>
          <w:p>
            <w:pPr>
              <w:spacing w:line="584" w:lineRule="exact"/>
              <w:jc w:val="right"/>
              <w:rPr>
                <w:rFonts w:ascii="仿宋_GB2312" w:hAnsi="Times New Roman" w:eastAsia="仿宋_GB2312" w:cs="Times New Roman"/>
              </w:rPr>
            </w:pPr>
          </w:p>
        </w:tc>
        <w:tc>
          <w:tcPr>
            <w:tcW w:w="313" w:type="pct"/>
            <w:shd w:val="clear" w:color="auto" w:fill="auto"/>
            <w:vAlign w:val="center"/>
          </w:tcPr>
          <w:p>
            <w:pPr>
              <w:spacing w:line="584" w:lineRule="exact"/>
              <w:jc w:val="right"/>
              <w:rPr>
                <w:rFonts w:ascii="仿宋_GB2312" w:hAnsi="Times New Roman" w:eastAsia="仿宋_GB2312" w:cs="Times New Roman"/>
              </w:rPr>
            </w:pPr>
          </w:p>
        </w:tc>
        <w:tc>
          <w:tcPr>
            <w:tcW w:w="297"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left"/>
              <w:rPr>
                <w:rFonts w:ascii="仿宋_GB2312" w:hAnsi="Times New Roman" w:eastAsia="仿宋_GB2312" w:cs="Times New Roman"/>
              </w:rPr>
            </w:pPr>
          </w:p>
        </w:tc>
        <w:tc>
          <w:tcPr>
            <w:tcW w:w="358" w:type="pct"/>
            <w:shd w:val="clear" w:color="auto" w:fill="auto"/>
            <w:vAlign w:val="center"/>
          </w:tcPr>
          <w:p>
            <w:pPr>
              <w:spacing w:line="584" w:lineRule="exact"/>
              <w:jc w:val="right"/>
              <w:rPr>
                <w:rFonts w:ascii="仿宋_GB2312" w:hAnsi="Times New Roman" w:eastAsia="仿宋_GB2312" w:cs="Times New Roman"/>
              </w:rPr>
            </w:pPr>
          </w:p>
        </w:tc>
        <w:tc>
          <w:tcPr>
            <w:tcW w:w="372" w:type="pct"/>
            <w:shd w:val="clear" w:color="auto" w:fill="auto"/>
            <w:vAlign w:val="center"/>
          </w:tcPr>
          <w:p>
            <w:pPr>
              <w:spacing w:line="584" w:lineRule="exact"/>
              <w:jc w:val="left"/>
              <w:rPr>
                <w:rFonts w:ascii="仿宋_GB2312" w:hAnsi="Times New Roman" w:eastAsia="仿宋_GB2312" w:cs="Times New Roman"/>
              </w:rPr>
            </w:pPr>
          </w:p>
        </w:tc>
        <w:tc>
          <w:tcPr>
            <w:tcW w:w="487" w:type="pct"/>
            <w:shd w:val="clear" w:color="auto" w:fill="auto"/>
            <w:vAlign w:val="center"/>
          </w:tcPr>
          <w:p>
            <w:pPr>
              <w:spacing w:line="584" w:lineRule="exact"/>
              <w:jc w:val="left"/>
              <w:rPr>
                <w:rFonts w:ascii="仿宋_GB2312" w:hAnsi="Times New Roman" w:eastAsia="仿宋_GB2312" w:cs="Times New Roman"/>
              </w:rPr>
            </w:pPr>
          </w:p>
        </w:tc>
        <w:tc>
          <w:tcPr>
            <w:tcW w:w="210" w:type="pct"/>
            <w:shd w:val="clear" w:color="auto" w:fill="auto"/>
            <w:vAlign w:val="center"/>
          </w:tcPr>
          <w:p>
            <w:pPr>
              <w:spacing w:line="584" w:lineRule="exact"/>
              <w:jc w:val="left"/>
              <w:rPr>
                <w:rFonts w:ascii="仿宋_GB2312" w:hAnsi="Times New Roman" w:eastAsia="仿宋_GB2312" w:cs="Times New Roman"/>
              </w:rPr>
            </w:pPr>
          </w:p>
        </w:tc>
        <w:tc>
          <w:tcPr>
            <w:tcW w:w="279" w:type="pct"/>
            <w:shd w:val="clear" w:color="auto" w:fill="auto"/>
            <w:vAlign w:val="center"/>
          </w:tcPr>
          <w:p>
            <w:pPr>
              <w:spacing w:line="584" w:lineRule="exact"/>
              <w:jc w:val="right"/>
              <w:rPr>
                <w:rFonts w:ascii="仿宋_GB2312" w:hAnsi="Times New Roman" w:eastAsia="仿宋_GB2312" w:cs="Times New Roman"/>
              </w:rPr>
            </w:pPr>
          </w:p>
        </w:tc>
        <w:tc>
          <w:tcPr>
            <w:tcW w:w="320"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266" w:type="pct"/>
            <w:shd w:val="clear" w:color="auto" w:fill="auto"/>
            <w:vAlign w:val="center"/>
          </w:tcPr>
          <w:p>
            <w:pPr>
              <w:spacing w:line="584" w:lineRule="exact"/>
              <w:jc w:val="right"/>
              <w:rPr>
                <w:rFonts w:ascii="仿宋_GB2312" w:hAnsi="Times New Roman" w:eastAsia="仿宋_GB2312" w:cs="Times New Roman"/>
              </w:rPr>
            </w:pPr>
          </w:p>
        </w:tc>
        <w:tc>
          <w:tcPr>
            <w:tcW w:w="312" w:type="pct"/>
            <w:shd w:val="clear" w:color="auto" w:fill="auto"/>
            <w:vAlign w:val="center"/>
          </w:tcPr>
          <w:p>
            <w:pPr>
              <w:spacing w:line="584" w:lineRule="exact"/>
              <w:jc w:val="right"/>
              <w:rPr>
                <w:rFonts w:ascii="仿宋_GB2312" w:hAnsi="Times New Roman" w:eastAsia="仿宋_GB2312" w:cs="Times New Roman"/>
              </w:rPr>
            </w:pPr>
          </w:p>
        </w:tc>
        <w:tc>
          <w:tcPr>
            <w:tcW w:w="313" w:type="pct"/>
            <w:shd w:val="clear" w:color="auto" w:fill="auto"/>
            <w:vAlign w:val="center"/>
          </w:tcPr>
          <w:p>
            <w:pPr>
              <w:spacing w:line="584" w:lineRule="exact"/>
              <w:jc w:val="right"/>
              <w:rPr>
                <w:rFonts w:ascii="仿宋_GB2312" w:hAnsi="Times New Roman" w:eastAsia="仿宋_GB2312" w:cs="Times New Roman"/>
              </w:rPr>
            </w:pPr>
          </w:p>
        </w:tc>
        <w:tc>
          <w:tcPr>
            <w:tcW w:w="297"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left"/>
              <w:rPr>
                <w:rFonts w:ascii="仿宋_GB2312" w:hAnsi="Times New Roman" w:eastAsia="仿宋_GB2312" w:cs="Times New Roman"/>
              </w:rPr>
            </w:pPr>
          </w:p>
        </w:tc>
        <w:tc>
          <w:tcPr>
            <w:tcW w:w="358" w:type="pct"/>
            <w:shd w:val="clear" w:color="auto" w:fill="auto"/>
            <w:vAlign w:val="center"/>
          </w:tcPr>
          <w:p>
            <w:pPr>
              <w:spacing w:line="584" w:lineRule="exact"/>
              <w:jc w:val="right"/>
              <w:rPr>
                <w:rFonts w:ascii="仿宋_GB2312" w:hAnsi="Times New Roman" w:eastAsia="仿宋_GB2312" w:cs="Times New Roman"/>
              </w:rPr>
            </w:pPr>
          </w:p>
        </w:tc>
        <w:tc>
          <w:tcPr>
            <w:tcW w:w="372" w:type="pct"/>
            <w:shd w:val="clear" w:color="auto" w:fill="auto"/>
            <w:vAlign w:val="center"/>
          </w:tcPr>
          <w:p>
            <w:pPr>
              <w:spacing w:line="584" w:lineRule="exact"/>
              <w:jc w:val="left"/>
              <w:rPr>
                <w:rFonts w:ascii="仿宋_GB2312" w:hAnsi="Times New Roman" w:eastAsia="仿宋_GB2312" w:cs="Times New Roman"/>
              </w:rPr>
            </w:pPr>
          </w:p>
        </w:tc>
        <w:tc>
          <w:tcPr>
            <w:tcW w:w="487" w:type="pct"/>
            <w:shd w:val="clear" w:color="auto" w:fill="auto"/>
            <w:vAlign w:val="center"/>
          </w:tcPr>
          <w:p>
            <w:pPr>
              <w:spacing w:line="584" w:lineRule="exact"/>
              <w:jc w:val="left"/>
              <w:rPr>
                <w:rFonts w:ascii="仿宋_GB2312" w:hAnsi="Times New Roman" w:eastAsia="仿宋_GB2312" w:cs="Times New Roman"/>
              </w:rPr>
            </w:pPr>
          </w:p>
        </w:tc>
        <w:tc>
          <w:tcPr>
            <w:tcW w:w="210" w:type="pct"/>
            <w:shd w:val="clear" w:color="auto" w:fill="auto"/>
            <w:vAlign w:val="center"/>
          </w:tcPr>
          <w:p>
            <w:pPr>
              <w:spacing w:line="584" w:lineRule="exact"/>
              <w:jc w:val="left"/>
              <w:rPr>
                <w:rFonts w:ascii="仿宋_GB2312" w:hAnsi="Times New Roman" w:eastAsia="仿宋_GB2312" w:cs="Times New Roman"/>
              </w:rPr>
            </w:pPr>
          </w:p>
        </w:tc>
        <w:tc>
          <w:tcPr>
            <w:tcW w:w="279" w:type="pct"/>
            <w:shd w:val="clear" w:color="auto" w:fill="auto"/>
            <w:vAlign w:val="center"/>
          </w:tcPr>
          <w:p>
            <w:pPr>
              <w:spacing w:line="584" w:lineRule="exact"/>
              <w:jc w:val="right"/>
              <w:rPr>
                <w:rFonts w:ascii="仿宋_GB2312" w:hAnsi="Times New Roman" w:eastAsia="仿宋_GB2312" w:cs="Times New Roman"/>
              </w:rPr>
            </w:pPr>
          </w:p>
        </w:tc>
        <w:tc>
          <w:tcPr>
            <w:tcW w:w="320"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266" w:type="pct"/>
            <w:shd w:val="clear" w:color="auto" w:fill="auto"/>
            <w:vAlign w:val="center"/>
          </w:tcPr>
          <w:p>
            <w:pPr>
              <w:spacing w:line="584" w:lineRule="exact"/>
              <w:jc w:val="right"/>
              <w:rPr>
                <w:rFonts w:ascii="仿宋_GB2312" w:hAnsi="Times New Roman" w:eastAsia="仿宋_GB2312" w:cs="Times New Roman"/>
              </w:rPr>
            </w:pPr>
          </w:p>
        </w:tc>
        <w:tc>
          <w:tcPr>
            <w:tcW w:w="312" w:type="pct"/>
            <w:shd w:val="clear" w:color="auto" w:fill="auto"/>
            <w:vAlign w:val="center"/>
          </w:tcPr>
          <w:p>
            <w:pPr>
              <w:spacing w:line="584" w:lineRule="exact"/>
              <w:jc w:val="right"/>
              <w:rPr>
                <w:rFonts w:ascii="仿宋_GB2312" w:hAnsi="Times New Roman" w:eastAsia="仿宋_GB2312" w:cs="Times New Roman"/>
              </w:rPr>
            </w:pPr>
          </w:p>
        </w:tc>
        <w:tc>
          <w:tcPr>
            <w:tcW w:w="313" w:type="pct"/>
            <w:shd w:val="clear" w:color="auto" w:fill="auto"/>
            <w:vAlign w:val="center"/>
          </w:tcPr>
          <w:p>
            <w:pPr>
              <w:spacing w:line="584" w:lineRule="exact"/>
              <w:jc w:val="right"/>
              <w:rPr>
                <w:rFonts w:ascii="仿宋_GB2312" w:hAnsi="Times New Roman" w:eastAsia="仿宋_GB2312" w:cs="Times New Roman"/>
              </w:rPr>
            </w:pPr>
          </w:p>
        </w:tc>
        <w:tc>
          <w:tcPr>
            <w:tcW w:w="297"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left"/>
              <w:rPr>
                <w:rFonts w:ascii="仿宋_GB2312" w:hAnsi="Times New Roman" w:eastAsia="仿宋_GB2312" w:cs="Times New Roman"/>
              </w:rPr>
            </w:pPr>
          </w:p>
        </w:tc>
        <w:tc>
          <w:tcPr>
            <w:tcW w:w="358" w:type="pct"/>
            <w:shd w:val="clear" w:color="auto" w:fill="auto"/>
            <w:vAlign w:val="center"/>
          </w:tcPr>
          <w:p>
            <w:pPr>
              <w:spacing w:line="584" w:lineRule="exact"/>
              <w:jc w:val="right"/>
              <w:rPr>
                <w:rFonts w:ascii="仿宋_GB2312" w:hAnsi="Times New Roman" w:eastAsia="仿宋_GB2312" w:cs="Times New Roman"/>
              </w:rPr>
            </w:pPr>
          </w:p>
        </w:tc>
        <w:tc>
          <w:tcPr>
            <w:tcW w:w="372" w:type="pct"/>
            <w:shd w:val="clear" w:color="auto" w:fill="auto"/>
            <w:vAlign w:val="center"/>
          </w:tcPr>
          <w:p>
            <w:pPr>
              <w:spacing w:line="584" w:lineRule="exact"/>
              <w:jc w:val="left"/>
              <w:rPr>
                <w:rFonts w:ascii="仿宋_GB2312" w:hAnsi="Times New Roman" w:eastAsia="仿宋_GB2312" w:cs="Times New Roman"/>
              </w:rPr>
            </w:pPr>
          </w:p>
        </w:tc>
        <w:tc>
          <w:tcPr>
            <w:tcW w:w="487" w:type="pct"/>
            <w:shd w:val="clear" w:color="auto" w:fill="auto"/>
            <w:vAlign w:val="center"/>
          </w:tcPr>
          <w:p>
            <w:pPr>
              <w:spacing w:line="584" w:lineRule="exact"/>
              <w:jc w:val="left"/>
              <w:rPr>
                <w:rFonts w:ascii="仿宋_GB2312" w:hAnsi="Times New Roman" w:eastAsia="仿宋_GB2312" w:cs="Times New Roman"/>
              </w:rPr>
            </w:pPr>
          </w:p>
        </w:tc>
        <w:tc>
          <w:tcPr>
            <w:tcW w:w="210" w:type="pct"/>
            <w:shd w:val="clear" w:color="auto" w:fill="auto"/>
            <w:vAlign w:val="center"/>
          </w:tcPr>
          <w:p>
            <w:pPr>
              <w:spacing w:line="584" w:lineRule="exact"/>
              <w:jc w:val="left"/>
              <w:rPr>
                <w:rFonts w:ascii="仿宋_GB2312" w:hAnsi="Times New Roman" w:eastAsia="仿宋_GB2312" w:cs="Times New Roman"/>
              </w:rPr>
            </w:pPr>
          </w:p>
        </w:tc>
        <w:tc>
          <w:tcPr>
            <w:tcW w:w="279" w:type="pct"/>
            <w:shd w:val="clear" w:color="auto" w:fill="auto"/>
            <w:vAlign w:val="center"/>
          </w:tcPr>
          <w:p>
            <w:pPr>
              <w:spacing w:line="584" w:lineRule="exact"/>
              <w:jc w:val="right"/>
              <w:rPr>
                <w:rFonts w:ascii="仿宋_GB2312" w:hAnsi="Times New Roman" w:eastAsia="仿宋_GB2312" w:cs="Times New Roman"/>
              </w:rPr>
            </w:pPr>
          </w:p>
        </w:tc>
        <w:tc>
          <w:tcPr>
            <w:tcW w:w="320"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266" w:type="pct"/>
            <w:shd w:val="clear" w:color="auto" w:fill="auto"/>
            <w:vAlign w:val="center"/>
          </w:tcPr>
          <w:p>
            <w:pPr>
              <w:spacing w:line="584" w:lineRule="exact"/>
              <w:jc w:val="right"/>
              <w:rPr>
                <w:rFonts w:ascii="仿宋_GB2312" w:hAnsi="Times New Roman" w:eastAsia="仿宋_GB2312" w:cs="Times New Roman"/>
              </w:rPr>
            </w:pPr>
          </w:p>
        </w:tc>
        <w:tc>
          <w:tcPr>
            <w:tcW w:w="312" w:type="pct"/>
            <w:shd w:val="clear" w:color="auto" w:fill="auto"/>
            <w:vAlign w:val="center"/>
          </w:tcPr>
          <w:p>
            <w:pPr>
              <w:spacing w:line="584" w:lineRule="exact"/>
              <w:jc w:val="right"/>
              <w:rPr>
                <w:rFonts w:ascii="仿宋_GB2312" w:hAnsi="Times New Roman" w:eastAsia="仿宋_GB2312" w:cs="Times New Roman"/>
              </w:rPr>
            </w:pPr>
          </w:p>
        </w:tc>
        <w:tc>
          <w:tcPr>
            <w:tcW w:w="313" w:type="pct"/>
            <w:shd w:val="clear" w:color="auto" w:fill="auto"/>
            <w:vAlign w:val="center"/>
          </w:tcPr>
          <w:p>
            <w:pPr>
              <w:spacing w:line="584" w:lineRule="exact"/>
              <w:jc w:val="right"/>
              <w:rPr>
                <w:rFonts w:ascii="仿宋_GB2312" w:hAnsi="Times New Roman" w:eastAsia="仿宋_GB2312" w:cs="Times New Roman"/>
              </w:rPr>
            </w:pPr>
          </w:p>
        </w:tc>
        <w:tc>
          <w:tcPr>
            <w:tcW w:w="297"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0" w:type="pct"/>
            <w:shd w:val="clear" w:color="auto" w:fill="auto"/>
            <w:vAlign w:val="center"/>
          </w:tcPr>
          <w:p>
            <w:pPr>
              <w:spacing w:line="584" w:lineRule="exact"/>
              <w:jc w:val="left"/>
              <w:rPr>
                <w:rFonts w:ascii="仿宋_GB2312" w:hAnsi="Times New Roman" w:eastAsia="仿宋_GB2312" w:cs="Times New Roman"/>
              </w:rPr>
            </w:pPr>
          </w:p>
        </w:tc>
        <w:tc>
          <w:tcPr>
            <w:tcW w:w="358" w:type="pct"/>
            <w:shd w:val="clear" w:color="auto" w:fill="auto"/>
            <w:vAlign w:val="center"/>
          </w:tcPr>
          <w:p>
            <w:pPr>
              <w:spacing w:line="584" w:lineRule="exact"/>
              <w:jc w:val="right"/>
              <w:rPr>
                <w:rFonts w:ascii="仿宋_GB2312" w:hAnsi="Times New Roman" w:eastAsia="仿宋_GB2312" w:cs="Times New Roman"/>
              </w:rPr>
            </w:pPr>
          </w:p>
        </w:tc>
        <w:tc>
          <w:tcPr>
            <w:tcW w:w="372" w:type="pct"/>
            <w:shd w:val="clear" w:color="auto" w:fill="auto"/>
            <w:vAlign w:val="center"/>
          </w:tcPr>
          <w:p>
            <w:pPr>
              <w:spacing w:line="584" w:lineRule="exact"/>
              <w:jc w:val="left"/>
              <w:rPr>
                <w:rFonts w:ascii="仿宋_GB2312" w:hAnsi="Times New Roman" w:eastAsia="仿宋_GB2312" w:cs="Times New Roman"/>
              </w:rPr>
            </w:pPr>
          </w:p>
        </w:tc>
        <w:tc>
          <w:tcPr>
            <w:tcW w:w="487" w:type="pct"/>
            <w:shd w:val="clear" w:color="auto" w:fill="auto"/>
            <w:vAlign w:val="center"/>
          </w:tcPr>
          <w:p>
            <w:pPr>
              <w:spacing w:line="584" w:lineRule="exact"/>
              <w:jc w:val="left"/>
              <w:rPr>
                <w:rFonts w:ascii="仿宋_GB2312" w:hAnsi="Times New Roman" w:eastAsia="仿宋_GB2312" w:cs="Times New Roman"/>
              </w:rPr>
            </w:pPr>
          </w:p>
        </w:tc>
        <w:tc>
          <w:tcPr>
            <w:tcW w:w="210" w:type="pct"/>
            <w:shd w:val="clear" w:color="auto" w:fill="auto"/>
            <w:vAlign w:val="center"/>
          </w:tcPr>
          <w:p>
            <w:pPr>
              <w:spacing w:line="584" w:lineRule="exact"/>
              <w:jc w:val="left"/>
              <w:rPr>
                <w:rFonts w:ascii="仿宋_GB2312" w:hAnsi="Times New Roman" w:eastAsia="仿宋_GB2312" w:cs="Times New Roman"/>
              </w:rPr>
            </w:pPr>
          </w:p>
        </w:tc>
        <w:tc>
          <w:tcPr>
            <w:tcW w:w="279" w:type="pct"/>
            <w:shd w:val="clear" w:color="auto" w:fill="auto"/>
            <w:vAlign w:val="center"/>
          </w:tcPr>
          <w:p>
            <w:pPr>
              <w:spacing w:line="584" w:lineRule="exact"/>
              <w:jc w:val="right"/>
              <w:rPr>
                <w:rFonts w:ascii="仿宋_GB2312" w:hAnsi="Times New Roman" w:eastAsia="仿宋_GB2312" w:cs="Times New Roman"/>
              </w:rPr>
            </w:pPr>
          </w:p>
        </w:tc>
        <w:tc>
          <w:tcPr>
            <w:tcW w:w="320"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322" w:type="pct"/>
            <w:shd w:val="clear" w:color="auto" w:fill="auto"/>
            <w:vAlign w:val="center"/>
          </w:tcPr>
          <w:p>
            <w:pPr>
              <w:spacing w:line="584" w:lineRule="exact"/>
              <w:jc w:val="right"/>
              <w:rPr>
                <w:rFonts w:ascii="仿宋_GB2312" w:hAnsi="Times New Roman" w:eastAsia="仿宋_GB2312" w:cs="Times New Roman"/>
              </w:rPr>
            </w:pPr>
          </w:p>
        </w:tc>
        <w:tc>
          <w:tcPr>
            <w:tcW w:w="266" w:type="pct"/>
            <w:shd w:val="clear" w:color="auto" w:fill="auto"/>
            <w:vAlign w:val="center"/>
          </w:tcPr>
          <w:p>
            <w:pPr>
              <w:spacing w:line="584" w:lineRule="exact"/>
              <w:jc w:val="right"/>
              <w:rPr>
                <w:rFonts w:ascii="仿宋_GB2312" w:hAnsi="Times New Roman" w:eastAsia="仿宋_GB2312" w:cs="Times New Roman"/>
              </w:rPr>
            </w:pPr>
          </w:p>
        </w:tc>
        <w:tc>
          <w:tcPr>
            <w:tcW w:w="312" w:type="pct"/>
            <w:shd w:val="clear" w:color="auto" w:fill="auto"/>
            <w:vAlign w:val="center"/>
          </w:tcPr>
          <w:p>
            <w:pPr>
              <w:spacing w:line="584" w:lineRule="exact"/>
              <w:jc w:val="right"/>
              <w:rPr>
                <w:rFonts w:ascii="仿宋_GB2312" w:hAnsi="Times New Roman" w:eastAsia="仿宋_GB2312" w:cs="Times New Roman"/>
              </w:rPr>
            </w:pPr>
          </w:p>
        </w:tc>
        <w:tc>
          <w:tcPr>
            <w:tcW w:w="313" w:type="pct"/>
            <w:shd w:val="clear" w:color="auto" w:fill="auto"/>
            <w:vAlign w:val="center"/>
          </w:tcPr>
          <w:p>
            <w:pPr>
              <w:spacing w:line="584" w:lineRule="exact"/>
              <w:jc w:val="right"/>
              <w:rPr>
                <w:rFonts w:ascii="仿宋_GB2312" w:hAnsi="Times New Roman" w:eastAsia="仿宋_GB2312" w:cs="Times New Roman"/>
              </w:rPr>
            </w:pPr>
          </w:p>
        </w:tc>
        <w:tc>
          <w:tcPr>
            <w:tcW w:w="297" w:type="pct"/>
            <w:shd w:val="clear" w:color="auto" w:fill="auto"/>
            <w:vAlign w:val="center"/>
          </w:tcPr>
          <w:p>
            <w:pPr>
              <w:spacing w:line="584" w:lineRule="exact"/>
              <w:jc w:val="right"/>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广阳区水务局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6328.51</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332</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广阳区水务局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6328.51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1100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101.69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1100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101.69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144.81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122.15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286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5959.86</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67C9"/>
    <w:rsid w:val="00037AF6"/>
    <w:rsid w:val="000410F2"/>
    <w:rsid w:val="00045253"/>
    <w:rsid w:val="0004565F"/>
    <w:rsid w:val="00072187"/>
    <w:rsid w:val="00075D5F"/>
    <w:rsid w:val="0008180F"/>
    <w:rsid w:val="00093DA3"/>
    <w:rsid w:val="000B529B"/>
    <w:rsid w:val="000C24E6"/>
    <w:rsid w:val="000C3A19"/>
    <w:rsid w:val="000C424A"/>
    <w:rsid w:val="000E2D38"/>
    <w:rsid w:val="000E4305"/>
    <w:rsid w:val="000F0D09"/>
    <w:rsid w:val="00105CC4"/>
    <w:rsid w:val="001245BB"/>
    <w:rsid w:val="001251A3"/>
    <w:rsid w:val="0015229A"/>
    <w:rsid w:val="00156603"/>
    <w:rsid w:val="00157E97"/>
    <w:rsid w:val="00160266"/>
    <w:rsid w:val="001643E8"/>
    <w:rsid w:val="00173959"/>
    <w:rsid w:val="00176C13"/>
    <w:rsid w:val="001919C4"/>
    <w:rsid w:val="0019723B"/>
    <w:rsid w:val="001A0943"/>
    <w:rsid w:val="001A5677"/>
    <w:rsid w:val="001B1B4F"/>
    <w:rsid w:val="001B5C1D"/>
    <w:rsid w:val="001E0757"/>
    <w:rsid w:val="001E6DDC"/>
    <w:rsid w:val="001E70E9"/>
    <w:rsid w:val="001F5C92"/>
    <w:rsid w:val="001F7873"/>
    <w:rsid w:val="00222EF5"/>
    <w:rsid w:val="00230E48"/>
    <w:rsid w:val="00241FD4"/>
    <w:rsid w:val="00246317"/>
    <w:rsid w:val="00251B12"/>
    <w:rsid w:val="00265318"/>
    <w:rsid w:val="00265F39"/>
    <w:rsid w:val="002835D7"/>
    <w:rsid w:val="00290FD6"/>
    <w:rsid w:val="00292821"/>
    <w:rsid w:val="00296113"/>
    <w:rsid w:val="002A673A"/>
    <w:rsid w:val="002C4938"/>
    <w:rsid w:val="002C4D9C"/>
    <w:rsid w:val="002C5E13"/>
    <w:rsid w:val="002C62BC"/>
    <w:rsid w:val="002E0EB8"/>
    <w:rsid w:val="002F3E58"/>
    <w:rsid w:val="0030542C"/>
    <w:rsid w:val="00311B7A"/>
    <w:rsid w:val="003126B6"/>
    <w:rsid w:val="00313D9C"/>
    <w:rsid w:val="0031476B"/>
    <w:rsid w:val="00322FF9"/>
    <w:rsid w:val="00325215"/>
    <w:rsid w:val="0033339C"/>
    <w:rsid w:val="00335660"/>
    <w:rsid w:val="003B6D37"/>
    <w:rsid w:val="00414BD3"/>
    <w:rsid w:val="004204AA"/>
    <w:rsid w:val="00424943"/>
    <w:rsid w:val="00425385"/>
    <w:rsid w:val="0042727E"/>
    <w:rsid w:val="0043175C"/>
    <w:rsid w:val="00437296"/>
    <w:rsid w:val="00451590"/>
    <w:rsid w:val="00451871"/>
    <w:rsid w:val="00452AF9"/>
    <w:rsid w:val="004706DE"/>
    <w:rsid w:val="00472923"/>
    <w:rsid w:val="00486DCD"/>
    <w:rsid w:val="0049120C"/>
    <w:rsid w:val="004960AC"/>
    <w:rsid w:val="004B0C3A"/>
    <w:rsid w:val="004C49A8"/>
    <w:rsid w:val="004C58D3"/>
    <w:rsid w:val="004D5788"/>
    <w:rsid w:val="004E3066"/>
    <w:rsid w:val="004E419C"/>
    <w:rsid w:val="004E74CD"/>
    <w:rsid w:val="0050695D"/>
    <w:rsid w:val="00524EFD"/>
    <w:rsid w:val="00534B66"/>
    <w:rsid w:val="00572067"/>
    <w:rsid w:val="00573562"/>
    <w:rsid w:val="00590ECE"/>
    <w:rsid w:val="005C0E90"/>
    <w:rsid w:val="005C1942"/>
    <w:rsid w:val="005D0C27"/>
    <w:rsid w:val="005D37CA"/>
    <w:rsid w:val="005F5714"/>
    <w:rsid w:val="005F7884"/>
    <w:rsid w:val="005F7AE1"/>
    <w:rsid w:val="00611D03"/>
    <w:rsid w:val="00612DD9"/>
    <w:rsid w:val="00614A29"/>
    <w:rsid w:val="00651BA2"/>
    <w:rsid w:val="00654FB9"/>
    <w:rsid w:val="00661DED"/>
    <w:rsid w:val="00673D76"/>
    <w:rsid w:val="006854F0"/>
    <w:rsid w:val="006A6A76"/>
    <w:rsid w:val="006B1C4A"/>
    <w:rsid w:val="006B610D"/>
    <w:rsid w:val="006C206A"/>
    <w:rsid w:val="006D5560"/>
    <w:rsid w:val="006E37B8"/>
    <w:rsid w:val="006E49F5"/>
    <w:rsid w:val="006E51AE"/>
    <w:rsid w:val="007013C8"/>
    <w:rsid w:val="00727C84"/>
    <w:rsid w:val="0074338E"/>
    <w:rsid w:val="00753836"/>
    <w:rsid w:val="0075393C"/>
    <w:rsid w:val="00754592"/>
    <w:rsid w:val="00776C08"/>
    <w:rsid w:val="00790ABF"/>
    <w:rsid w:val="007A7262"/>
    <w:rsid w:val="007B49AA"/>
    <w:rsid w:val="007C219A"/>
    <w:rsid w:val="007E1DA8"/>
    <w:rsid w:val="007E4B05"/>
    <w:rsid w:val="007F1335"/>
    <w:rsid w:val="007F4614"/>
    <w:rsid w:val="007F6C26"/>
    <w:rsid w:val="00800F72"/>
    <w:rsid w:val="00811795"/>
    <w:rsid w:val="00813208"/>
    <w:rsid w:val="00815157"/>
    <w:rsid w:val="0083245D"/>
    <w:rsid w:val="0083348E"/>
    <w:rsid w:val="008334AE"/>
    <w:rsid w:val="008359F9"/>
    <w:rsid w:val="00836FED"/>
    <w:rsid w:val="0083724E"/>
    <w:rsid w:val="00841D53"/>
    <w:rsid w:val="00843DF8"/>
    <w:rsid w:val="00845CD2"/>
    <w:rsid w:val="00852B0D"/>
    <w:rsid w:val="0085425A"/>
    <w:rsid w:val="008557B2"/>
    <w:rsid w:val="00862CE4"/>
    <w:rsid w:val="00864B7F"/>
    <w:rsid w:val="00881692"/>
    <w:rsid w:val="00882539"/>
    <w:rsid w:val="008858FF"/>
    <w:rsid w:val="008A6576"/>
    <w:rsid w:val="008B3CC5"/>
    <w:rsid w:val="008B52CD"/>
    <w:rsid w:val="008C169C"/>
    <w:rsid w:val="008C7C4D"/>
    <w:rsid w:val="008E4261"/>
    <w:rsid w:val="008E70D4"/>
    <w:rsid w:val="008F4662"/>
    <w:rsid w:val="0090563F"/>
    <w:rsid w:val="00905D08"/>
    <w:rsid w:val="00925753"/>
    <w:rsid w:val="00925E14"/>
    <w:rsid w:val="00937F8B"/>
    <w:rsid w:val="009425F4"/>
    <w:rsid w:val="00943BD8"/>
    <w:rsid w:val="00954B2C"/>
    <w:rsid w:val="00960707"/>
    <w:rsid w:val="00966C5C"/>
    <w:rsid w:val="009676A1"/>
    <w:rsid w:val="00973104"/>
    <w:rsid w:val="00982EAB"/>
    <w:rsid w:val="009842F6"/>
    <w:rsid w:val="00984E9A"/>
    <w:rsid w:val="00987248"/>
    <w:rsid w:val="00995BF0"/>
    <w:rsid w:val="00996540"/>
    <w:rsid w:val="009A0D02"/>
    <w:rsid w:val="009A16D5"/>
    <w:rsid w:val="009A353D"/>
    <w:rsid w:val="009B0B77"/>
    <w:rsid w:val="009B511E"/>
    <w:rsid w:val="009B5215"/>
    <w:rsid w:val="009C6C86"/>
    <w:rsid w:val="009D37D3"/>
    <w:rsid w:val="009D3807"/>
    <w:rsid w:val="009D4818"/>
    <w:rsid w:val="00A16E6C"/>
    <w:rsid w:val="00A40F60"/>
    <w:rsid w:val="00A44E3D"/>
    <w:rsid w:val="00A72D2E"/>
    <w:rsid w:val="00A74447"/>
    <w:rsid w:val="00A74CE5"/>
    <w:rsid w:val="00A77500"/>
    <w:rsid w:val="00A8010E"/>
    <w:rsid w:val="00A8536F"/>
    <w:rsid w:val="00A911E7"/>
    <w:rsid w:val="00A939D9"/>
    <w:rsid w:val="00AB65FC"/>
    <w:rsid w:val="00AB77AA"/>
    <w:rsid w:val="00AC0E98"/>
    <w:rsid w:val="00AC4748"/>
    <w:rsid w:val="00AD5259"/>
    <w:rsid w:val="00B01D36"/>
    <w:rsid w:val="00B069A2"/>
    <w:rsid w:val="00B078CD"/>
    <w:rsid w:val="00B20712"/>
    <w:rsid w:val="00B26AA3"/>
    <w:rsid w:val="00B33B07"/>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4F0E"/>
    <w:rsid w:val="00D27003"/>
    <w:rsid w:val="00D324AD"/>
    <w:rsid w:val="00D9307A"/>
    <w:rsid w:val="00DA05B1"/>
    <w:rsid w:val="00DB4322"/>
    <w:rsid w:val="00DD0C78"/>
    <w:rsid w:val="00DD1D0C"/>
    <w:rsid w:val="00DE186D"/>
    <w:rsid w:val="00E167C7"/>
    <w:rsid w:val="00E440CF"/>
    <w:rsid w:val="00E55B78"/>
    <w:rsid w:val="00E76361"/>
    <w:rsid w:val="00E84020"/>
    <w:rsid w:val="00E8799A"/>
    <w:rsid w:val="00E96898"/>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C0978"/>
    <w:rsid w:val="00FD5DB4"/>
    <w:rsid w:val="00FE1724"/>
    <w:rsid w:val="00FE4467"/>
    <w:rsid w:val="00FE753C"/>
    <w:rsid w:val="00FF2346"/>
    <w:rsid w:val="11EF4FE9"/>
    <w:rsid w:val="7DE129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57B7-54CB-481D-9612-6B48998A0E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1133</Words>
  <Characters>6463</Characters>
  <Lines>53</Lines>
  <Paragraphs>15</Paragraphs>
  <TotalTime>321</TotalTime>
  <ScaleCrop>false</ScaleCrop>
  <LinksUpToDate>false</LinksUpToDate>
  <CharactersWithSpaces>7581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2024-05-16T03:07:33Z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1874FA2FEE6347BCAC79F05E4A4DC67C</vt:lpwstr>
  </property>
</Properties>
</file>