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廊坊市广阳区人民检察院2019年部门预算信息公开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40" w:firstLineChars="200"/>
        <w:rPr>
          <w:rFonts w:ascii="仿宋_GB2312" w:eastAsia="仿宋_GB2312" w:cs="Times New Roman"/>
          <w:sz w:val="32"/>
          <w:szCs w:val="32"/>
        </w:rPr>
      </w:pPr>
      <w:r>
        <w:rPr>
          <w:rFonts w:hint="eastAsia" w:ascii="仿宋_GB2312" w:eastAsia="仿宋_GB2312"/>
          <w:sz w:val="32"/>
          <w:szCs w:val="32"/>
        </w:rPr>
        <w:t>1、</w:t>
      </w:r>
      <w:r>
        <w:rPr>
          <w:rFonts w:hint="eastAsia" w:ascii="仿宋_GB2312" w:eastAsia="仿宋_GB2312" w:cs="微软雅黑"/>
          <w:sz w:val="32"/>
          <w:szCs w:val="32"/>
        </w:rPr>
        <w:t>依法向广阳区人民代表大会及其常务委员提出议案</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cs="微软雅黑"/>
          <w:sz w:val="32"/>
          <w:szCs w:val="32"/>
        </w:rPr>
        <w:t>认真贯彻执行上级检察院的工作部署</w:t>
      </w:r>
      <w:r>
        <w:rPr>
          <w:rFonts w:hint="eastAsia" w:ascii="仿宋_GB2312" w:eastAsia="仿宋_GB2312" w:cs="Malgun Gothic Semilight"/>
          <w:sz w:val="32"/>
          <w:szCs w:val="32"/>
        </w:rPr>
        <w:t>，</w:t>
      </w:r>
      <w:r>
        <w:rPr>
          <w:rFonts w:hint="eastAsia" w:ascii="仿宋_GB2312" w:eastAsia="仿宋_GB2312" w:cs="微软雅黑"/>
          <w:sz w:val="32"/>
          <w:szCs w:val="32"/>
        </w:rPr>
        <w:t>结合本区实际</w:t>
      </w:r>
      <w:r>
        <w:rPr>
          <w:rFonts w:hint="eastAsia" w:ascii="仿宋_GB2312" w:eastAsia="仿宋_GB2312" w:cs="Malgun Gothic Semilight"/>
          <w:sz w:val="32"/>
          <w:szCs w:val="32"/>
        </w:rPr>
        <w:t>，</w:t>
      </w:r>
      <w:r>
        <w:rPr>
          <w:rFonts w:hint="eastAsia" w:ascii="仿宋_GB2312" w:eastAsia="仿宋_GB2312" w:cs="微软雅黑"/>
          <w:sz w:val="32"/>
          <w:szCs w:val="32"/>
        </w:rPr>
        <w:t>采取相关措施</w:t>
      </w:r>
      <w:r>
        <w:rPr>
          <w:rFonts w:hint="eastAsia" w:ascii="仿宋_GB2312" w:eastAsia="仿宋_GB2312" w:cs="Malgun Gothic Semilight"/>
          <w:sz w:val="32"/>
          <w:szCs w:val="32"/>
        </w:rPr>
        <w:t>，</w:t>
      </w:r>
      <w:r>
        <w:rPr>
          <w:rFonts w:hint="eastAsia" w:ascii="仿宋_GB2312" w:eastAsia="仿宋_GB2312" w:cs="微软雅黑"/>
          <w:sz w:val="32"/>
          <w:szCs w:val="32"/>
        </w:rPr>
        <w:t>完成本区检察工作任务</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cs="微软雅黑"/>
          <w:sz w:val="32"/>
          <w:szCs w:val="32"/>
        </w:rPr>
        <w:t>对辖区内刑事犯罪案件依法审查批捕</w:t>
      </w:r>
      <w:r>
        <w:rPr>
          <w:rFonts w:hint="eastAsia" w:ascii="仿宋_GB2312" w:eastAsia="仿宋_GB2312" w:cs="Malgun Gothic Semilight"/>
          <w:sz w:val="32"/>
          <w:szCs w:val="32"/>
        </w:rPr>
        <w:t>、</w:t>
      </w:r>
      <w:r>
        <w:rPr>
          <w:rFonts w:hint="eastAsia" w:ascii="仿宋_GB2312" w:eastAsia="仿宋_GB2312" w:cs="微软雅黑"/>
          <w:sz w:val="32"/>
          <w:szCs w:val="32"/>
        </w:rPr>
        <w:t>提起公诉</w:t>
      </w:r>
      <w:r>
        <w:rPr>
          <w:rFonts w:hint="eastAsia" w:ascii="仿宋_GB2312" w:eastAsia="仿宋_GB2312" w:cs="Malgun Gothic Semilight"/>
          <w:sz w:val="32"/>
          <w:szCs w:val="32"/>
        </w:rPr>
        <w:t>，</w:t>
      </w:r>
      <w:r>
        <w:rPr>
          <w:rFonts w:hint="eastAsia" w:ascii="仿宋_GB2312" w:eastAsia="仿宋_GB2312" w:cs="微软雅黑"/>
          <w:sz w:val="32"/>
          <w:szCs w:val="32"/>
        </w:rPr>
        <w:t>依法对公安机关的立案侦查活动实行法律监督</w:t>
      </w:r>
      <w:r>
        <w:rPr>
          <w:rFonts w:hint="eastAsia" w:ascii="仿宋_GB2312" w:eastAsia="仿宋_GB2312" w:cs="Malgun Gothic Semilight"/>
          <w:sz w:val="32"/>
          <w:szCs w:val="32"/>
        </w:rPr>
        <w:t>，</w:t>
      </w:r>
      <w:r>
        <w:rPr>
          <w:rFonts w:hint="eastAsia" w:ascii="仿宋_GB2312" w:eastAsia="仿宋_GB2312" w:cs="微软雅黑"/>
          <w:sz w:val="32"/>
          <w:szCs w:val="32"/>
        </w:rPr>
        <w:t>并对本区同级人民法院开庭审理的案件依法派员出席法庭</w:t>
      </w:r>
      <w:r>
        <w:rPr>
          <w:rFonts w:hint="eastAsia" w:ascii="仿宋_GB2312" w:eastAsia="仿宋_GB2312" w:cs="Malgun Gothic Semilight"/>
          <w:sz w:val="32"/>
          <w:szCs w:val="32"/>
        </w:rPr>
        <w:t>，</w:t>
      </w:r>
      <w:r>
        <w:rPr>
          <w:rFonts w:hint="eastAsia" w:ascii="仿宋_GB2312" w:eastAsia="仿宋_GB2312" w:cs="微软雅黑"/>
          <w:sz w:val="32"/>
          <w:szCs w:val="32"/>
        </w:rPr>
        <w:t>履行法律监督职责</w:t>
      </w:r>
      <w:r>
        <w:rPr>
          <w:rFonts w:hint="eastAsia" w:ascii="仿宋_GB2312" w:eastAsia="仿宋_GB2312" w:cs="Malgun Gothic Semilight"/>
          <w:sz w:val="32"/>
          <w:szCs w:val="32"/>
        </w:rPr>
        <w:t>。</w:t>
      </w:r>
      <w:r>
        <w:rPr>
          <w:rFonts w:hint="eastAsia" w:ascii="仿宋_GB2312" w:eastAsia="仿宋_GB2312" w:cs="微软雅黑"/>
          <w:sz w:val="32"/>
          <w:szCs w:val="32"/>
        </w:rPr>
        <w:t>掌握社会治安动态</w:t>
      </w:r>
      <w:r>
        <w:rPr>
          <w:rFonts w:hint="eastAsia" w:ascii="仿宋_GB2312" w:eastAsia="仿宋_GB2312" w:cs="Malgun Gothic Semilight"/>
          <w:sz w:val="32"/>
          <w:szCs w:val="32"/>
        </w:rPr>
        <w:t>，</w:t>
      </w:r>
      <w:r>
        <w:rPr>
          <w:rFonts w:hint="eastAsia" w:ascii="仿宋_GB2312" w:eastAsia="仿宋_GB2312" w:cs="微软雅黑"/>
          <w:sz w:val="32"/>
          <w:szCs w:val="32"/>
        </w:rPr>
        <w:t>参与社会治安综合治理</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cs="微软雅黑"/>
          <w:sz w:val="32"/>
          <w:szCs w:val="32"/>
        </w:rPr>
        <w:t>依法对刑事审判实行法律监督</w:t>
      </w:r>
      <w:r>
        <w:rPr>
          <w:rFonts w:hint="eastAsia" w:ascii="仿宋_GB2312" w:eastAsia="仿宋_GB2312" w:cs="Malgun Gothic Semilight"/>
          <w:sz w:val="32"/>
          <w:szCs w:val="32"/>
        </w:rPr>
        <w:t>，</w:t>
      </w:r>
      <w:r>
        <w:rPr>
          <w:rFonts w:hint="eastAsia" w:ascii="仿宋_GB2312" w:eastAsia="仿宋_GB2312" w:cs="微软雅黑"/>
          <w:sz w:val="32"/>
          <w:szCs w:val="32"/>
        </w:rPr>
        <w:t>对确有错误的刑事判决</w:t>
      </w:r>
      <w:r>
        <w:rPr>
          <w:rFonts w:hint="eastAsia" w:ascii="仿宋_GB2312" w:eastAsia="仿宋_GB2312" w:cs="Malgun Gothic Semilight"/>
          <w:sz w:val="32"/>
          <w:szCs w:val="32"/>
        </w:rPr>
        <w:t>、</w:t>
      </w:r>
      <w:r>
        <w:rPr>
          <w:rFonts w:hint="eastAsia" w:ascii="仿宋_GB2312" w:eastAsia="仿宋_GB2312" w:cs="微软雅黑"/>
          <w:sz w:val="32"/>
          <w:szCs w:val="32"/>
        </w:rPr>
        <w:t>裁定</w:t>
      </w:r>
      <w:r>
        <w:rPr>
          <w:rFonts w:hint="eastAsia" w:ascii="仿宋_GB2312" w:eastAsia="仿宋_GB2312" w:cs="Malgun Gothic Semilight"/>
          <w:sz w:val="32"/>
          <w:szCs w:val="32"/>
        </w:rPr>
        <w:t>，</w:t>
      </w:r>
      <w:r>
        <w:rPr>
          <w:rFonts w:hint="eastAsia" w:ascii="仿宋_GB2312" w:eastAsia="仿宋_GB2312" w:cs="微软雅黑"/>
          <w:sz w:val="32"/>
          <w:szCs w:val="32"/>
        </w:rPr>
        <w:t>依法提请上级人民检察院抗诉</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cs="微软雅黑"/>
          <w:sz w:val="32"/>
          <w:szCs w:val="32"/>
        </w:rPr>
        <w:t>依法对民事</w:t>
      </w:r>
      <w:r>
        <w:rPr>
          <w:rFonts w:hint="eastAsia" w:ascii="仿宋_GB2312" w:eastAsia="仿宋_GB2312" w:cs="Malgun Gothic Semilight"/>
          <w:sz w:val="32"/>
          <w:szCs w:val="32"/>
        </w:rPr>
        <w:t>、</w:t>
      </w:r>
      <w:r>
        <w:rPr>
          <w:rFonts w:hint="eastAsia" w:ascii="仿宋_GB2312" w:eastAsia="仿宋_GB2312" w:cs="微软雅黑"/>
          <w:sz w:val="32"/>
          <w:szCs w:val="32"/>
        </w:rPr>
        <w:t>行政审判实行法律监督</w:t>
      </w:r>
      <w:r>
        <w:rPr>
          <w:rFonts w:hint="eastAsia" w:ascii="仿宋_GB2312" w:eastAsia="仿宋_GB2312" w:cs="Malgun Gothic Semilight"/>
          <w:sz w:val="32"/>
          <w:szCs w:val="32"/>
        </w:rPr>
        <w:t>，</w:t>
      </w:r>
      <w:r>
        <w:rPr>
          <w:rFonts w:hint="eastAsia" w:ascii="仿宋_GB2312" w:eastAsia="仿宋_GB2312" w:cs="微软雅黑"/>
          <w:sz w:val="32"/>
          <w:szCs w:val="32"/>
        </w:rPr>
        <w:t>受理审查单位</w:t>
      </w:r>
      <w:r>
        <w:rPr>
          <w:rFonts w:hint="eastAsia" w:ascii="仿宋_GB2312" w:eastAsia="仿宋_GB2312" w:cs="Malgun Gothic Semilight"/>
          <w:sz w:val="32"/>
          <w:szCs w:val="32"/>
        </w:rPr>
        <w:t>、</w:t>
      </w:r>
      <w:r>
        <w:rPr>
          <w:rFonts w:hint="eastAsia" w:ascii="仿宋_GB2312" w:eastAsia="仿宋_GB2312" w:cs="微软雅黑"/>
          <w:sz w:val="32"/>
          <w:szCs w:val="32"/>
        </w:rPr>
        <w:t>公民不服人民法院已经发生法律效力的民事</w:t>
      </w:r>
      <w:r>
        <w:rPr>
          <w:rFonts w:hint="eastAsia" w:ascii="仿宋_GB2312" w:eastAsia="仿宋_GB2312" w:cs="Malgun Gothic Semilight"/>
          <w:sz w:val="32"/>
          <w:szCs w:val="32"/>
        </w:rPr>
        <w:t>、</w:t>
      </w:r>
      <w:r>
        <w:rPr>
          <w:rFonts w:hint="eastAsia" w:ascii="仿宋_GB2312" w:eastAsia="仿宋_GB2312" w:cs="微软雅黑"/>
          <w:sz w:val="32"/>
          <w:szCs w:val="32"/>
        </w:rPr>
        <w:t>经济</w:t>
      </w:r>
      <w:r>
        <w:rPr>
          <w:rFonts w:hint="eastAsia" w:ascii="仿宋_GB2312" w:eastAsia="仿宋_GB2312" w:cs="Malgun Gothic Semilight"/>
          <w:sz w:val="32"/>
          <w:szCs w:val="32"/>
        </w:rPr>
        <w:t>、</w:t>
      </w:r>
      <w:r>
        <w:rPr>
          <w:rFonts w:hint="eastAsia" w:ascii="仿宋_GB2312" w:eastAsia="仿宋_GB2312" w:cs="微软雅黑"/>
          <w:sz w:val="32"/>
          <w:szCs w:val="32"/>
        </w:rPr>
        <w:t>行政判决</w:t>
      </w:r>
      <w:r>
        <w:rPr>
          <w:rFonts w:hint="eastAsia" w:ascii="仿宋_GB2312" w:eastAsia="仿宋_GB2312" w:cs="Malgun Gothic Semilight"/>
          <w:sz w:val="32"/>
          <w:szCs w:val="32"/>
        </w:rPr>
        <w:t>、</w:t>
      </w:r>
      <w:r>
        <w:rPr>
          <w:rFonts w:hint="eastAsia" w:ascii="仿宋_GB2312" w:eastAsia="仿宋_GB2312" w:cs="微软雅黑"/>
          <w:sz w:val="32"/>
          <w:szCs w:val="32"/>
        </w:rPr>
        <w:t>裁定的案件</w:t>
      </w:r>
      <w:r>
        <w:rPr>
          <w:rFonts w:hint="eastAsia" w:ascii="仿宋_GB2312" w:eastAsia="仿宋_GB2312" w:cs="Malgun Gothic Semilight"/>
          <w:sz w:val="32"/>
          <w:szCs w:val="32"/>
        </w:rPr>
        <w:t>，</w:t>
      </w:r>
      <w:r>
        <w:rPr>
          <w:rFonts w:hint="eastAsia" w:ascii="仿宋_GB2312" w:eastAsia="仿宋_GB2312" w:cs="微软雅黑"/>
          <w:sz w:val="32"/>
          <w:szCs w:val="32"/>
        </w:rPr>
        <w:t>对确错误的判决和裁定</w:t>
      </w:r>
      <w:r>
        <w:rPr>
          <w:rFonts w:hint="eastAsia" w:ascii="仿宋_GB2312" w:eastAsia="仿宋_GB2312" w:cs="Malgun Gothic Semilight"/>
          <w:sz w:val="32"/>
          <w:szCs w:val="32"/>
        </w:rPr>
        <w:t>，</w:t>
      </w:r>
      <w:r>
        <w:rPr>
          <w:rFonts w:hint="eastAsia" w:ascii="仿宋_GB2312" w:eastAsia="仿宋_GB2312" w:cs="微软雅黑"/>
          <w:sz w:val="32"/>
          <w:szCs w:val="32"/>
        </w:rPr>
        <w:t>依法建议</w:t>
      </w:r>
      <w:r>
        <w:rPr>
          <w:rFonts w:hint="eastAsia" w:ascii="仿宋_GB2312" w:eastAsia="仿宋_GB2312" w:cs="Malgun Gothic Semilight"/>
          <w:sz w:val="32"/>
          <w:szCs w:val="32"/>
        </w:rPr>
        <w:t>、</w:t>
      </w:r>
      <w:r>
        <w:rPr>
          <w:rFonts w:hint="eastAsia" w:ascii="仿宋_GB2312" w:eastAsia="仿宋_GB2312" w:cs="微软雅黑"/>
          <w:sz w:val="32"/>
          <w:szCs w:val="32"/>
        </w:rPr>
        <w:t>提请上级院抗诉</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eastAsia="仿宋_GB2312" w:cs="Malgun Gothic Semilight"/>
          <w:sz w:val="32"/>
          <w:szCs w:val="32"/>
        </w:rPr>
        <w:t>、</w:t>
      </w:r>
      <w:r>
        <w:rPr>
          <w:rFonts w:hint="eastAsia" w:ascii="仿宋_GB2312" w:eastAsia="仿宋_GB2312" w:cs="微软雅黑"/>
          <w:sz w:val="32"/>
          <w:szCs w:val="32"/>
        </w:rPr>
        <w:t>依法对执行机关执行刑罚的活动是否合法实行监督</w:t>
      </w:r>
      <w:r>
        <w:rPr>
          <w:rFonts w:hint="eastAsia" w:ascii="仿宋_GB2312" w:eastAsia="仿宋_GB2312" w:cs="Malgun Gothic Semilight"/>
          <w:sz w:val="32"/>
          <w:szCs w:val="32"/>
        </w:rPr>
        <w:t>。</w:t>
      </w:r>
      <w:r>
        <w:rPr>
          <w:rFonts w:hint="eastAsia" w:ascii="仿宋_GB2312" w:eastAsia="仿宋_GB2312" w:cs="微软雅黑"/>
          <w:sz w:val="32"/>
          <w:szCs w:val="32"/>
        </w:rPr>
        <w:t>依法对看守所</w:t>
      </w:r>
      <w:r>
        <w:rPr>
          <w:rFonts w:hint="eastAsia" w:ascii="仿宋_GB2312" w:eastAsia="仿宋_GB2312" w:cs="Malgun Gothic Semilight"/>
          <w:sz w:val="32"/>
          <w:szCs w:val="32"/>
        </w:rPr>
        <w:t>、</w:t>
      </w:r>
      <w:r>
        <w:rPr>
          <w:rFonts w:hint="eastAsia" w:ascii="仿宋_GB2312" w:eastAsia="仿宋_GB2312" w:cs="微软雅黑"/>
          <w:sz w:val="32"/>
          <w:szCs w:val="32"/>
        </w:rPr>
        <w:t>劳教所的监管活动进行监督</w:t>
      </w:r>
      <w:r>
        <w:rPr>
          <w:rFonts w:hint="eastAsia" w:ascii="仿宋_GB2312" w:eastAsia="仿宋_GB2312" w:cs="Malgun Gothic Semilight"/>
          <w:sz w:val="32"/>
          <w:szCs w:val="32"/>
        </w:rPr>
        <w:t>，</w:t>
      </w:r>
      <w:r>
        <w:rPr>
          <w:rFonts w:hint="eastAsia" w:ascii="仿宋_GB2312" w:eastAsia="仿宋_GB2312" w:cs="微软雅黑"/>
          <w:sz w:val="32"/>
          <w:szCs w:val="32"/>
        </w:rPr>
        <w:t>并负责本辖区内监外服刑罪犯的考察工作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eastAsia="仿宋_GB2312" w:cs="微软雅黑"/>
          <w:sz w:val="32"/>
          <w:szCs w:val="32"/>
        </w:rPr>
        <w:t>受理单位和个人的报案</w:t>
      </w:r>
      <w:r>
        <w:rPr>
          <w:rFonts w:hint="eastAsia" w:ascii="仿宋_GB2312" w:eastAsia="仿宋_GB2312" w:cs="Malgun Gothic Semilight"/>
          <w:sz w:val="32"/>
          <w:szCs w:val="32"/>
        </w:rPr>
        <w:t>、</w:t>
      </w:r>
      <w:r>
        <w:rPr>
          <w:rFonts w:hint="eastAsia" w:ascii="仿宋_GB2312" w:eastAsia="仿宋_GB2312" w:cs="微软雅黑"/>
          <w:sz w:val="32"/>
          <w:szCs w:val="32"/>
        </w:rPr>
        <w:t>控告</w:t>
      </w:r>
      <w:r>
        <w:rPr>
          <w:rFonts w:hint="eastAsia" w:ascii="仿宋_GB2312" w:eastAsia="仿宋_GB2312" w:cs="Malgun Gothic Semilight"/>
          <w:sz w:val="32"/>
          <w:szCs w:val="32"/>
        </w:rPr>
        <w:t>、</w:t>
      </w:r>
      <w:r>
        <w:rPr>
          <w:rFonts w:hint="eastAsia" w:ascii="仿宋_GB2312" w:eastAsia="仿宋_GB2312" w:cs="微软雅黑"/>
          <w:sz w:val="32"/>
          <w:szCs w:val="32"/>
        </w:rPr>
        <w:t>申诉和举报以及犯罪嫌疑人的自首</w:t>
      </w:r>
      <w:r>
        <w:rPr>
          <w:rFonts w:hint="eastAsia" w:ascii="仿宋_GB2312" w:eastAsia="仿宋_GB2312" w:cs="Malgun Gothic Semilight"/>
          <w:sz w:val="32"/>
          <w:szCs w:val="32"/>
        </w:rPr>
        <w:t>，</w:t>
      </w:r>
      <w:r>
        <w:rPr>
          <w:rFonts w:hint="eastAsia" w:ascii="仿宋_GB2312" w:eastAsia="仿宋_GB2312" w:cs="微软雅黑"/>
          <w:sz w:val="32"/>
          <w:szCs w:val="32"/>
        </w:rPr>
        <w:t>办理举报案件</w:t>
      </w:r>
      <w:r>
        <w:rPr>
          <w:rFonts w:hint="eastAsia" w:ascii="仿宋_GB2312" w:eastAsia="仿宋_GB2312" w:cs="Malgun Gothic Semilight"/>
          <w:sz w:val="32"/>
          <w:szCs w:val="32"/>
        </w:rPr>
        <w:t>、</w:t>
      </w:r>
      <w:r>
        <w:rPr>
          <w:rFonts w:hint="eastAsia" w:ascii="仿宋_GB2312" w:eastAsia="仿宋_GB2312" w:cs="微软雅黑"/>
          <w:sz w:val="32"/>
          <w:szCs w:val="32"/>
        </w:rPr>
        <w:t>刑事赔偿工作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cs="微软雅黑"/>
          <w:sz w:val="32"/>
          <w:szCs w:val="32"/>
        </w:rPr>
        <w:t>办理检察技术工作和物证检验</w:t>
      </w:r>
      <w:r>
        <w:rPr>
          <w:rFonts w:hint="eastAsia" w:ascii="仿宋_GB2312" w:eastAsia="仿宋_GB2312" w:cs="Malgun Gothic Semilight"/>
          <w:sz w:val="32"/>
          <w:szCs w:val="32"/>
        </w:rPr>
        <w:t>、</w:t>
      </w:r>
      <w:r>
        <w:rPr>
          <w:rFonts w:hint="eastAsia" w:ascii="仿宋_GB2312" w:eastAsia="仿宋_GB2312" w:cs="微软雅黑"/>
          <w:sz w:val="32"/>
          <w:szCs w:val="32"/>
        </w:rPr>
        <w:t>鉴定</w:t>
      </w:r>
      <w:r>
        <w:rPr>
          <w:rFonts w:hint="eastAsia" w:ascii="仿宋_GB2312" w:eastAsia="仿宋_GB2312" w:cs="Malgun Gothic Semilight"/>
          <w:sz w:val="32"/>
          <w:szCs w:val="32"/>
        </w:rPr>
        <w:t>、</w:t>
      </w:r>
      <w:r>
        <w:rPr>
          <w:rFonts w:hint="eastAsia" w:ascii="仿宋_GB2312" w:eastAsia="仿宋_GB2312" w:cs="微软雅黑"/>
          <w:sz w:val="32"/>
          <w:szCs w:val="32"/>
        </w:rPr>
        <w:t>审核工作</w:t>
      </w:r>
      <w:r>
        <w:rPr>
          <w:rFonts w:hint="eastAsia" w:ascii="仿宋_GB2312" w:eastAsia="仿宋_GB2312" w:cs="Malgun Gothic Semilight"/>
          <w:sz w:val="32"/>
          <w:szCs w:val="32"/>
        </w:rPr>
        <w:t>；</w:t>
      </w:r>
      <w:r>
        <w:rPr>
          <w:rFonts w:hint="eastAsia" w:ascii="仿宋_GB2312" w:eastAsia="仿宋_GB2312" w:cs="微软雅黑"/>
          <w:sz w:val="32"/>
          <w:szCs w:val="32"/>
        </w:rPr>
        <w:t>负责本院计算机网络的建设和管理</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eastAsia="仿宋_GB2312" w:cs="微软雅黑"/>
          <w:sz w:val="32"/>
          <w:szCs w:val="32"/>
        </w:rPr>
        <w:t>对检察工作中具体应用法律的问题进行研究</w:t>
      </w:r>
      <w:r>
        <w:rPr>
          <w:rFonts w:hint="eastAsia" w:ascii="仿宋_GB2312" w:eastAsia="仿宋_GB2312" w:cs="Malgun Gothic Semilight"/>
          <w:sz w:val="32"/>
          <w:szCs w:val="32"/>
        </w:rPr>
        <w:t>，</w:t>
      </w:r>
      <w:r>
        <w:rPr>
          <w:rFonts w:hint="eastAsia" w:ascii="仿宋_GB2312" w:eastAsia="仿宋_GB2312" w:cs="微软雅黑"/>
          <w:sz w:val="32"/>
          <w:szCs w:val="32"/>
        </w:rPr>
        <w:t>适时提出立法和司法建议</w:t>
      </w:r>
      <w:r>
        <w:rPr>
          <w:rFonts w:hint="eastAsia" w:ascii="仿宋_GB2312" w:eastAsia="仿宋_GB2312" w:cs="Malgun Gothic Semilight"/>
          <w:sz w:val="32"/>
          <w:szCs w:val="32"/>
        </w:rPr>
        <w:t>，</w:t>
      </w:r>
      <w:r>
        <w:rPr>
          <w:rFonts w:hint="eastAsia" w:ascii="仿宋_GB2312" w:eastAsia="仿宋_GB2312" w:cs="微软雅黑"/>
          <w:sz w:val="32"/>
          <w:szCs w:val="32"/>
        </w:rPr>
        <w:t>为领导机关决策提供科学依据</w:t>
      </w:r>
      <w:r>
        <w:rPr>
          <w:rFonts w:hint="eastAsia" w:ascii="仿宋_GB2312" w:eastAsia="仿宋_GB2312" w:cs="Malgun Gothic Semilight"/>
          <w:sz w:val="32"/>
          <w:szCs w:val="32"/>
        </w:rPr>
        <w:t>。</w:t>
      </w:r>
      <w:r>
        <w:rPr>
          <w:rFonts w:hint="eastAsia" w:ascii="仿宋_GB2312" w:eastAsia="仿宋_GB2312" w:cs="微软雅黑"/>
          <w:sz w:val="32"/>
          <w:szCs w:val="32"/>
        </w:rPr>
        <w:t>制定本院检察工作的规定</w:t>
      </w:r>
      <w:r>
        <w:rPr>
          <w:rFonts w:hint="eastAsia" w:ascii="仿宋_GB2312" w:eastAsia="仿宋_GB2312" w:cs="Malgun Gothic Semilight"/>
          <w:sz w:val="32"/>
          <w:szCs w:val="32"/>
        </w:rPr>
        <w:t>、</w:t>
      </w:r>
      <w:r>
        <w:rPr>
          <w:rFonts w:hint="eastAsia" w:ascii="仿宋_GB2312" w:eastAsia="仿宋_GB2312" w:cs="微软雅黑"/>
          <w:sz w:val="32"/>
          <w:szCs w:val="32"/>
        </w:rPr>
        <w:t>办法和实施细则</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10、</w:t>
      </w:r>
      <w:r>
        <w:rPr>
          <w:rFonts w:hint="eastAsia" w:ascii="仿宋_GB2312" w:eastAsia="仿宋_GB2312" w:cs="微软雅黑"/>
          <w:sz w:val="32"/>
          <w:szCs w:val="32"/>
        </w:rPr>
        <w:t>负责队伍建设和思想政治工作</w:t>
      </w:r>
      <w:r>
        <w:rPr>
          <w:rFonts w:hint="eastAsia" w:ascii="仿宋_GB2312" w:eastAsia="仿宋_GB2312" w:cs="Malgun Gothic Semilight"/>
          <w:sz w:val="32"/>
          <w:szCs w:val="32"/>
        </w:rPr>
        <w:t>，</w:t>
      </w:r>
      <w:r>
        <w:rPr>
          <w:rFonts w:hint="eastAsia" w:ascii="仿宋_GB2312" w:eastAsia="仿宋_GB2312" w:cs="微软雅黑"/>
          <w:sz w:val="32"/>
          <w:szCs w:val="32"/>
        </w:rPr>
        <w:t>依法管理检察官和其他检察人员</w:t>
      </w:r>
      <w:r>
        <w:rPr>
          <w:rFonts w:hint="eastAsia" w:ascii="仿宋_GB2312" w:eastAsia="仿宋_GB2312" w:cs="Malgun Gothic Semilight"/>
          <w:sz w:val="32"/>
          <w:szCs w:val="32"/>
        </w:rPr>
        <w:t>，</w:t>
      </w:r>
      <w:r>
        <w:rPr>
          <w:rFonts w:hint="eastAsia" w:ascii="仿宋_GB2312" w:eastAsia="仿宋_GB2312" w:cs="微软雅黑"/>
          <w:sz w:val="32"/>
          <w:szCs w:val="32"/>
        </w:rPr>
        <w:t>提请广阳区人民代表大会常务委员会决定任免本院的副检察长</w:t>
      </w:r>
      <w:r>
        <w:rPr>
          <w:rFonts w:hint="eastAsia" w:ascii="仿宋_GB2312" w:eastAsia="仿宋_GB2312" w:cs="Malgun Gothic Semilight"/>
          <w:sz w:val="32"/>
          <w:szCs w:val="32"/>
        </w:rPr>
        <w:t>、</w:t>
      </w:r>
      <w:r>
        <w:rPr>
          <w:rFonts w:hint="eastAsia" w:ascii="仿宋_GB2312" w:eastAsia="仿宋_GB2312" w:cs="微软雅黑"/>
          <w:sz w:val="32"/>
          <w:szCs w:val="32"/>
        </w:rPr>
        <w:t>检察委员会委员</w:t>
      </w:r>
      <w:r>
        <w:rPr>
          <w:rFonts w:hint="eastAsia" w:ascii="仿宋_GB2312" w:eastAsia="仿宋_GB2312" w:cs="Malgun Gothic Semilight"/>
          <w:sz w:val="32"/>
          <w:szCs w:val="32"/>
        </w:rPr>
        <w:t>、</w:t>
      </w:r>
      <w:r>
        <w:rPr>
          <w:rFonts w:hint="eastAsia" w:ascii="仿宋_GB2312" w:eastAsia="仿宋_GB2312" w:cs="微软雅黑"/>
          <w:sz w:val="32"/>
          <w:szCs w:val="32"/>
        </w:rPr>
        <w:t>检察员</w:t>
      </w:r>
      <w:r>
        <w:rPr>
          <w:rFonts w:hint="eastAsia" w:ascii="仿宋_GB2312" w:eastAsia="仿宋_GB2312" w:cs="Malgun Gothic Semilight"/>
          <w:sz w:val="32"/>
          <w:szCs w:val="32"/>
        </w:rPr>
        <w:t>，</w:t>
      </w:r>
      <w:r>
        <w:rPr>
          <w:rFonts w:hint="eastAsia" w:ascii="仿宋_GB2312" w:eastAsia="仿宋_GB2312" w:cs="微软雅黑"/>
          <w:sz w:val="32"/>
          <w:szCs w:val="32"/>
        </w:rPr>
        <w:t>依法任免助理检察员</w:t>
      </w:r>
      <w:r>
        <w:rPr>
          <w:rFonts w:hint="eastAsia" w:ascii="仿宋_GB2312" w:eastAsia="仿宋_GB2312" w:cs="Malgun Gothic Semilight"/>
          <w:sz w:val="32"/>
          <w:szCs w:val="32"/>
        </w:rPr>
        <w:t>、</w:t>
      </w:r>
      <w:r>
        <w:rPr>
          <w:rFonts w:hint="eastAsia" w:ascii="仿宋_GB2312" w:eastAsia="仿宋_GB2312" w:cs="微软雅黑"/>
          <w:sz w:val="32"/>
          <w:szCs w:val="32"/>
        </w:rPr>
        <w:t>书记员和司法警察</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11、</w:t>
      </w:r>
      <w:r>
        <w:rPr>
          <w:rFonts w:hint="eastAsia" w:ascii="仿宋_GB2312" w:eastAsia="仿宋_GB2312" w:cs="微软雅黑"/>
          <w:sz w:val="32"/>
          <w:szCs w:val="32"/>
        </w:rPr>
        <w:t>协助区主管部门办理本院的机构设置</w:t>
      </w:r>
      <w:r>
        <w:rPr>
          <w:rFonts w:hint="eastAsia" w:ascii="仿宋_GB2312" w:eastAsia="仿宋_GB2312" w:cs="Malgun Gothic Semilight"/>
          <w:sz w:val="32"/>
          <w:szCs w:val="32"/>
        </w:rPr>
        <w:t>、</w:t>
      </w:r>
      <w:r>
        <w:rPr>
          <w:rFonts w:hint="eastAsia" w:ascii="仿宋_GB2312" w:eastAsia="仿宋_GB2312" w:cs="微软雅黑"/>
          <w:sz w:val="32"/>
          <w:szCs w:val="32"/>
        </w:rPr>
        <w:t>人员编制工作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12、</w:t>
      </w:r>
      <w:r>
        <w:rPr>
          <w:rFonts w:hint="eastAsia" w:ascii="仿宋_GB2312" w:eastAsia="仿宋_GB2312" w:cs="微软雅黑"/>
          <w:sz w:val="32"/>
          <w:szCs w:val="32"/>
        </w:rPr>
        <w:t>办理本院检察人员的教育培训工作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13、</w:t>
      </w:r>
      <w:r>
        <w:rPr>
          <w:rFonts w:hint="eastAsia" w:ascii="仿宋_GB2312" w:eastAsia="仿宋_GB2312" w:cs="微软雅黑"/>
          <w:sz w:val="32"/>
          <w:szCs w:val="32"/>
        </w:rPr>
        <w:t>办理本院的计划财务装备工作</w:t>
      </w:r>
      <w:r>
        <w:rPr>
          <w:rFonts w:hint="eastAsia" w:ascii="仿宋_GB2312" w:eastAsia="仿宋_GB2312" w:cs="Malgun Gothic Semilight"/>
          <w:sz w:val="32"/>
          <w:szCs w:val="32"/>
        </w:rPr>
        <w:t>。</w:t>
      </w:r>
    </w:p>
    <w:p>
      <w:pPr>
        <w:spacing w:line="570" w:lineRule="exact"/>
        <w:ind w:firstLine="640" w:firstLineChars="200"/>
        <w:rPr>
          <w:rFonts w:ascii="仿宋_GB2312" w:eastAsia="仿宋_GB2312" w:cs="Malgun Gothic Semilight"/>
          <w:sz w:val="32"/>
          <w:szCs w:val="32"/>
        </w:rPr>
      </w:pPr>
      <w:r>
        <w:rPr>
          <w:rFonts w:hint="eastAsia" w:ascii="仿宋_GB2312" w:eastAsia="仿宋_GB2312"/>
          <w:sz w:val="32"/>
          <w:szCs w:val="32"/>
        </w:rPr>
        <w:t>14、</w:t>
      </w:r>
      <w:r>
        <w:rPr>
          <w:rFonts w:hint="eastAsia" w:ascii="仿宋_GB2312" w:eastAsia="仿宋_GB2312" w:cs="微软雅黑"/>
          <w:sz w:val="32"/>
          <w:szCs w:val="32"/>
        </w:rPr>
        <w:t>负责其他应当由广阳区人民检察院承办的事项</w:t>
      </w:r>
      <w:r>
        <w:rPr>
          <w:rFonts w:hint="eastAsia" w:ascii="仿宋_GB2312" w:eastAsia="仿宋_GB2312" w:cs="Malgun Gothic Semilight"/>
          <w:sz w:val="32"/>
          <w:szCs w:val="32"/>
        </w:rPr>
        <w:t>。</w:t>
      </w:r>
    </w:p>
    <w:p>
      <w:pPr>
        <w:spacing w:line="570" w:lineRule="exact"/>
        <w:ind w:firstLine="643" w:firstLineChars="200"/>
        <w:rPr>
          <w:rFonts w:ascii="Times New Roman" w:hAnsi="Times New Roman" w:eastAsia="楷体_GB2312" w:cs="Times New Roman"/>
          <w:b/>
          <w:sz w:val="32"/>
          <w:szCs w:val="32"/>
        </w:rPr>
      </w:pPr>
    </w:p>
    <w:p>
      <w:pPr>
        <w:spacing w:line="570" w:lineRule="exact"/>
        <w:ind w:firstLine="643" w:firstLineChars="200"/>
        <w:rPr>
          <w:rFonts w:ascii="Times New Roman" w:hAnsi="Times New Roman" w:eastAsia="楷体_GB2312" w:cs="Times New Roman"/>
          <w:b/>
          <w:sz w:val="32"/>
          <w:szCs w:val="32"/>
        </w:rPr>
      </w:pPr>
    </w:p>
    <w:p>
      <w:pPr>
        <w:spacing w:line="570" w:lineRule="exact"/>
        <w:ind w:firstLine="643" w:firstLineChars="200"/>
        <w:rPr>
          <w:rFonts w:ascii="Times New Roman" w:hAnsi="Times New Roman" w:eastAsia="楷体_GB2312" w:cs="Times New Roman"/>
          <w:b/>
          <w:sz w:val="32"/>
          <w:szCs w:val="32"/>
        </w:rPr>
      </w:pPr>
    </w:p>
    <w:p>
      <w:pPr>
        <w:spacing w:line="57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widowControl/>
        <w:spacing w:line="570" w:lineRule="exact"/>
        <w:jc w:val="center"/>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部门机构设置情况</w:t>
      </w:r>
    </w:p>
    <w:p>
      <w:pPr>
        <w:spacing w:line="570" w:lineRule="exact"/>
        <w:rPr>
          <w:rFonts w:ascii="仿宋_GB2312" w:eastAsia="仿宋_GB2312" w:cs="Malgun Gothic Semilight"/>
          <w:sz w:val="32"/>
          <w:szCs w:val="32"/>
        </w:rPr>
      </w:pPr>
    </w:p>
    <w:tbl>
      <w:tblPr>
        <w:tblStyle w:val="8"/>
        <w:tblW w:w="1239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22"/>
        <w:gridCol w:w="2088"/>
        <w:gridCol w:w="1800"/>
        <w:gridCol w:w="42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222"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Cs w:val="21"/>
              </w:rPr>
            </w:pPr>
            <w:r>
              <w:rPr>
                <w:rFonts w:hint="eastAsia" w:ascii="仿宋_GB2312" w:eastAsia="仿宋_GB2312" w:cs="宋体"/>
                <w:b/>
                <w:bCs/>
                <w:kern w:val="0"/>
                <w:szCs w:val="21"/>
              </w:rPr>
              <w:t>单位名称</w:t>
            </w:r>
          </w:p>
        </w:tc>
        <w:tc>
          <w:tcPr>
            <w:tcW w:w="208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Cs w:val="21"/>
              </w:rPr>
            </w:pPr>
            <w:r>
              <w:rPr>
                <w:rFonts w:hint="eastAsia" w:ascii="仿宋_GB2312" w:eastAsia="仿宋_GB2312" w:cs="宋体"/>
                <w:b/>
                <w:bCs/>
                <w:kern w:val="0"/>
                <w:szCs w:val="21"/>
              </w:rPr>
              <w:t>单位性质</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Cs w:val="21"/>
              </w:rPr>
            </w:pPr>
            <w:r>
              <w:rPr>
                <w:rFonts w:hint="eastAsia" w:ascii="仿宋_GB2312" w:eastAsia="仿宋_GB2312" w:cs="宋体"/>
                <w:b/>
                <w:bCs/>
                <w:kern w:val="0"/>
                <w:szCs w:val="21"/>
              </w:rPr>
              <w:t>单位规格</w:t>
            </w:r>
          </w:p>
        </w:tc>
        <w:tc>
          <w:tcPr>
            <w:tcW w:w="428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Cs w:val="21"/>
              </w:rPr>
            </w:pPr>
            <w:r>
              <w:rPr>
                <w:rFonts w:hint="eastAsia" w:ascii="仿宋_GB2312" w:eastAsia="仿宋_GB2312" w:cs="宋体"/>
                <w:b/>
                <w:bCs/>
                <w:kern w:val="0"/>
                <w:szCs w:val="21"/>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22"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廊坊市广阳区人民检察院</w:t>
            </w:r>
          </w:p>
        </w:tc>
        <w:tc>
          <w:tcPr>
            <w:tcW w:w="208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行政单位</w:t>
            </w:r>
          </w:p>
        </w:tc>
        <w:tc>
          <w:tcPr>
            <w:tcW w:w="1800"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Cs w:val="21"/>
              </w:rPr>
            </w:pPr>
            <w:r>
              <w:rPr>
                <w:rFonts w:hint="eastAsia" w:ascii="仿宋_GB2312" w:eastAsia="仿宋_GB2312" w:cs="宋体"/>
                <w:kern w:val="0"/>
                <w:szCs w:val="21"/>
              </w:rPr>
              <w:t>副处级</w:t>
            </w:r>
          </w:p>
        </w:tc>
        <w:tc>
          <w:tcPr>
            <w:tcW w:w="428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Cs w:val="21"/>
              </w:rPr>
            </w:pPr>
            <w:r>
              <w:rPr>
                <w:rFonts w:hint="eastAsia" w:ascii="仿宋_GB2312" w:eastAsia="仿宋_GB2312"/>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w:t>
      </w:r>
      <w:r>
        <w:rPr>
          <w:rFonts w:ascii="Times New Roman" w:hAnsi="Times New Roman" w:eastAsia="仿宋_GB2312" w:cs="Times New Roman"/>
          <w:sz w:val="32"/>
          <w:szCs w:val="32"/>
        </w:rPr>
        <w:t>民检察院机关及所属事业单位的收支包含在部门预算中。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w:t>
      </w:r>
      <w:r>
        <w:rPr>
          <w:rFonts w:hint="eastAsia" w:ascii="仿宋_GB2312" w:hAnsi="仿宋_GB2312" w:eastAsia="仿宋_GB2312" w:cs="仿宋_GB2312"/>
          <w:sz w:val="32"/>
          <w:szCs w:val="32"/>
        </w:rPr>
        <w:t>2019</w:t>
      </w:r>
      <w:r>
        <w:rPr>
          <w:rFonts w:ascii="Times New Roman" w:hAnsi="Times New Roman" w:eastAsia="仿宋_GB2312" w:cs="Times New Roman"/>
          <w:sz w:val="32"/>
          <w:szCs w:val="32"/>
        </w:rPr>
        <w:t>年预算收入</w:t>
      </w:r>
      <w:r>
        <w:rPr>
          <w:rFonts w:hint="eastAsia" w:ascii="仿宋_GB2312" w:hAnsi="仿宋_GB2312" w:eastAsia="仿宋_GB2312" w:cs="仿宋_GB2312"/>
          <w:sz w:val="32"/>
          <w:szCs w:val="32"/>
        </w:rPr>
        <w:t>1512.39</w:t>
      </w:r>
      <w:r>
        <w:rPr>
          <w:rFonts w:ascii="Times New Roman" w:hAnsi="Times New Roman" w:eastAsia="仿宋_GB2312" w:cs="Times New Roman"/>
          <w:sz w:val="32"/>
          <w:szCs w:val="32"/>
        </w:rPr>
        <w:t>万元，其中：一般公共预算收入</w:t>
      </w:r>
      <w:r>
        <w:rPr>
          <w:rFonts w:hint="eastAsia" w:ascii="仿宋_GB2312" w:hAnsi="仿宋_GB2312" w:eastAsia="仿宋_GB2312" w:cs="仿宋_GB2312"/>
          <w:sz w:val="32"/>
          <w:szCs w:val="32"/>
        </w:rPr>
        <w:t>1512.39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0000FF"/>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年度部门预算中支出预算的总体情况。</w:t>
      </w:r>
      <w:r>
        <w:rPr>
          <w:rFonts w:hint="eastAsia" w:ascii="仿宋_GB2312" w:hAnsi="仿宋_GB2312" w:eastAsia="仿宋_GB2312" w:cs="仿宋_GB2312"/>
          <w:sz w:val="32"/>
          <w:szCs w:val="32"/>
        </w:rPr>
        <w:t>2019年支出预算1512.39万元，其中基本支出1397.19万元，包括人员经费1188.07万元和日常公用经费209.12万元；项目支出115.2万元，</w:t>
      </w:r>
      <w:r>
        <w:rPr>
          <w:rFonts w:ascii="Times New Roman" w:hAnsi="Times New Roman" w:eastAsia="仿宋_GB2312" w:cs="Times New Roman"/>
          <w:sz w:val="32"/>
          <w:szCs w:val="32"/>
        </w:rPr>
        <w:t>包括本级支出</w:t>
      </w:r>
      <w:r>
        <w:rPr>
          <w:rFonts w:hint="eastAsia" w:ascii="Times New Roman" w:hAnsi="Times New Roman" w:eastAsia="仿宋_GB2312" w:cs="Times New Roman"/>
          <w:sz w:val="32"/>
          <w:szCs w:val="32"/>
        </w:rPr>
        <w:t>115.2万元，主要为</w:t>
      </w:r>
      <w:r>
        <w:rPr>
          <w:rFonts w:hint="eastAsia" w:ascii="仿宋_GB2312" w:eastAsia="仿宋_GB2312" w:cs="宋体"/>
          <w:color w:val="000000"/>
          <w:kern w:val="0"/>
          <w:sz w:val="32"/>
          <w:szCs w:val="32"/>
        </w:rPr>
        <w:t>上级下达司法转移支付资金、政法转移支付资金等。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ascii="Times New Roman" w:hAnsi="Times New Roman" w:eastAsia="仿宋_GB2312" w:cs="Times New Roman"/>
          <w:sz w:val="32"/>
          <w:szCs w:val="32"/>
        </w:rPr>
        <w:t>年预算收支安排</w:t>
      </w:r>
      <w:r>
        <w:rPr>
          <w:rFonts w:hint="eastAsia" w:ascii="仿宋_GB2312" w:hAnsi="仿宋_GB2312" w:eastAsia="仿宋_GB2312" w:cs="仿宋_GB2312"/>
          <w:sz w:val="32"/>
          <w:szCs w:val="32"/>
        </w:rPr>
        <w:t>1512.39</w:t>
      </w:r>
      <w:r>
        <w:rPr>
          <w:rFonts w:ascii="Times New Roman" w:hAnsi="Times New Roman" w:eastAsia="仿宋_GB2312" w:cs="Times New Roman"/>
          <w:sz w:val="32"/>
          <w:szCs w:val="32"/>
        </w:rPr>
        <w:t>万元，较</w:t>
      </w:r>
      <w:r>
        <w:rPr>
          <w:rFonts w:hint="eastAsia" w:ascii="仿宋_GB2312" w:hAnsi="仿宋_GB2312" w:eastAsia="仿宋_GB2312" w:cs="仿宋_GB2312"/>
          <w:sz w:val="32"/>
          <w:szCs w:val="32"/>
        </w:rPr>
        <w:t>2018年预算减少55.7万</w:t>
      </w:r>
      <w:r>
        <w:rPr>
          <w:rFonts w:ascii="Times New Roman" w:hAnsi="Times New Roman" w:eastAsia="仿宋_GB2312" w:cs="Times New Roman"/>
          <w:sz w:val="32"/>
          <w:szCs w:val="32"/>
        </w:rPr>
        <w:t>元，其中：基本支出增加</w:t>
      </w:r>
      <w:r>
        <w:rPr>
          <w:rFonts w:hint="eastAsia" w:ascii="仿宋_GB2312" w:hAnsi="仿宋_GB2312" w:eastAsia="仿宋_GB2312" w:cs="仿宋_GB2312"/>
          <w:sz w:val="32"/>
          <w:szCs w:val="32"/>
        </w:rPr>
        <w:t>36.1万元，主要为</w:t>
      </w:r>
      <w:r>
        <w:rPr>
          <w:rFonts w:hint="eastAsia" w:ascii="仿宋_GB2312" w:hAnsi="仿宋_GB2312" w:eastAsia="仿宋_GB2312" w:cs="仿宋_GB2312"/>
          <w:color w:val="000000"/>
          <w:kern w:val="0"/>
          <w:sz w:val="32"/>
          <w:szCs w:val="32"/>
        </w:rPr>
        <w:t>人员经费</w:t>
      </w:r>
      <w:r>
        <w:rPr>
          <w:rFonts w:hint="eastAsia" w:ascii="仿宋_GB2312" w:hAnsi="仿宋_GB2312" w:eastAsia="仿宋_GB2312" w:cs="仿宋_GB2312"/>
          <w:sz w:val="32"/>
          <w:szCs w:val="32"/>
        </w:rPr>
        <w:t>支出；项目支出减少91.8万元，主要为中央转移支付资金项目支出。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2019年，我部门机关运行经费共计安排3.44万元</w:t>
      </w:r>
      <w:r>
        <w:rPr>
          <w:rFonts w:hint="eastAsia" w:ascii="仿宋_GB2312" w:eastAsia="仿宋_GB2312" w:cs="宋体"/>
          <w:color w:val="000000"/>
          <w:kern w:val="0"/>
          <w:sz w:val="32"/>
          <w:szCs w:val="32"/>
        </w:rPr>
        <w:t>。</w:t>
      </w:r>
      <w:r>
        <w:rPr>
          <w:rFonts w:ascii="Times New Roman" w:hAnsi="Times New Roman" w:eastAsia="仿宋_GB2312" w:cs="Times New Roman"/>
          <w:sz w:val="32"/>
          <w:szCs w:val="32"/>
        </w:rPr>
        <w:t>主要用于</w:t>
      </w:r>
      <w:r>
        <w:rPr>
          <w:rFonts w:hint="eastAsia" w:ascii="仿宋_GB2312" w:eastAsia="仿宋_GB2312" w:cs="宋体"/>
          <w:color w:val="000000"/>
          <w:kern w:val="0"/>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019年，我部门财政拨款“三公”经费预算安排28.41万元。其中，因公出国（境）费0万元；公务用车购置及运维费28.41万元（其中：公务用车购置费为0万元，公务用车运维费28.41万元)；公务接待费0万元。与2018年相比减少6.09万元，其中，公务用车购置及运维费减少6.09万元（其中：公务用车购置费减少0万元，公务用车运维费减少6.09万元)，主要原因是我单位切实落实勤俭节约各项规定，压减公车运行经费支出，另外我单位减少2辆公务用车；</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减0万元，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总体目标：高举习近平新时代中国特色社会主义思想伟大旗帜，深入学习贯彻党的十九大精神，认真落实中央、省、市、区政法工作会议暨扫黑除恶电视电话会议和全国、全省、全市检察长会议精神，围绕“精神、精致、精彩”的工作定位和争创全省一流、全国先进检察院的工作目标，全面履行检察职责，全面强化队伍建设，全面提升工作成效，为建设经济强区、美丽广阳提供有力司法保障。</w:t>
      </w:r>
    </w:p>
    <w:p>
      <w:pPr>
        <w:spacing w:line="500" w:lineRule="exact"/>
        <w:ind w:firstLine="560"/>
        <w:rPr>
          <w:rFonts w:ascii="仿宋_GB2312" w:eastAsia="仿宋_GB2312"/>
          <w:sz w:val="32"/>
          <w:szCs w:val="32"/>
        </w:rPr>
      </w:pPr>
      <w:r>
        <w:rPr>
          <w:rFonts w:hint="eastAsia" w:ascii="仿宋_GB2312" w:eastAsia="仿宋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部门职责1：检察监督</w:t>
      </w:r>
    </w:p>
    <w:p>
      <w:pPr>
        <w:spacing w:line="500" w:lineRule="exact"/>
        <w:ind w:firstLine="560"/>
        <w:rPr>
          <w:rFonts w:ascii="仿宋_GB2312" w:eastAsia="仿宋_GB2312"/>
          <w:sz w:val="32"/>
          <w:szCs w:val="32"/>
        </w:rPr>
      </w:pPr>
      <w:r>
        <w:rPr>
          <w:rFonts w:hint="eastAsia" w:ascii="仿宋_GB2312" w:eastAsia="仿宋_GB2312"/>
          <w:sz w:val="32"/>
          <w:szCs w:val="32"/>
        </w:rPr>
        <w:t>批准立案错误率为0,批延准确率达到100%,侦查监督完成率达到80%及以上,批捕错误率为0,公诉案件有罪判决率达到99%及以上,公诉抗诉案件再审改变率达到75%及以上,公诉案件审结率达到100%,出庭意见采纳率达到96%及以上,提起公诉完成率达到100%,检察建议采纳率达到85%及以上,抗诉案件再审改变率达到89%及以上,刑事执行工作全市排名达到第7名及以上,未成年人刑事检察工作出庭意见采纳率达到95%及以上,未成年人刑事检察工作公诉抗诉案件再审改变率达到70%及以上,未成年人刑事检察工作批准立案错误率为0,未成年人刑事检察工作侦查监督完成率达到95%及以上,未成年人刑事检察工作批捕错误率为0,司法辅助工作完成率达到90%及以上.</w:t>
      </w:r>
    </w:p>
    <w:p>
      <w:pPr>
        <w:spacing w:line="500" w:lineRule="exact"/>
        <w:ind w:firstLine="560"/>
        <w:rPr>
          <w:rFonts w:ascii="仿宋_GB2312" w:eastAsia="仿宋_GB2312"/>
          <w:sz w:val="32"/>
          <w:szCs w:val="32"/>
        </w:rPr>
      </w:pPr>
      <w:r>
        <w:rPr>
          <w:rFonts w:hint="eastAsia" w:ascii="仿宋_GB2312" w:eastAsia="仿宋_GB2312"/>
          <w:sz w:val="32"/>
          <w:szCs w:val="32"/>
        </w:rPr>
        <w:t>部门职责2：控告和刑事申诉检察</w:t>
      </w:r>
    </w:p>
    <w:p>
      <w:pPr>
        <w:spacing w:line="500" w:lineRule="exact"/>
        <w:ind w:firstLine="560"/>
        <w:rPr>
          <w:rFonts w:ascii="仿宋_GB2312" w:eastAsia="仿宋_GB2312"/>
          <w:sz w:val="32"/>
          <w:szCs w:val="32"/>
        </w:rPr>
      </w:pPr>
      <w:r>
        <w:rPr>
          <w:rFonts w:hint="eastAsia" w:ascii="仿宋_GB2312" w:eastAsia="仿宋_GB2312"/>
          <w:sz w:val="32"/>
          <w:szCs w:val="32"/>
        </w:rPr>
        <w:t>有效化解涉检信访矛盾率达到99%及以上,涉检信访案件办结率达到100%,国家赔偿案件办结率达到100%,息诉罢访率达到99%及以上,举报线索处置率达到99%及以上.</w:t>
      </w:r>
    </w:p>
    <w:p>
      <w:pPr>
        <w:spacing w:line="500" w:lineRule="exact"/>
        <w:ind w:firstLine="560"/>
        <w:rPr>
          <w:rFonts w:ascii="仿宋_GB2312" w:eastAsia="仿宋_GB2312"/>
          <w:sz w:val="32"/>
          <w:szCs w:val="32"/>
        </w:rPr>
      </w:pPr>
      <w:r>
        <w:rPr>
          <w:rFonts w:hint="eastAsia" w:ascii="仿宋_GB2312" w:eastAsia="仿宋_GB2312"/>
          <w:sz w:val="32"/>
          <w:szCs w:val="32"/>
        </w:rPr>
        <w:t>部门职责3：检察事务管理</w:t>
      </w:r>
    </w:p>
    <w:p>
      <w:pPr>
        <w:spacing w:line="500" w:lineRule="exact"/>
        <w:ind w:firstLine="560"/>
        <w:rPr>
          <w:rFonts w:ascii="仿宋_GB2312" w:eastAsia="仿宋_GB2312"/>
          <w:sz w:val="32"/>
          <w:szCs w:val="32"/>
        </w:rPr>
      </w:pPr>
      <w:r>
        <w:rPr>
          <w:rFonts w:hint="eastAsia" w:ascii="仿宋_GB2312" w:eastAsia="仿宋_GB2312"/>
          <w:sz w:val="32"/>
          <w:szCs w:val="32"/>
        </w:rPr>
        <w:t>各项检察综合业务管理工作完成率达到95%及以上,各项检务保障工作完成率达到95%及以上.</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bookmarkEnd w:id="0"/>
      <w:bookmarkStart w:id="1" w:name="_Toc504489147"/>
    </w:p>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p>
    <w:bookmarkEnd w:id="1"/>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360廊坊市广阳区人民检察院</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一、查办和预防职务犯罪</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通过查办和预防职务犯罪案件，促进国家工作人员依法行使职权。</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有效预防和依法严惩职务犯罪</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1、查办职务犯罪</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参与办理重大职务犯罪案件的侦查及个案协查工作；指导全县在逃职务犯罪案件追逃追赃工作，推进全县侦查信息化和装备现代化建设。</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完成指挥或办理职务犯罪案件工作，提高案件起诉率、判决率；完成追逃、追赃任务，最大限度挽回经济损失，促进国家工作人员依法行使职权。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案件起诉率(%)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查办大要案比率(%)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立案有罪判决率(%)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2、预防职务犯罪</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履行检察机关重要的法律监督职能，采取多种方式，预防可能发生的职务犯罪。</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以个案预防、系统预防、专项预防、预防调查等多种形式努力从源头上遏制和减少职务犯罪。</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举办职务犯罪预防警示教育次数(次)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行贿犯罪档案查询次数（次）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≥1700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≥1400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举办联合预防专项行动次数（次）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党员干部职务犯罪预防知识普及率(%)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开展职务犯罪预防调查次数（次）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二、检察监督</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115.20</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对侦查机关的侦查活动、人民法院的审判活动、监狱看守所等机关执行刑罚的活动，依法实行法律监督，维护司法公正。</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通过行使检察权，惩罚犯罪活动，保护国家安全，保护公民、法人和其他组织的合法权益，保障国家法律的正确实施。</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1、侦查监督</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侦查监督职能的行使贯穿刑事立案到侦查终结全过程。主要包括审查逮捕、立案监督和侦查活动监督等职能。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保障人权、维护司法公正，有效提高批捕、批准立案、批延准确率。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批延准确率(%)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立案和侦查活动监督完成率(%)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错捕、捕后撤案、不起诉、判无罪率(%)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2、公诉和审判监督</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审查起诉；对上诉、抗诉案件及再审案件进行审查；出庭支持公诉</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全面审查案件事实，核实证据，依法提起公诉、出庭提出审查意见，提高公诉案件审结率、出庭意见采纳率。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公诉案件审结率(%)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诉讼期限内审结案件占全部案件比例(%)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≥98.00%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出庭意见采纳率(%)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公诉案件有罪判决率(%)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≥98.00%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≥96.00%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3、民事行政诉讼监督</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依法对民事诉讼和行政诉讼实行法律监督，维护司法公正和司法权威，保障国家法律的统一正确实施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有效实施民事案件审判监督，维护司法公正和司法权威，保障国家法律的统一正确实施。</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案件审结率(%)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当事人对民事行政申请监督案件满意度(%)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检察建议采纳率(%)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4、刑事执行监督</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依法对刑罚执行和监管活动实行监督，维护刑罚执行和监管活动的公平公正，维护监管秩序稳定，维护被监管人合法权益，保障国家法律统一正确实施。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保障刑罚执行和监管活动的依法有序进行。</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全市排名</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7次及以下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10次及以上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监督行为及效果满意度(%)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纠正意见或建议的采纳率(%)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5、未成年人刑事检察</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完成移交未成年人案件侦查监督任务，有效实施未成年人案件审判监督，依法保护刑事案件未成年被害人的合法权益。</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公诉抗诉案件再审改变率(%)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出庭意见采纳率(%)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批准立案错误率(%)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侦查监督完成率(%)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批捕错误率(%)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6、司法辅助</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115.20</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保障办案安全、负责全县检察机关司法警察的授衔和管理工作；开展全县检察机关技术工作和物证检验、鉴定、审核等工作。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加强各项检察辅助职能，为检察业务提供有力保障。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三、控告和刑事申诉检察</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组织和指导全县控申部门受理来信来访、举报、刑事申诉、国家赔偿、司法救助工作，受理民事监督案件，办理信访、举报案件、刑事申诉案件、国家赔偿、司法救助案件以及上级机关交办、转办、督办案件。</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保护公民、法人和其他单位的合法权益，促进司法公正，维护社会稳定</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1、涉检信访办理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构建依法有序信访秩序，及时依法解决群众诉求。</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涉检信访案件办结率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有效化解涉检信访矛盾率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2、举报管理、刑事申诉及涉检国家赔偿和司法救助</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受理初核对国家工作人员职务犯罪的举报；受理、审查和复查当事人不服的刑事申诉案件；统一办理人民检察院作为赔偿义务机关的刑事赔偿、复议案件，对人民法院赔偿委员会判决、裁定进行监督，开展司法救助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加强和改进举报工作，保护申诉人合法权益，保护被赔偿人和被救助人合法权益。</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涉检国家赔偿率（%）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举报移送立案率（%）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国家赔偿案件办结率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四、检察事务管理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承担系统综合业务管理和综合事务管理工作。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确保全年各项检察工作圆满完成</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定全县检察阶段性的工作重点和措施，部署检察工作任务；进行案件质量保证体系建设；开展涉农检察工作；参与社会管理综合治理等工作；进行法律政策研究工作；加强人民监督员和人大代表监督；统筹进行网络信息化建设；开展检察宣传工作、推进检务公开。</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提高执法水平和办案质量、提升检察机关法律监督能力。</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各项检察综合业务管理工作完成率(%)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组织指导全县检察人员的教育培训工作，进行检察装备建设及维护；配备制式检察服装及法警服装；进行基础设施建设和维护。</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为检察工作顺利开展提供检务保障。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各项检务保障工作完成率(%)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＜70.00%</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720"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100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356"/>
        <w:gridCol w:w="1836"/>
        <w:gridCol w:w="996"/>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360廊坊市广阳区人民检察院</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35" w:type="dxa"/>
            <w:gridSpan w:val="2"/>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183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99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579"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35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1836" w:type="dxa"/>
            <w:vMerge w:val="continue"/>
            <w:vAlign w:val="center"/>
          </w:tcPr>
          <w:p>
            <w:pPr>
              <w:spacing w:line="584" w:lineRule="exact"/>
              <w:jc w:val="left"/>
              <w:outlineLvl w:val="0"/>
              <w:rPr>
                <w:rFonts w:ascii="Times New Roman" w:hAnsi="Times New Roman" w:eastAsia="仿宋_GB2312" w:cs="Times New Roman"/>
              </w:rPr>
            </w:pPr>
          </w:p>
        </w:tc>
        <w:tc>
          <w:tcPr>
            <w:tcW w:w="996"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1579" w:type="dxa"/>
            <w:vMerge w:val="continue"/>
            <w:vAlign w:val="center"/>
          </w:tcPr>
          <w:p>
            <w:pPr>
              <w:spacing w:line="584" w:lineRule="exact"/>
              <w:jc w:val="left"/>
              <w:outlineLvl w:val="0"/>
              <w:rPr>
                <w:rFonts w:ascii="Times New Roman" w:hAnsi="Times New Roman" w:eastAsia="仿宋_GB2312" w:cs="Times New Roman"/>
              </w:rPr>
            </w:pPr>
          </w:p>
        </w:tc>
        <w:tc>
          <w:tcPr>
            <w:tcW w:w="1356" w:type="dxa"/>
            <w:vMerge w:val="continue"/>
            <w:vAlign w:val="center"/>
          </w:tcPr>
          <w:p>
            <w:pPr>
              <w:spacing w:line="584" w:lineRule="exact"/>
              <w:jc w:val="left"/>
              <w:outlineLvl w:val="0"/>
              <w:rPr>
                <w:rFonts w:ascii="Times New Roman" w:hAnsi="Times New Roman" w:eastAsia="仿宋_GB2312" w:cs="Times New Roman"/>
              </w:rPr>
            </w:pPr>
          </w:p>
        </w:tc>
        <w:tc>
          <w:tcPr>
            <w:tcW w:w="1836" w:type="dxa"/>
            <w:vMerge w:val="continue"/>
            <w:vAlign w:val="center"/>
          </w:tcPr>
          <w:p>
            <w:pPr>
              <w:spacing w:line="584" w:lineRule="exact"/>
              <w:jc w:val="left"/>
              <w:outlineLvl w:val="0"/>
              <w:rPr>
                <w:rFonts w:ascii="Times New Roman" w:hAnsi="Times New Roman" w:eastAsia="仿宋_GB2312" w:cs="Times New Roman"/>
              </w:rPr>
            </w:pPr>
          </w:p>
        </w:tc>
        <w:tc>
          <w:tcPr>
            <w:tcW w:w="996"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continue"/>
            <w:vAlign w:val="center"/>
          </w:tcPr>
          <w:p>
            <w:pPr>
              <w:spacing w:line="584" w:lineRule="exact"/>
              <w:jc w:val="left"/>
              <w:outlineLvl w:val="0"/>
              <w:rPr>
                <w:rFonts w:ascii="Times New Roman" w:hAnsi="Times New Roman" w:eastAsia="仿宋_GB2312" w:cs="Times New Roman"/>
              </w:rPr>
            </w:pP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79" w:type="dxa"/>
            <w:vAlign w:val="center"/>
          </w:tcPr>
          <w:p>
            <w:pPr>
              <w:spacing w:line="584" w:lineRule="exact"/>
              <w:jc w:val="center"/>
              <w:rPr>
                <w:rFonts w:ascii="仿宋_GB2312" w:hAnsi="Times New Roman" w:eastAsia="仿宋_GB2312" w:cs="Times New Roman"/>
                <w:b/>
              </w:rPr>
            </w:pPr>
            <w:r>
              <w:rPr>
                <w:rFonts w:hint="eastAsia" w:ascii="仿宋_GB2312" w:hAnsi="Times New Roman" w:eastAsia="仿宋_GB2312" w:cs="Times New Roman"/>
                <w:b/>
              </w:rPr>
              <w:t>合　计</w:t>
            </w:r>
          </w:p>
        </w:tc>
        <w:tc>
          <w:tcPr>
            <w:tcW w:w="1356" w:type="dxa"/>
            <w:vAlign w:val="center"/>
          </w:tcPr>
          <w:p>
            <w:pPr>
              <w:spacing w:line="584" w:lineRule="exact"/>
              <w:jc w:val="center"/>
              <w:rPr>
                <w:rFonts w:ascii="仿宋_GB2312" w:hAnsi="Times New Roman" w:eastAsia="仿宋_GB2312" w:cs="Times New Roman"/>
                <w:b/>
              </w:rPr>
            </w:pPr>
            <w:r>
              <w:rPr>
                <w:rFonts w:hint="eastAsia" w:ascii="仿宋_GB2312" w:hAnsi="Times New Roman" w:eastAsia="仿宋_GB2312" w:cs="Times New Roman"/>
                <w:b/>
              </w:rPr>
              <w:t>100</w:t>
            </w:r>
          </w:p>
        </w:tc>
        <w:tc>
          <w:tcPr>
            <w:tcW w:w="1836" w:type="dxa"/>
            <w:vAlign w:val="center"/>
          </w:tcPr>
          <w:p>
            <w:pPr>
              <w:spacing w:line="584" w:lineRule="exact"/>
              <w:jc w:val="center"/>
              <w:rPr>
                <w:rFonts w:ascii="仿宋_GB2312" w:hAnsi="Times New Roman" w:eastAsia="仿宋_GB2312" w:cs="Times New Roman"/>
                <w:b/>
              </w:rPr>
            </w:pPr>
          </w:p>
        </w:tc>
        <w:tc>
          <w:tcPr>
            <w:tcW w:w="996" w:type="dxa"/>
            <w:vAlign w:val="center"/>
          </w:tcPr>
          <w:p>
            <w:pPr>
              <w:spacing w:line="584" w:lineRule="exact"/>
              <w:jc w:val="center"/>
              <w:rPr>
                <w:rFonts w:ascii="仿宋_GB2312" w:hAnsi="Times New Roman" w:eastAsia="仿宋_GB2312" w:cs="Times New Roman"/>
                <w:b/>
              </w:rPr>
            </w:pPr>
          </w:p>
        </w:tc>
        <w:tc>
          <w:tcPr>
            <w:tcW w:w="720" w:type="dxa"/>
            <w:vAlign w:val="center"/>
          </w:tcPr>
          <w:p>
            <w:pPr>
              <w:spacing w:line="584" w:lineRule="exact"/>
              <w:jc w:val="center"/>
              <w:rPr>
                <w:rFonts w:ascii="仿宋_GB2312" w:hAnsi="Times New Roman" w:eastAsia="仿宋_GB2312" w:cs="Times New Roman"/>
                <w:b/>
              </w:rPr>
            </w:pPr>
          </w:p>
        </w:tc>
        <w:tc>
          <w:tcPr>
            <w:tcW w:w="740" w:type="dxa"/>
            <w:vAlign w:val="center"/>
          </w:tcPr>
          <w:p>
            <w:pPr>
              <w:spacing w:line="584" w:lineRule="exact"/>
              <w:jc w:val="center"/>
              <w:rPr>
                <w:rFonts w:ascii="仿宋_GB2312" w:hAnsi="Times New Roman" w:eastAsia="仿宋_GB2312" w:cs="Times New Roman"/>
                <w:b/>
              </w:rPr>
            </w:pPr>
          </w:p>
        </w:tc>
        <w:tc>
          <w:tcPr>
            <w:tcW w:w="950" w:type="dxa"/>
            <w:vAlign w:val="center"/>
          </w:tcPr>
          <w:p>
            <w:pPr>
              <w:spacing w:line="584" w:lineRule="exact"/>
              <w:jc w:val="center"/>
              <w:rPr>
                <w:rFonts w:ascii="仿宋_GB2312" w:hAnsi="Times New Roman" w:eastAsia="仿宋_GB2312" w:cs="Times New Roman"/>
                <w:b/>
              </w:rPr>
            </w:pPr>
          </w:p>
        </w:tc>
        <w:tc>
          <w:tcPr>
            <w:tcW w:w="956" w:type="dxa"/>
            <w:vAlign w:val="center"/>
          </w:tcPr>
          <w:p>
            <w:pPr>
              <w:spacing w:line="584" w:lineRule="exact"/>
              <w:jc w:val="center"/>
              <w:rPr>
                <w:rFonts w:ascii="仿宋_GB2312" w:hAnsi="Times New Roman" w:eastAsia="仿宋_GB2312" w:cs="Times New Roman"/>
                <w:b/>
              </w:rPr>
            </w:pPr>
          </w:p>
        </w:tc>
        <w:tc>
          <w:tcPr>
            <w:tcW w:w="956" w:type="dxa"/>
            <w:vAlign w:val="center"/>
          </w:tcPr>
          <w:p>
            <w:pPr>
              <w:spacing w:line="584" w:lineRule="exact"/>
              <w:jc w:val="center"/>
              <w:rPr>
                <w:rFonts w:ascii="仿宋_GB2312" w:hAnsi="Times New Roman" w:eastAsia="仿宋_GB2312" w:cs="Times New Roman"/>
                <w:b/>
              </w:rPr>
            </w:pPr>
            <w:r>
              <w:rPr>
                <w:rFonts w:hint="eastAsia" w:ascii="仿宋_GB2312" w:hAnsi="Times New Roman" w:eastAsia="仿宋_GB2312" w:cs="Times New Roman"/>
                <w:b/>
              </w:rPr>
              <w:t>100</w:t>
            </w:r>
          </w:p>
        </w:tc>
        <w:tc>
          <w:tcPr>
            <w:tcW w:w="956" w:type="dxa"/>
            <w:vAlign w:val="center"/>
          </w:tcPr>
          <w:p>
            <w:pPr>
              <w:spacing w:line="584" w:lineRule="exact"/>
              <w:jc w:val="center"/>
              <w:rPr>
                <w:rFonts w:ascii="仿宋_GB2312" w:hAnsi="Times New Roman" w:eastAsia="仿宋_GB2312" w:cs="Times New Roman"/>
                <w:b/>
              </w:rPr>
            </w:pPr>
            <w:r>
              <w:rPr>
                <w:rFonts w:hint="eastAsia" w:ascii="仿宋_GB2312" w:hAnsi="Times New Roman" w:eastAsia="仿宋_GB2312" w:cs="Times New Roman"/>
                <w:b/>
              </w:rPr>
              <w:t>100</w:t>
            </w:r>
          </w:p>
        </w:tc>
        <w:tc>
          <w:tcPr>
            <w:tcW w:w="790" w:type="dxa"/>
            <w:vAlign w:val="center"/>
          </w:tcPr>
          <w:p>
            <w:pPr>
              <w:spacing w:line="584" w:lineRule="exact"/>
              <w:jc w:val="center"/>
              <w:rPr>
                <w:rFonts w:ascii="仿宋_GB2312" w:hAnsi="Times New Roman" w:eastAsia="仿宋_GB2312" w:cs="Times New Roman"/>
                <w:b/>
              </w:rPr>
            </w:pPr>
          </w:p>
        </w:tc>
        <w:tc>
          <w:tcPr>
            <w:tcW w:w="924" w:type="dxa"/>
            <w:vAlign w:val="center"/>
          </w:tcPr>
          <w:p>
            <w:pPr>
              <w:spacing w:line="584" w:lineRule="exact"/>
              <w:jc w:val="center"/>
              <w:rPr>
                <w:rFonts w:ascii="仿宋_GB2312" w:hAnsi="Times New Roman" w:eastAsia="仿宋_GB2312" w:cs="Times New Roman"/>
                <w:b/>
              </w:rPr>
            </w:pPr>
          </w:p>
        </w:tc>
        <w:tc>
          <w:tcPr>
            <w:tcW w:w="929" w:type="dxa"/>
            <w:vAlign w:val="center"/>
          </w:tcPr>
          <w:p>
            <w:pPr>
              <w:spacing w:line="584" w:lineRule="exact"/>
              <w:jc w:val="center"/>
              <w:rPr>
                <w:rFonts w:ascii="仿宋_GB2312" w:hAnsi="Times New Roman" w:eastAsia="仿宋_GB2312" w:cs="Times New Roman"/>
                <w:b/>
              </w:rPr>
            </w:pPr>
          </w:p>
        </w:tc>
        <w:tc>
          <w:tcPr>
            <w:tcW w:w="880" w:type="dxa"/>
            <w:vAlign w:val="center"/>
          </w:tcPr>
          <w:p>
            <w:pPr>
              <w:spacing w:line="584" w:lineRule="exact"/>
              <w:jc w:val="center"/>
              <w:rPr>
                <w:rFonts w:ascii="仿宋_GB2312"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79" w:type="dxa"/>
            <w:vAlign w:val="bottom"/>
          </w:tcPr>
          <w:p>
            <w:pPr>
              <w:keepNext w:val="0"/>
              <w:keepLines w:val="0"/>
              <w:widowControl/>
              <w:suppressLineNumbers w:val="0"/>
              <w:ind w:firstLine="210" w:firstLineChars="10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仿宋_GB2312" w:hAnsi="Times New Roman" w:eastAsia="仿宋_GB2312" w:cs="Times New Roman"/>
                <w:lang w:val="en-US" w:eastAsia="zh-CN"/>
              </w:rPr>
              <w:t>空调机组</w:t>
            </w:r>
          </w:p>
        </w:tc>
        <w:tc>
          <w:tcPr>
            <w:tcW w:w="1356" w:type="dxa"/>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1836"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风冷模块机组采购安装项目</w:t>
            </w:r>
          </w:p>
        </w:tc>
        <w:tc>
          <w:tcPr>
            <w:tcW w:w="996"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A02052305</w:t>
            </w:r>
          </w:p>
        </w:tc>
        <w:tc>
          <w:tcPr>
            <w:tcW w:w="720"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套</w:t>
            </w:r>
          </w:p>
        </w:tc>
        <w:tc>
          <w:tcPr>
            <w:tcW w:w="740"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1</w:t>
            </w:r>
          </w:p>
        </w:tc>
        <w:tc>
          <w:tcPr>
            <w:tcW w:w="950"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70</w:t>
            </w:r>
          </w:p>
        </w:tc>
        <w:tc>
          <w:tcPr>
            <w:tcW w:w="956" w:type="dxa"/>
            <w:vAlign w:val="center"/>
          </w:tcPr>
          <w:p>
            <w:pPr>
              <w:spacing w:line="584" w:lineRule="exact"/>
              <w:jc w:val="center"/>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70</w:t>
            </w:r>
          </w:p>
        </w:tc>
        <w:tc>
          <w:tcPr>
            <w:tcW w:w="956" w:type="dxa"/>
            <w:vAlign w:val="center"/>
          </w:tcPr>
          <w:p>
            <w:pPr>
              <w:spacing w:line="584" w:lineRule="exact"/>
              <w:jc w:val="center"/>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70</w:t>
            </w:r>
          </w:p>
        </w:tc>
        <w:tc>
          <w:tcPr>
            <w:tcW w:w="956" w:type="dxa"/>
            <w:vAlign w:val="center"/>
          </w:tcPr>
          <w:p>
            <w:pPr>
              <w:spacing w:line="584" w:lineRule="exact"/>
              <w:jc w:val="center"/>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70</w:t>
            </w:r>
          </w:p>
        </w:tc>
        <w:tc>
          <w:tcPr>
            <w:tcW w:w="790" w:type="dxa"/>
            <w:vAlign w:val="center"/>
          </w:tcPr>
          <w:p>
            <w:pPr>
              <w:spacing w:line="584" w:lineRule="exact"/>
              <w:jc w:val="center"/>
              <w:rPr>
                <w:rFonts w:ascii="仿宋_GB2312" w:hAnsi="Times New Roman" w:eastAsia="仿宋_GB2312" w:cs="Times New Roman"/>
              </w:rPr>
            </w:pPr>
          </w:p>
        </w:tc>
        <w:tc>
          <w:tcPr>
            <w:tcW w:w="924" w:type="dxa"/>
            <w:vAlign w:val="center"/>
          </w:tcPr>
          <w:p>
            <w:pPr>
              <w:spacing w:line="584" w:lineRule="exact"/>
              <w:jc w:val="center"/>
              <w:rPr>
                <w:rFonts w:ascii="仿宋_GB2312" w:hAnsi="Times New Roman" w:eastAsia="仿宋_GB2312" w:cs="Times New Roman"/>
              </w:rPr>
            </w:pPr>
          </w:p>
        </w:tc>
        <w:tc>
          <w:tcPr>
            <w:tcW w:w="929" w:type="dxa"/>
            <w:vAlign w:val="center"/>
          </w:tcPr>
          <w:p>
            <w:pPr>
              <w:spacing w:line="584" w:lineRule="exact"/>
              <w:jc w:val="center"/>
              <w:rPr>
                <w:rFonts w:ascii="仿宋_GB2312" w:hAnsi="Times New Roman" w:eastAsia="仿宋_GB2312" w:cs="Times New Roman"/>
              </w:rPr>
            </w:pPr>
          </w:p>
        </w:tc>
        <w:tc>
          <w:tcPr>
            <w:tcW w:w="880" w:type="dxa"/>
            <w:vAlign w:val="center"/>
          </w:tcPr>
          <w:p>
            <w:pPr>
              <w:spacing w:line="584" w:lineRule="exact"/>
              <w:jc w:val="center"/>
              <w:rPr>
                <w:rFonts w:ascii="仿宋_GB2312"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79" w:type="dxa"/>
            <w:vAlign w:val="center"/>
          </w:tcPr>
          <w:p>
            <w:pPr>
              <w:spacing w:line="584" w:lineRule="exact"/>
              <w:jc w:val="center"/>
              <w:rPr>
                <w:rFonts w:ascii="仿宋_GB2312" w:hAnsi="Times New Roman" w:eastAsia="仿宋_GB2312" w:cs="Times New Roman"/>
                <w:bCs/>
              </w:rPr>
            </w:pPr>
            <w:r>
              <w:rPr>
                <w:rFonts w:hint="eastAsia" w:ascii="仿宋_GB2312" w:hAnsi="Times New Roman" w:eastAsia="仿宋_GB2312" w:cs="Times New Roman"/>
                <w:bCs/>
              </w:rPr>
              <w:t>基础电信服务</w:t>
            </w:r>
          </w:p>
        </w:tc>
        <w:tc>
          <w:tcPr>
            <w:tcW w:w="1356" w:type="dxa"/>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836"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智能办公系统服务采购项目</w:t>
            </w:r>
          </w:p>
        </w:tc>
        <w:tc>
          <w:tcPr>
            <w:tcW w:w="996" w:type="dxa"/>
            <w:vAlign w:val="center"/>
          </w:tcPr>
          <w:p>
            <w:pPr>
              <w:spacing w:line="584" w:lineRule="exact"/>
              <w:jc w:val="center"/>
              <w:rPr>
                <w:rFonts w:ascii="仿宋_GB2312" w:hAnsi="Times New Roman" w:eastAsia="仿宋_GB2312" w:cs="Times New Roman"/>
              </w:rPr>
            </w:pPr>
            <w:r>
              <w:rPr>
                <w:rFonts w:hint="eastAsia" w:ascii="仿宋_GB2312" w:hAnsi="Times New Roman" w:eastAsia="仿宋_GB2312" w:cs="Times New Roman"/>
              </w:rPr>
              <w:t>C030101</w:t>
            </w:r>
          </w:p>
        </w:tc>
        <w:tc>
          <w:tcPr>
            <w:tcW w:w="720" w:type="dxa"/>
            <w:vAlign w:val="center"/>
          </w:tcPr>
          <w:p>
            <w:pPr>
              <w:spacing w:line="584" w:lineRule="exact"/>
              <w:jc w:val="center"/>
              <w:rPr>
                <w:rFonts w:ascii="仿宋_GB2312" w:hAnsi="Times New Roman" w:eastAsia="仿宋_GB2312" w:cs="Times New Roman"/>
              </w:rPr>
            </w:pPr>
          </w:p>
        </w:tc>
        <w:tc>
          <w:tcPr>
            <w:tcW w:w="740" w:type="dxa"/>
            <w:vAlign w:val="center"/>
          </w:tcPr>
          <w:p>
            <w:pPr>
              <w:spacing w:line="584" w:lineRule="exact"/>
              <w:jc w:val="center"/>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w:t>
            </w:r>
          </w:p>
        </w:tc>
        <w:tc>
          <w:tcPr>
            <w:tcW w:w="950" w:type="dxa"/>
            <w:vAlign w:val="center"/>
          </w:tcPr>
          <w:p>
            <w:pPr>
              <w:spacing w:line="584" w:lineRule="exact"/>
              <w:jc w:val="center"/>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30</w:t>
            </w:r>
          </w:p>
        </w:tc>
        <w:tc>
          <w:tcPr>
            <w:tcW w:w="956" w:type="dxa"/>
            <w:vAlign w:val="center"/>
          </w:tcPr>
          <w:p>
            <w:pPr>
              <w:spacing w:line="584" w:lineRule="exact"/>
              <w:jc w:val="both"/>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30</w:t>
            </w:r>
          </w:p>
        </w:tc>
        <w:tc>
          <w:tcPr>
            <w:tcW w:w="956" w:type="dxa"/>
            <w:vAlign w:val="center"/>
          </w:tcPr>
          <w:p>
            <w:pPr>
              <w:spacing w:line="584" w:lineRule="exact"/>
              <w:jc w:val="center"/>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30</w:t>
            </w:r>
          </w:p>
        </w:tc>
        <w:tc>
          <w:tcPr>
            <w:tcW w:w="956" w:type="dxa"/>
            <w:vAlign w:val="center"/>
          </w:tcPr>
          <w:p>
            <w:pPr>
              <w:spacing w:line="584" w:lineRule="exact"/>
              <w:jc w:val="center"/>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30</w:t>
            </w:r>
          </w:p>
        </w:tc>
        <w:tc>
          <w:tcPr>
            <w:tcW w:w="790" w:type="dxa"/>
            <w:vAlign w:val="center"/>
          </w:tcPr>
          <w:p>
            <w:pPr>
              <w:spacing w:line="584" w:lineRule="exact"/>
              <w:jc w:val="center"/>
              <w:rPr>
                <w:rFonts w:ascii="仿宋_GB2312" w:hAnsi="Times New Roman" w:eastAsia="仿宋_GB2312" w:cs="Times New Roman"/>
              </w:rPr>
            </w:pPr>
          </w:p>
        </w:tc>
        <w:tc>
          <w:tcPr>
            <w:tcW w:w="924" w:type="dxa"/>
            <w:vAlign w:val="center"/>
          </w:tcPr>
          <w:p>
            <w:pPr>
              <w:spacing w:line="584" w:lineRule="exact"/>
              <w:jc w:val="center"/>
              <w:rPr>
                <w:rFonts w:ascii="仿宋_GB2312" w:hAnsi="Times New Roman" w:eastAsia="仿宋_GB2312" w:cs="Times New Roman"/>
              </w:rPr>
            </w:pPr>
          </w:p>
        </w:tc>
        <w:tc>
          <w:tcPr>
            <w:tcW w:w="929" w:type="dxa"/>
            <w:vAlign w:val="center"/>
          </w:tcPr>
          <w:p>
            <w:pPr>
              <w:spacing w:line="584" w:lineRule="exact"/>
              <w:jc w:val="center"/>
              <w:rPr>
                <w:rFonts w:ascii="仿宋_GB2312" w:hAnsi="Times New Roman" w:eastAsia="仿宋_GB2312" w:cs="Times New Roman"/>
              </w:rPr>
            </w:pPr>
          </w:p>
        </w:tc>
        <w:tc>
          <w:tcPr>
            <w:tcW w:w="880" w:type="dxa"/>
            <w:vAlign w:val="center"/>
          </w:tcPr>
          <w:p>
            <w:pPr>
              <w:spacing w:line="584" w:lineRule="exact"/>
              <w:jc w:val="center"/>
              <w:rPr>
                <w:rFonts w:ascii="仿宋_GB2312"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广阳区人民检察院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1941.04</w:t>
      </w:r>
      <w:r>
        <w:rPr>
          <w:rFonts w:ascii="Times New Roman" w:hAnsi="Times New Roman" w:eastAsia="仿宋_GB2312" w:cs="Times New Roman"/>
          <w:sz w:val="32"/>
          <w:szCs w:val="32"/>
        </w:rPr>
        <w:t>万元，本年度我部门拟购置固定资产主要为计算机设备、打印设备、空调、办公家具等，已列入政府采购预算。详见下表。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广阳区人民检察院</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1941.04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1926</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1926</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17</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260.79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3</w:t>
            </w: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89.15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1525.1</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5"/>
    <w:rsid w:val="00517DF2"/>
    <w:rsid w:val="0052582A"/>
    <w:rsid w:val="00580AB8"/>
    <w:rsid w:val="006531B7"/>
    <w:rsid w:val="00706395"/>
    <w:rsid w:val="00732FB1"/>
    <w:rsid w:val="00734550"/>
    <w:rsid w:val="00821C14"/>
    <w:rsid w:val="009B2C07"/>
    <w:rsid w:val="00B53073"/>
    <w:rsid w:val="00C80755"/>
    <w:rsid w:val="00DA3635"/>
    <w:rsid w:val="00DE3187"/>
    <w:rsid w:val="053937A2"/>
    <w:rsid w:val="103A0015"/>
    <w:rsid w:val="31A30900"/>
    <w:rsid w:val="7BB5146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39"/>
    <w:rPr>
      <w:rFonts w:ascii="Times New Roman" w:hAnsi="Times New Roman" w:cs="Times New Roman"/>
      <w:szCs w:val="24"/>
    </w:rPr>
  </w:style>
  <w:style w:type="paragraph" w:styleId="6">
    <w:name w:val="footnote text"/>
    <w:basedOn w:val="1"/>
    <w:link w:val="16"/>
    <w:semiHidden/>
    <w:unhideWhenUsed/>
    <w:uiPriority w:val="99"/>
    <w:pPr>
      <w:snapToGrid w:val="0"/>
      <w:jc w:val="left"/>
    </w:pPr>
    <w:rPr>
      <w:rFonts w:cs="Times New Roman"/>
      <w:sz w:val="18"/>
      <w:szCs w:val="18"/>
    </w:rPr>
  </w:style>
  <w:style w:type="paragraph" w:styleId="7">
    <w:name w:val="toc 2"/>
    <w:basedOn w:val="1"/>
    <w:next w:val="1"/>
    <w:uiPriority w:val="39"/>
    <w:pPr>
      <w:ind w:left="420" w:leftChars="200"/>
    </w:pPr>
    <w:rPr>
      <w:rFonts w:ascii="Times New Roman" w:hAnsi="Times New Roman" w:cs="Times New Roman"/>
      <w:szCs w:val="24"/>
    </w:rPr>
  </w:style>
  <w:style w:type="character" w:styleId="10">
    <w:name w:val="footnote reference"/>
    <w:semiHidden/>
    <w:unhideWhenUsed/>
    <w:uiPriority w:val="99"/>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uiPriority w:val="6"/>
    <w:rPr>
      <w:rFonts w:ascii="宋体" w:hAnsi="宋体" w:eastAsia="宋体" w:cs="Times New Roman"/>
      <w:sz w:val="24"/>
      <w:lang w:val="en-US" w:eastAsia="en-US" w:bidi="ar-SA"/>
    </w:rPr>
  </w:style>
  <w:style w:type="character" w:customStyle="1" w:styleId="13">
    <w:name w:val="页眉 Char"/>
    <w:basedOn w:val="9"/>
    <w:link w:val="4"/>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character" w:customStyle="1" w:styleId="16">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1059</Words>
  <Characters>6041</Characters>
  <Lines>50</Lines>
  <Paragraphs>14</Paragraphs>
  <TotalTime>3</TotalTime>
  <ScaleCrop>false</ScaleCrop>
  <LinksUpToDate>false</LinksUpToDate>
  <CharactersWithSpaces>7086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2024-01-17T09:43:11Z</dcterms:modified>
  <dc:title>廊坊市广阳区人民检察院2019年部门预算信息公开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7FB6CB1CBE274944BC5F3183C927B05A</vt:lpwstr>
  </property>
</Properties>
</file>