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rPr>
          <w:rFonts w:ascii="Times New Roman" w:hAnsi="Times New Roman" w:eastAsia="仿宋_GB2312" w:cs="Times New Roman"/>
          <w:sz w:val="44"/>
          <w:szCs w:val="44"/>
        </w:rPr>
      </w:pPr>
    </w:p>
    <w:p>
      <w:pPr>
        <w:spacing w:line="584" w:lineRule="exact"/>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廊坊市广阳区人民检察院2019年部门预算信息公开</w:t>
      </w: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w:t>
      </w:r>
      <w:r>
        <w:rPr>
          <w:rFonts w:hint="eastAsia" w:ascii="Times New Roman" w:hAnsi="Times New Roman" w:eastAsia="仿宋_GB2312" w:cs="Times New Roman"/>
          <w:sz w:val="32"/>
          <w:szCs w:val="32"/>
          <w:lang w:eastAsia="zh-CN"/>
        </w:rPr>
        <w:t>中华人民共和国</w:t>
      </w:r>
      <w:bookmarkStart w:id="4" w:name="_GoBack"/>
      <w:bookmarkEnd w:id="4"/>
      <w:r>
        <w:rPr>
          <w:rFonts w:ascii="Times New Roman" w:hAnsi="Times New Roman" w:eastAsia="仿宋_GB2312" w:cs="Times New Roman"/>
          <w:sz w:val="32"/>
          <w:szCs w:val="32"/>
        </w:rPr>
        <w:t>预算法》、《地方预决算公开操作规程》和《河北省省级预算公开办法》规定，现将廊坊市</w:t>
      </w:r>
      <w:r>
        <w:rPr>
          <w:rFonts w:hint="eastAsia" w:ascii="Times New Roman" w:hAnsi="Times New Roman" w:eastAsia="仿宋_GB2312" w:cs="Times New Roman"/>
          <w:sz w:val="32"/>
          <w:szCs w:val="32"/>
        </w:rPr>
        <w:t>广阳区人民检察院</w:t>
      </w:r>
      <w:r>
        <w:rPr>
          <w:rFonts w:ascii="Times New Roman" w:hAnsi="Times New Roman" w:eastAsia="仿宋_GB2312" w:cs="Times New Roman"/>
          <w:sz w:val="32"/>
          <w:szCs w:val="32"/>
        </w:rPr>
        <w:t>2019年部门预算公开如下：</w:t>
      </w:r>
    </w:p>
    <w:p>
      <w:pPr>
        <w:spacing w:line="584"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一、部门职责及机构设置情况</w:t>
      </w:r>
    </w:p>
    <w:p>
      <w:pPr>
        <w:spacing w:line="584"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部门职责：</w:t>
      </w:r>
    </w:p>
    <w:p>
      <w:pPr>
        <w:spacing w:line="570" w:lineRule="exact"/>
        <w:ind w:firstLine="640" w:firstLineChars="200"/>
        <w:rPr>
          <w:rFonts w:ascii="仿宋_GB2312" w:eastAsia="仿宋_GB2312" w:cs="Times New Roman"/>
          <w:sz w:val="32"/>
          <w:szCs w:val="32"/>
        </w:rPr>
      </w:pPr>
      <w:r>
        <w:rPr>
          <w:rFonts w:hint="eastAsia" w:ascii="仿宋_GB2312" w:eastAsia="仿宋_GB2312"/>
          <w:sz w:val="32"/>
          <w:szCs w:val="32"/>
        </w:rPr>
        <w:t>1、</w:t>
      </w:r>
      <w:r>
        <w:rPr>
          <w:rFonts w:hint="eastAsia" w:ascii="仿宋_GB2312" w:eastAsia="仿宋_GB2312" w:cs="微软雅黑"/>
          <w:sz w:val="32"/>
          <w:szCs w:val="32"/>
        </w:rPr>
        <w:t>依法向广阳区人民代表大会及其常务委员提出议案</w:t>
      </w:r>
      <w:r>
        <w:rPr>
          <w:rFonts w:hint="eastAsia" w:ascii="仿宋_GB2312" w:eastAsia="仿宋_GB2312" w:cs="Malgun Gothic Semilight"/>
          <w:sz w:val="32"/>
          <w:szCs w:val="32"/>
        </w:rPr>
        <w:t>。</w:t>
      </w:r>
    </w:p>
    <w:p>
      <w:pPr>
        <w:spacing w:line="570" w:lineRule="exact"/>
        <w:ind w:firstLine="640" w:firstLineChars="200"/>
        <w:rPr>
          <w:rFonts w:ascii="仿宋_GB2312" w:eastAsia="仿宋_GB2312"/>
          <w:sz w:val="32"/>
          <w:szCs w:val="32"/>
        </w:rPr>
      </w:pPr>
      <w:r>
        <w:rPr>
          <w:rFonts w:hint="eastAsia" w:ascii="仿宋_GB2312" w:eastAsia="仿宋_GB2312"/>
          <w:sz w:val="32"/>
          <w:szCs w:val="32"/>
        </w:rPr>
        <w:t>2、</w:t>
      </w:r>
      <w:r>
        <w:rPr>
          <w:rFonts w:hint="eastAsia" w:ascii="仿宋_GB2312" w:eastAsia="仿宋_GB2312" w:cs="微软雅黑"/>
          <w:sz w:val="32"/>
          <w:szCs w:val="32"/>
        </w:rPr>
        <w:t>认真贯彻执行上级检察院的工作部署</w:t>
      </w:r>
      <w:r>
        <w:rPr>
          <w:rFonts w:hint="eastAsia" w:ascii="仿宋_GB2312" w:eastAsia="仿宋_GB2312" w:cs="Malgun Gothic Semilight"/>
          <w:sz w:val="32"/>
          <w:szCs w:val="32"/>
        </w:rPr>
        <w:t>，</w:t>
      </w:r>
      <w:r>
        <w:rPr>
          <w:rFonts w:hint="eastAsia" w:ascii="仿宋_GB2312" w:eastAsia="仿宋_GB2312" w:cs="微软雅黑"/>
          <w:sz w:val="32"/>
          <w:szCs w:val="32"/>
        </w:rPr>
        <w:t>结合本区实际</w:t>
      </w:r>
      <w:r>
        <w:rPr>
          <w:rFonts w:hint="eastAsia" w:ascii="仿宋_GB2312" w:eastAsia="仿宋_GB2312" w:cs="Malgun Gothic Semilight"/>
          <w:sz w:val="32"/>
          <w:szCs w:val="32"/>
        </w:rPr>
        <w:t>，</w:t>
      </w:r>
      <w:r>
        <w:rPr>
          <w:rFonts w:hint="eastAsia" w:ascii="仿宋_GB2312" w:eastAsia="仿宋_GB2312" w:cs="微软雅黑"/>
          <w:sz w:val="32"/>
          <w:szCs w:val="32"/>
        </w:rPr>
        <w:t>采取相关措施</w:t>
      </w:r>
      <w:r>
        <w:rPr>
          <w:rFonts w:hint="eastAsia" w:ascii="仿宋_GB2312" w:eastAsia="仿宋_GB2312" w:cs="Malgun Gothic Semilight"/>
          <w:sz w:val="32"/>
          <w:szCs w:val="32"/>
        </w:rPr>
        <w:t>，</w:t>
      </w:r>
      <w:r>
        <w:rPr>
          <w:rFonts w:hint="eastAsia" w:ascii="仿宋_GB2312" w:eastAsia="仿宋_GB2312" w:cs="微软雅黑"/>
          <w:sz w:val="32"/>
          <w:szCs w:val="32"/>
        </w:rPr>
        <w:t>完成本区检察工作任务</w:t>
      </w:r>
      <w:r>
        <w:rPr>
          <w:rFonts w:hint="eastAsia" w:ascii="仿宋_GB2312" w:eastAsia="仿宋_GB2312" w:cs="Malgun Gothic Semilight"/>
          <w:sz w:val="32"/>
          <w:szCs w:val="32"/>
        </w:rPr>
        <w:t>。</w:t>
      </w:r>
    </w:p>
    <w:p>
      <w:pPr>
        <w:spacing w:line="570" w:lineRule="exact"/>
        <w:ind w:firstLine="640" w:firstLineChars="200"/>
        <w:rPr>
          <w:rFonts w:ascii="仿宋_GB2312" w:eastAsia="仿宋_GB2312"/>
          <w:sz w:val="32"/>
          <w:szCs w:val="32"/>
        </w:rPr>
      </w:pPr>
      <w:r>
        <w:rPr>
          <w:rFonts w:hint="eastAsia" w:ascii="仿宋_GB2312" w:eastAsia="仿宋_GB2312"/>
          <w:sz w:val="32"/>
          <w:szCs w:val="32"/>
        </w:rPr>
        <w:t>3、</w:t>
      </w:r>
      <w:r>
        <w:rPr>
          <w:rFonts w:hint="eastAsia" w:ascii="仿宋_GB2312" w:eastAsia="仿宋_GB2312" w:cs="微软雅黑"/>
          <w:sz w:val="32"/>
          <w:szCs w:val="32"/>
        </w:rPr>
        <w:t>对辖区内刑事犯罪案件依法审查批捕</w:t>
      </w:r>
      <w:r>
        <w:rPr>
          <w:rFonts w:hint="eastAsia" w:ascii="仿宋_GB2312" w:eastAsia="仿宋_GB2312" w:cs="Malgun Gothic Semilight"/>
          <w:sz w:val="32"/>
          <w:szCs w:val="32"/>
        </w:rPr>
        <w:t>、</w:t>
      </w:r>
      <w:r>
        <w:rPr>
          <w:rFonts w:hint="eastAsia" w:ascii="仿宋_GB2312" w:eastAsia="仿宋_GB2312" w:cs="微软雅黑"/>
          <w:sz w:val="32"/>
          <w:szCs w:val="32"/>
        </w:rPr>
        <w:t>提起公诉</w:t>
      </w:r>
      <w:r>
        <w:rPr>
          <w:rFonts w:hint="eastAsia" w:ascii="仿宋_GB2312" w:eastAsia="仿宋_GB2312" w:cs="Malgun Gothic Semilight"/>
          <w:sz w:val="32"/>
          <w:szCs w:val="32"/>
        </w:rPr>
        <w:t>，</w:t>
      </w:r>
      <w:r>
        <w:rPr>
          <w:rFonts w:hint="eastAsia" w:ascii="仿宋_GB2312" w:eastAsia="仿宋_GB2312" w:cs="微软雅黑"/>
          <w:sz w:val="32"/>
          <w:szCs w:val="32"/>
        </w:rPr>
        <w:t>依法对公安机关的立案侦查活动实行法律监督</w:t>
      </w:r>
      <w:r>
        <w:rPr>
          <w:rFonts w:hint="eastAsia" w:ascii="仿宋_GB2312" w:eastAsia="仿宋_GB2312" w:cs="Malgun Gothic Semilight"/>
          <w:sz w:val="32"/>
          <w:szCs w:val="32"/>
        </w:rPr>
        <w:t>，</w:t>
      </w:r>
      <w:r>
        <w:rPr>
          <w:rFonts w:hint="eastAsia" w:ascii="仿宋_GB2312" w:eastAsia="仿宋_GB2312" w:cs="微软雅黑"/>
          <w:sz w:val="32"/>
          <w:szCs w:val="32"/>
        </w:rPr>
        <w:t>并对本区同级人民法院开庭审理的案件依法派员出席法庭</w:t>
      </w:r>
      <w:r>
        <w:rPr>
          <w:rFonts w:hint="eastAsia" w:ascii="仿宋_GB2312" w:eastAsia="仿宋_GB2312" w:cs="Malgun Gothic Semilight"/>
          <w:sz w:val="32"/>
          <w:szCs w:val="32"/>
        </w:rPr>
        <w:t>，</w:t>
      </w:r>
      <w:r>
        <w:rPr>
          <w:rFonts w:hint="eastAsia" w:ascii="仿宋_GB2312" w:eastAsia="仿宋_GB2312" w:cs="微软雅黑"/>
          <w:sz w:val="32"/>
          <w:szCs w:val="32"/>
        </w:rPr>
        <w:t>履行法律监督职责</w:t>
      </w:r>
      <w:r>
        <w:rPr>
          <w:rFonts w:hint="eastAsia" w:ascii="仿宋_GB2312" w:eastAsia="仿宋_GB2312" w:cs="Malgun Gothic Semilight"/>
          <w:sz w:val="32"/>
          <w:szCs w:val="32"/>
        </w:rPr>
        <w:t>。</w:t>
      </w:r>
      <w:r>
        <w:rPr>
          <w:rFonts w:hint="eastAsia" w:ascii="仿宋_GB2312" w:eastAsia="仿宋_GB2312" w:cs="微软雅黑"/>
          <w:sz w:val="32"/>
          <w:szCs w:val="32"/>
        </w:rPr>
        <w:t>掌握社会治安动态</w:t>
      </w:r>
      <w:r>
        <w:rPr>
          <w:rFonts w:hint="eastAsia" w:ascii="仿宋_GB2312" w:eastAsia="仿宋_GB2312" w:cs="Malgun Gothic Semilight"/>
          <w:sz w:val="32"/>
          <w:szCs w:val="32"/>
        </w:rPr>
        <w:t>，</w:t>
      </w:r>
      <w:r>
        <w:rPr>
          <w:rFonts w:hint="eastAsia" w:ascii="仿宋_GB2312" w:eastAsia="仿宋_GB2312" w:cs="微软雅黑"/>
          <w:sz w:val="32"/>
          <w:szCs w:val="32"/>
        </w:rPr>
        <w:t>参与社会治安综合治理</w:t>
      </w:r>
      <w:r>
        <w:rPr>
          <w:rFonts w:hint="eastAsia" w:ascii="仿宋_GB2312" w:eastAsia="仿宋_GB2312" w:cs="Malgun Gothic Semilight"/>
          <w:sz w:val="32"/>
          <w:szCs w:val="32"/>
        </w:rPr>
        <w:t>。</w:t>
      </w:r>
    </w:p>
    <w:p>
      <w:pPr>
        <w:spacing w:line="570" w:lineRule="exact"/>
        <w:ind w:firstLine="640" w:firstLineChars="200"/>
        <w:rPr>
          <w:rFonts w:ascii="仿宋_GB2312" w:eastAsia="仿宋_GB2312"/>
          <w:sz w:val="32"/>
          <w:szCs w:val="32"/>
        </w:rPr>
      </w:pPr>
      <w:r>
        <w:rPr>
          <w:rFonts w:hint="eastAsia" w:ascii="仿宋_GB2312" w:eastAsia="仿宋_GB2312"/>
          <w:sz w:val="32"/>
          <w:szCs w:val="32"/>
        </w:rPr>
        <w:t>4、</w:t>
      </w:r>
      <w:r>
        <w:rPr>
          <w:rFonts w:hint="eastAsia" w:ascii="仿宋_GB2312" w:eastAsia="仿宋_GB2312" w:cs="微软雅黑"/>
          <w:sz w:val="32"/>
          <w:szCs w:val="32"/>
        </w:rPr>
        <w:t>依法对刑事审判实行法律监督</w:t>
      </w:r>
      <w:r>
        <w:rPr>
          <w:rFonts w:hint="eastAsia" w:ascii="仿宋_GB2312" w:eastAsia="仿宋_GB2312" w:cs="Malgun Gothic Semilight"/>
          <w:sz w:val="32"/>
          <w:szCs w:val="32"/>
        </w:rPr>
        <w:t>，</w:t>
      </w:r>
      <w:r>
        <w:rPr>
          <w:rFonts w:hint="eastAsia" w:ascii="仿宋_GB2312" w:eastAsia="仿宋_GB2312" w:cs="微软雅黑"/>
          <w:sz w:val="32"/>
          <w:szCs w:val="32"/>
        </w:rPr>
        <w:t>对确有错误的刑事判决</w:t>
      </w:r>
      <w:r>
        <w:rPr>
          <w:rFonts w:hint="eastAsia" w:ascii="仿宋_GB2312" w:eastAsia="仿宋_GB2312" w:cs="Malgun Gothic Semilight"/>
          <w:sz w:val="32"/>
          <w:szCs w:val="32"/>
        </w:rPr>
        <w:t>、</w:t>
      </w:r>
      <w:r>
        <w:rPr>
          <w:rFonts w:hint="eastAsia" w:ascii="仿宋_GB2312" w:eastAsia="仿宋_GB2312" w:cs="微软雅黑"/>
          <w:sz w:val="32"/>
          <w:szCs w:val="32"/>
        </w:rPr>
        <w:t>裁定</w:t>
      </w:r>
      <w:r>
        <w:rPr>
          <w:rFonts w:hint="eastAsia" w:ascii="仿宋_GB2312" w:eastAsia="仿宋_GB2312" w:cs="Malgun Gothic Semilight"/>
          <w:sz w:val="32"/>
          <w:szCs w:val="32"/>
        </w:rPr>
        <w:t>，</w:t>
      </w:r>
      <w:r>
        <w:rPr>
          <w:rFonts w:hint="eastAsia" w:ascii="仿宋_GB2312" w:eastAsia="仿宋_GB2312" w:cs="微软雅黑"/>
          <w:sz w:val="32"/>
          <w:szCs w:val="32"/>
        </w:rPr>
        <w:t>依法提请上级人民检察院抗诉</w:t>
      </w:r>
      <w:r>
        <w:rPr>
          <w:rFonts w:hint="eastAsia" w:ascii="仿宋_GB2312" w:eastAsia="仿宋_GB2312" w:cs="Malgun Gothic Semilight"/>
          <w:sz w:val="32"/>
          <w:szCs w:val="32"/>
        </w:rPr>
        <w:t>。</w:t>
      </w:r>
    </w:p>
    <w:p>
      <w:pPr>
        <w:spacing w:line="570" w:lineRule="exact"/>
        <w:ind w:firstLine="640" w:firstLineChars="200"/>
        <w:rPr>
          <w:rFonts w:ascii="仿宋_GB2312" w:eastAsia="仿宋_GB2312"/>
          <w:sz w:val="32"/>
          <w:szCs w:val="32"/>
        </w:rPr>
      </w:pPr>
      <w:r>
        <w:rPr>
          <w:rFonts w:hint="eastAsia" w:ascii="仿宋_GB2312" w:eastAsia="仿宋_GB2312"/>
          <w:sz w:val="32"/>
          <w:szCs w:val="32"/>
        </w:rPr>
        <w:t>5、</w:t>
      </w:r>
      <w:r>
        <w:rPr>
          <w:rFonts w:hint="eastAsia" w:ascii="仿宋_GB2312" w:eastAsia="仿宋_GB2312" w:cs="微软雅黑"/>
          <w:sz w:val="32"/>
          <w:szCs w:val="32"/>
        </w:rPr>
        <w:t>依法对民事</w:t>
      </w:r>
      <w:r>
        <w:rPr>
          <w:rFonts w:hint="eastAsia" w:ascii="仿宋_GB2312" w:eastAsia="仿宋_GB2312" w:cs="Malgun Gothic Semilight"/>
          <w:sz w:val="32"/>
          <w:szCs w:val="32"/>
        </w:rPr>
        <w:t>、</w:t>
      </w:r>
      <w:r>
        <w:rPr>
          <w:rFonts w:hint="eastAsia" w:ascii="仿宋_GB2312" w:eastAsia="仿宋_GB2312" w:cs="微软雅黑"/>
          <w:sz w:val="32"/>
          <w:szCs w:val="32"/>
        </w:rPr>
        <w:t>行政审判实行法律监督</w:t>
      </w:r>
      <w:r>
        <w:rPr>
          <w:rFonts w:hint="eastAsia" w:ascii="仿宋_GB2312" w:eastAsia="仿宋_GB2312" w:cs="Malgun Gothic Semilight"/>
          <w:sz w:val="32"/>
          <w:szCs w:val="32"/>
        </w:rPr>
        <w:t>，</w:t>
      </w:r>
      <w:r>
        <w:rPr>
          <w:rFonts w:hint="eastAsia" w:ascii="仿宋_GB2312" w:eastAsia="仿宋_GB2312" w:cs="微软雅黑"/>
          <w:sz w:val="32"/>
          <w:szCs w:val="32"/>
        </w:rPr>
        <w:t>受理审查单位</w:t>
      </w:r>
      <w:r>
        <w:rPr>
          <w:rFonts w:hint="eastAsia" w:ascii="仿宋_GB2312" w:eastAsia="仿宋_GB2312" w:cs="Malgun Gothic Semilight"/>
          <w:sz w:val="32"/>
          <w:szCs w:val="32"/>
        </w:rPr>
        <w:t>、</w:t>
      </w:r>
      <w:r>
        <w:rPr>
          <w:rFonts w:hint="eastAsia" w:ascii="仿宋_GB2312" w:eastAsia="仿宋_GB2312" w:cs="微软雅黑"/>
          <w:sz w:val="32"/>
          <w:szCs w:val="32"/>
        </w:rPr>
        <w:t>公民不服人民法院已经发生法律效力的民事</w:t>
      </w:r>
      <w:r>
        <w:rPr>
          <w:rFonts w:hint="eastAsia" w:ascii="仿宋_GB2312" w:eastAsia="仿宋_GB2312" w:cs="Malgun Gothic Semilight"/>
          <w:sz w:val="32"/>
          <w:szCs w:val="32"/>
        </w:rPr>
        <w:t>、</w:t>
      </w:r>
      <w:r>
        <w:rPr>
          <w:rFonts w:hint="eastAsia" w:ascii="仿宋_GB2312" w:eastAsia="仿宋_GB2312" w:cs="微软雅黑"/>
          <w:sz w:val="32"/>
          <w:szCs w:val="32"/>
        </w:rPr>
        <w:t>经济</w:t>
      </w:r>
      <w:r>
        <w:rPr>
          <w:rFonts w:hint="eastAsia" w:ascii="仿宋_GB2312" w:eastAsia="仿宋_GB2312" w:cs="Malgun Gothic Semilight"/>
          <w:sz w:val="32"/>
          <w:szCs w:val="32"/>
        </w:rPr>
        <w:t>、</w:t>
      </w:r>
      <w:r>
        <w:rPr>
          <w:rFonts w:hint="eastAsia" w:ascii="仿宋_GB2312" w:eastAsia="仿宋_GB2312" w:cs="微软雅黑"/>
          <w:sz w:val="32"/>
          <w:szCs w:val="32"/>
        </w:rPr>
        <w:t>行政判决</w:t>
      </w:r>
      <w:r>
        <w:rPr>
          <w:rFonts w:hint="eastAsia" w:ascii="仿宋_GB2312" w:eastAsia="仿宋_GB2312" w:cs="Malgun Gothic Semilight"/>
          <w:sz w:val="32"/>
          <w:szCs w:val="32"/>
        </w:rPr>
        <w:t>、</w:t>
      </w:r>
      <w:r>
        <w:rPr>
          <w:rFonts w:hint="eastAsia" w:ascii="仿宋_GB2312" w:eastAsia="仿宋_GB2312" w:cs="微软雅黑"/>
          <w:sz w:val="32"/>
          <w:szCs w:val="32"/>
        </w:rPr>
        <w:t>裁定的案件</w:t>
      </w:r>
      <w:r>
        <w:rPr>
          <w:rFonts w:hint="eastAsia" w:ascii="仿宋_GB2312" w:eastAsia="仿宋_GB2312" w:cs="Malgun Gothic Semilight"/>
          <w:sz w:val="32"/>
          <w:szCs w:val="32"/>
        </w:rPr>
        <w:t>，</w:t>
      </w:r>
      <w:r>
        <w:rPr>
          <w:rFonts w:hint="eastAsia" w:ascii="仿宋_GB2312" w:eastAsia="仿宋_GB2312" w:cs="微软雅黑"/>
          <w:sz w:val="32"/>
          <w:szCs w:val="32"/>
        </w:rPr>
        <w:t>对确错误的判决和裁定</w:t>
      </w:r>
      <w:r>
        <w:rPr>
          <w:rFonts w:hint="eastAsia" w:ascii="仿宋_GB2312" w:eastAsia="仿宋_GB2312" w:cs="Malgun Gothic Semilight"/>
          <w:sz w:val="32"/>
          <w:szCs w:val="32"/>
        </w:rPr>
        <w:t>，</w:t>
      </w:r>
      <w:r>
        <w:rPr>
          <w:rFonts w:hint="eastAsia" w:ascii="仿宋_GB2312" w:eastAsia="仿宋_GB2312" w:cs="微软雅黑"/>
          <w:sz w:val="32"/>
          <w:szCs w:val="32"/>
        </w:rPr>
        <w:t>依法建议</w:t>
      </w:r>
      <w:r>
        <w:rPr>
          <w:rFonts w:hint="eastAsia" w:ascii="仿宋_GB2312" w:eastAsia="仿宋_GB2312" w:cs="Malgun Gothic Semilight"/>
          <w:sz w:val="32"/>
          <w:szCs w:val="32"/>
        </w:rPr>
        <w:t>、</w:t>
      </w:r>
      <w:r>
        <w:rPr>
          <w:rFonts w:hint="eastAsia" w:ascii="仿宋_GB2312" w:eastAsia="仿宋_GB2312" w:cs="微软雅黑"/>
          <w:sz w:val="32"/>
          <w:szCs w:val="32"/>
        </w:rPr>
        <w:t>提请上级院抗诉</w:t>
      </w:r>
      <w:r>
        <w:rPr>
          <w:rFonts w:hint="eastAsia" w:ascii="仿宋_GB2312" w:eastAsia="仿宋_GB2312" w:cs="Malgun Gothic Semilight"/>
          <w:sz w:val="32"/>
          <w:szCs w:val="32"/>
        </w:rPr>
        <w:t>。</w:t>
      </w:r>
    </w:p>
    <w:p>
      <w:pPr>
        <w:spacing w:line="570" w:lineRule="exact"/>
        <w:ind w:firstLine="640" w:firstLineChars="200"/>
        <w:rPr>
          <w:rFonts w:ascii="仿宋_GB2312" w:eastAsia="仿宋_GB2312"/>
          <w:sz w:val="32"/>
          <w:szCs w:val="32"/>
        </w:rPr>
      </w:pPr>
      <w:r>
        <w:rPr>
          <w:rFonts w:hint="eastAsia" w:ascii="仿宋_GB2312" w:eastAsia="仿宋_GB2312"/>
          <w:sz w:val="32"/>
          <w:szCs w:val="32"/>
        </w:rPr>
        <w:t>6</w:t>
      </w:r>
      <w:r>
        <w:rPr>
          <w:rFonts w:hint="eastAsia" w:ascii="仿宋_GB2312" w:eastAsia="仿宋_GB2312" w:cs="Malgun Gothic Semilight"/>
          <w:sz w:val="32"/>
          <w:szCs w:val="32"/>
        </w:rPr>
        <w:t>、</w:t>
      </w:r>
      <w:r>
        <w:rPr>
          <w:rFonts w:hint="eastAsia" w:ascii="仿宋_GB2312" w:eastAsia="仿宋_GB2312" w:cs="微软雅黑"/>
          <w:sz w:val="32"/>
          <w:szCs w:val="32"/>
        </w:rPr>
        <w:t>依法对执行机关执行刑罚的活动是否合法实行监督</w:t>
      </w:r>
      <w:r>
        <w:rPr>
          <w:rFonts w:hint="eastAsia" w:ascii="仿宋_GB2312" w:eastAsia="仿宋_GB2312" w:cs="Malgun Gothic Semilight"/>
          <w:sz w:val="32"/>
          <w:szCs w:val="32"/>
        </w:rPr>
        <w:t>。</w:t>
      </w:r>
      <w:r>
        <w:rPr>
          <w:rFonts w:hint="eastAsia" w:ascii="仿宋_GB2312" w:eastAsia="仿宋_GB2312" w:cs="微软雅黑"/>
          <w:sz w:val="32"/>
          <w:szCs w:val="32"/>
        </w:rPr>
        <w:t>依法对看守所</w:t>
      </w:r>
      <w:r>
        <w:rPr>
          <w:rFonts w:hint="eastAsia" w:ascii="仿宋_GB2312" w:eastAsia="仿宋_GB2312" w:cs="Malgun Gothic Semilight"/>
          <w:sz w:val="32"/>
          <w:szCs w:val="32"/>
        </w:rPr>
        <w:t>、</w:t>
      </w:r>
      <w:r>
        <w:rPr>
          <w:rFonts w:hint="eastAsia" w:ascii="仿宋_GB2312" w:eastAsia="仿宋_GB2312" w:cs="微软雅黑"/>
          <w:sz w:val="32"/>
          <w:szCs w:val="32"/>
        </w:rPr>
        <w:t>劳教所的监管活动进行监督</w:t>
      </w:r>
      <w:r>
        <w:rPr>
          <w:rFonts w:hint="eastAsia" w:ascii="仿宋_GB2312" w:eastAsia="仿宋_GB2312" w:cs="Malgun Gothic Semilight"/>
          <w:sz w:val="32"/>
          <w:szCs w:val="32"/>
        </w:rPr>
        <w:t>，</w:t>
      </w:r>
      <w:r>
        <w:rPr>
          <w:rFonts w:hint="eastAsia" w:ascii="仿宋_GB2312" w:eastAsia="仿宋_GB2312" w:cs="微软雅黑"/>
          <w:sz w:val="32"/>
          <w:szCs w:val="32"/>
        </w:rPr>
        <w:t>并负责本辖区内监外服刑罪犯的考察工作</w:t>
      </w:r>
      <w:r>
        <w:rPr>
          <w:rFonts w:hint="eastAsia" w:ascii="仿宋_GB2312" w:eastAsia="仿宋_GB2312" w:cs="Malgun Gothic Semilight"/>
          <w:sz w:val="32"/>
          <w:szCs w:val="32"/>
        </w:rPr>
        <w:t>。</w:t>
      </w:r>
    </w:p>
    <w:p>
      <w:pPr>
        <w:spacing w:line="570" w:lineRule="exact"/>
        <w:ind w:firstLine="640" w:firstLineChars="200"/>
        <w:rPr>
          <w:rFonts w:ascii="仿宋_GB2312" w:eastAsia="仿宋_GB2312"/>
          <w:sz w:val="32"/>
          <w:szCs w:val="32"/>
        </w:rPr>
      </w:pPr>
      <w:r>
        <w:rPr>
          <w:rFonts w:hint="eastAsia" w:ascii="仿宋_GB2312" w:eastAsia="仿宋_GB2312"/>
          <w:sz w:val="32"/>
          <w:szCs w:val="32"/>
        </w:rPr>
        <w:t>7、</w:t>
      </w:r>
      <w:r>
        <w:rPr>
          <w:rFonts w:hint="eastAsia" w:ascii="仿宋_GB2312" w:eastAsia="仿宋_GB2312" w:cs="微软雅黑"/>
          <w:sz w:val="32"/>
          <w:szCs w:val="32"/>
        </w:rPr>
        <w:t>受理单位和个人的报案</w:t>
      </w:r>
      <w:r>
        <w:rPr>
          <w:rFonts w:hint="eastAsia" w:ascii="仿宋_GB2312" w:eastAsia="仿宋_GB2312" w:cs="Malgun Gothic Semilight"/>
          <w:sz w:val="32"/>
          <w:szCs w:val="32"/>
        </w:rPr>
        <w:t>、</w:t>
      </w:r>
      <w:r>
        <w:rPr>
          <w:rFonts w:hint="eastAsia" w:ascii="仿宋_GB2312" w:eastAsia="仿宋_GB2312" w:cs="微软雅黑"/>
          <w:sz w:val="32"/>
          <w:szCs w:val="32"/>
        </w:rPr>
        <w:t>控告</w:t>
      </w:r>
      <w:r>
        <w:rPr>
          <w:rFonts w:hint="eastAsia" w:ascii="仿宋_GB2312" w:eastAsia="仿宋_GB2312" w:cs="Malgun Gothic Semilight"/>
          <w:sz w:val="32"/>
          <w:szCs w:val="32"/>
        </w:rPr>
        <w:t>、</w:t>
      </w:r>
      <w:r>
        <w:rPr>
          <w:rFonts w:hint="eastAsia" w:ascii="仿宋_GB2312" w:eastAsia="仿宋_GB2312" w:cs="微软雅黑"/>
          <w:sz w:val="32"/>
          <w:szCs w:val="32"/>
        </w:rPr>
        <w:t>申诉和举报以及犯罪嫌疑人的自首</w:t>
      </w:r>
      <w:r>
        <w:rPr>
          <w:rFonts w:hint="eastAsia" w:ascii="仿宋_GB2312" w:eastAsia="仿宋_GB2312" w:cs="Malgun Gothic Semilight"/>
          <w:sz w:val="32"/>
          <w:szCs w:val="32"/>
        </w:rPr>
        <w:t>，</w:t>
      </w:r>
      <w:r>
        <w:rPr>
          <w:rFonts w:hint="eastAsia" w:ascii="仿宋_GB2312" w:eastAsia="仿宋_GB2312" w:cs="微软雅黑"/>
          <w:sz w:val="32"/>
          <w:szCs w:val="32"/>
        </w:rPr>
        <w:t>办理举报案件</w:t>
      </w:r>
      <w:r>
        <w:rPr>
          <w:rFonts w:hint="eastAsia" w:ascii="仿宋_GB2312" w:eastAsia="仿宋_GB2312" w:cs="Malgun Gothic Semilight"/>
          <w:sz w:val="32"/>
          <w:szCs w:val="32"/>
        </w:rPr>
        <w:t>、</w:t>
      </w:r>
      <w:r>
        <w:rPr>
          <w:rFonts w:hint="eastAsia" w:ascii="仿宋_GB2312" w:eastAsia="仿宋_GB2312" w:cs="微软雅黑"/>
          <w:sz w:val="32"/>
          <w:szCs w:val="32"/>
        </w:rPr>
        <w:t>刑事赔偿工作</w:t>
      </w:r>
      <w:r>
        <w:rPr>
          <w:rFonts w:hint="eastAsia" w:ascii="仿宋_GB2312" w:eastAsia="仿宋_GB2312" w:cs="Malgun Gothic Semilight"/>
          <w:sz w:val="32"/>
          <w:szCs w:val="32"/>
        </w:rPr>
        <w:t>。</w:t>
      </w:r>
    </w:p>
    <w:p>
      <w:pPr>
        <w:spacing w:line="570" w:lineRule="exact"/>
        <w:ind w:firstLine="640" w:firstLineChars="200"/>
        <w:rPr>
          <w:rFonts w:ascii="仿宋_GB2312" w:eastAsia="仿宋_GB2312"/>
          <w:sz w:val="32"/>
          <w:szCs w:val="32"/>
        </w:rPr>
      </w:pPr>
      <w:r>
        <w:rPr>
          <w:rFonts w:hint="eastAsia" w:ascii="仿宋_GB2312" w:eastAsia="仿宋_GB2312"/>
          <w:sz w:val="32"/>
          <w:szCs w:val="32"/>
        </w:rPr>
        <w:t>8、</w:t>
      </w:r>
      <w:r>
        <w:rPr>
          <w:rFonts w:hint="eastAsia" w:ascii="仿宋_GB2312" w:eastAsia="仿宋_GB2312" w:cs="微软雅黑"/>
          <w:sz w:val="32"/>
          <w:szCs w:val="32"/>
        </w:rPr>
        <w:t>办理检察技术工作和物证检验</w:t>
      </w:r>
      <w:r>
        <w:rPr>
          <w:rFonts w:hint="eastAsia" w:ascii="仿宋_GB2312" w:eastAsia="仿宋_GB2312" w:cs="Malgun Gothic Semilight"/>
          <w:sz w:val="32"/>
          <w:szCs w:val="32"/>
        </w:rPr>
        <w:t>、</w:t>
      </w:r>
      <w:r>
        <w:rPr>
          <w:rFonts w:hint="eastAsia" w:ascii="仿宋_GB2312" w:eastAsia="仿宋_GB2312" w:cs="微软雅黑"/>
          <w:sz w:val="32"/>
          <w:szCs w:val="32"/>
        </w:rPr>
        <w:t>鉴定</w:t>
      </w:r>
      <w:r>
        <w:rPr>
          <w:rFonts w:hint="eastAsia" w:ascii="仿宋_GB2312" w:eastAsia="仿宋_GB2312" w:cs="Malgun Gothic Semilight"/>
          <w:sz w:val="32"/>
          <w:szCs w:val="32"/>
        </w:rPr>
        <w:t>、</w:t>
      </w:r>
      <w:r>
        <w:rPr>
          <w:rFonts w:hint="eastAsia" w:ascii="仿宋_GB2312" w:eastAsia="仿宋_GB2312" w:cs="微软雅黑"/>
          <w:sz w:val="32"/>
          <w:szCs w:val="32"/>
        </w:rPr>
        <w:t>审核工作</w:t>
      </w:r>
      <w:r>
        <w:rPr>
          <w:rFonts w:hint="eastAsia" w:ascii="仿宋_GB2312" w:eastAsia="仿宋_GB2312" w:cs="Malgun Gothic Semilight"/>
          <w:sz w:val="32"/>
          <w:szCs w:val="32"/>
        </w:rPr>
        <w:t>；</w:t>
      </w:r>
      <w:r>
        <w:rPr>
          <w:rFonts w:hint="eastAsia" w:ascii="仿宋_GB2312" w:eastAsia="仿宋_GB2312" w:cs="微软雅黑"/>
          <w:sz w:val="32"/>
          <w:szCs w:val="32"/>
        </w:rPr>
        <w:t>负责本院计算机网络的建设和管理</w:t>
      </w:r>
      <w:r>
        <w:rPr>
          <w:rFonts w:hint="eastAsia" w:ascii="仿宋_GB2312" w:eastAsia="仿宋_GB2312" w:cs="Malgun Gothic Semilight"/>
          <w:sz w:val="32"/>
          <w:szCs w:val="32"/>
        </w:rPr>
        <w:t>。</w:t>
      </w:r>
    </w:p>
    <w:p>
      <w:pPr>
        <w:spacing w:line="570" w:lineRule="exact"/>
        <w:ind w:firstLine="640" w:firstLineChars="200"/>
        <w:rPr>
          <w:rFonts w:ascii="仿宋_GB2312" w:eastAsia="仿宋_GB2312"/>
          <w:sz w:val="32"/>
          <w:szCs w:val="32"/>
        </w:rPr>
      </w:pPr>
      <w:r>
        <w:rPr>
          <w:rFonts w:hint="eastAsia" w:ascii="仿宋_GB2312" w:eastAsia="仿宋_GB2312"/>
          <w:sz w:val="32"/>
          <w:szCs w:val="32"/>
        </w:rPr>
        <w:t>9、</w:t>
      </w:r>
      <w:r>
        <w:rPr>
          <w:rFonts w:hint="eastAsia" w:ascii="仿宋_GB2312" w:eastAsia="仿宋_GB2312" w:cs="微软雅黑"/>
          <w:sz w:val="32"/>
          <w:szCs w:val="32"/>
        </w:rPr>
        <w:t>对检察工作中具体应用法律的问题进行研究</w:t>
      </w:r>
      <w:r>
        <w:rPr>
          <w:rFonts w:hint="eastAsia" w:ascii="仿宋_GB2312" w:eastAsia="仿宋_GB2312" w:cs="Malgun Gothic Semilight"/>
          <w:sz w:val="32"/>
          <w:szCs w:val="32"/>
        </w:rPr>
        <w:t>，</w:t>
      </w:r>
      <w:r>
        <w:rPr>
          <w:rFonts w:hint="eastAsia" w:ascii="仿宋_GB2312" w:eastAsia="仿宋_GB2312" w:cs="微软雅黑"/>
          <w:sz w:val="32"/>
          <w:szCs w:val="32"/>
        </w:rPr>
        <w:t>适时提出立法和司法建议</w:t>
      </w:r>
      <w:r>
        <w:rPr>
          <w:rFonts w:hint="eastAsia" w:ascii="仿宋_GB2312" w:eastAsia="仿宋_GB2312" w:cs="Malgun Gothic Semilight"/>
          <w:sz w:val="32"/>
          <w:szCs w:val="32"/>
        </w:rPr>
        <w:t>，</w:t>
      </w:r>
      <w:r>
        <w:rPr>
          <w:rFonts w:hint="eastAsia" w:ascii="仿宋_GB2312" w:eastAsia="仿宋_GB2312" w:cs="微软雅黑"/>
          <w:sz w:val="32"/>
          <w:szCs w:val="32"/>
        </w:rPr>
        <w:t>为领导机关决策提供科学依据</w:t>
      </w:r>
      <w:r>
        <w:rPr>
          <w:rFonts w:hint="eastAsia" w:ascii="仿宋_GB2312" w:eastAsia="仿宋_GB2312" w:cs="Malgun Gothic Semilight"/>
          <w:sz w:val="32"/>
          <w:szCs w:val="32"/>
        </w:rPr>
        <w:t>。</w:t>
      </w:r>
      <w:r>
        <w:rPr>
          <w:rFonts w:hint="eastAsia" w:ascii="仿宋_GB2312" w:eastAsia="仿宋_GB2312" w:cs="微软雅黑"/>
          <w:sz w:val="32"/>
          <w:szCs w:val="32"/>
        </w:rPr>
        <w:t>制定本院检察工作的规定</w:t>
      </w:r>
      <w:r>
        <w:rPr>
          <w:rFonts w:hint="eastAsia" w:ascii="仿宋_GB2312" w:eastAsia="仿宋_GB2312" w:cs="Malgun Gothic Semilight"/>
          <w:sz w:val="32"/>
          <w:szCs w:val="32"/>
        </w:rPr>
        <w:t>、</w:t>
      </w:r>
      <w:r>
        <w:rPr>
          <w:rFonts w:hint="eastAsia" w:ascii="仿宋_GB2312" w:eastAsia="仿宋_GB2312" w:cs="微软雅黑"/>
          <w:sz w:val="32"/>
          <w:szCs w:val="32"/>
        </w:rPr>
        <w:t>办法和实施细则</w:t>
      </w:r>
      <w:r>
        <w:rPr>
          <w:rFonts w:hint="eastAsia" w:ascii="仿宋_GB2312" w:eastAsia="仿宋_GB2312" w:cs="Malgun Gothic Semilight"/>
          <w:sz w:val="32"/>
          <w:szCs w:val="32"/>
        </w:rPr>
        <w:t>。</w:t>
      </w:r>
    </w:p>
    <w:p>
      <w:pPr>
        <w:spacing w:line="570" w:lineRule="exact"/>
        <w:ind w:firstLine="640" w:firstLineChars="200"/>
        <w:rPr>
          <w:rFonts w:ascii="仿宋_GB2312" w:eastAsia="仿宋_GB2312"/>
          <w:sz w:val="32"/>
          <w:szCs w:val="32"/>
        </w:rPr>
      </w:pPr>
      <w:r>
        <w:rPr>
          <w:rFonts w:hint="eastAsia" w:ascii="仿宋_GB2312" w:eastAsia="仿宋_GB2312"/>
          <w:sz w:val="32"/>
          <w:szCs w:val="32"/>
        </w:rPr>
        <w:t>10、</w:t>
      </w:r>
      <w:r>
        <w:rPr>
          <w:rFonts w:hint="eastAsia" w:ascii="仿宋_GB2312" w:eastAsia="仿宋_GB2312" w:cs="微软雅黑"/>
          <w:sz w:val="32"/>
          <w:szCs w:val="32"/>
        </w:rPr>
        <w:t>负责队伍建设和思想政治工作</w:t>
      </w:r>
      <w:r>
        <w:rPr>
          <w:rFonts w:hint="eastAsia" w:ascii="仿宋_GB2312" w:eastAsia="仿宋_GB2312" w:cs="Malgun Gothic Semilight"/>
          <w:sz w:val="32"/>
          <w:szCs w:val="32"/>
        </w:rPr>
        <w:t>，</w:t>
      </w:r>
      <w:r>
        <w:rPr>
          <w:rFonts w:hint="eastAsia" w:ascii="仿宋_GB2312" w:eastAsia="仿宋_GB2312" w:cs="微软雅黑"/>
          <w:sz w:val="32"/>
          <w:szCs w:val="32"/>
        </w:rPr>
        <w:t>依法管理检察官和其他检察人员</w:t>
      </w:r>
      <w:r>
        <w:rPr>
          <w:rFonts w:hint="eastAsia" w:ascii="仿宋_GB2312" w:eastAsia="仿宋_GB2312" w:cs="Malgun Gothic Semilight"/>
          <w:sz w:val="32"/>
          <w:szCs w:val="32"/>
        </w:rPr>
        <w:t>，</w:t>
      </w:r>
      <w:r>
        <w:rPr>
          <w:rFonts w:hint="eastAsia" w:ascii="仿宋_GB2312" w:eastAsia="仿宋_GB2312" w:cs="微软雅黑"/>
          <w:sz w:val="32"/>
          <w:szCs w:val="32"/>
        </w:rPr>
        <w:t>提请广阳区人民代表大会常务委员会决定任免本院的副检察长</w:t>
      </w:r>
      <w:r>
        <w:rPr>
          <w:rFonts w:hint="eastAsia" w:ascii="仿宋_GB2312" w:eastAsia="仿宋_GB2312" w:cs="Malgun Gothic Semilight"/>
          <w:sz w:val="32"/>
          <w:szCs w:val="32"/>
        </w:rPr>
        <w:t>、</w:t>
      </w:r>
      <w:r>
        <w:rPr>
          <w:rFonts w:hint="eastAsia" w:ascii="仿宋_GB2312" w:eastAsia="仿宋_GB2312" w:cs="微软雅黑"/>
          <w:sz w:val="32"/>
          <w:szCs w:val="32"/>
        </w:rPr>
        <w:t>检察委员会委员</w:t>
      </w:r>
      <w:r>
        <w:rPr>
          <w:rFonts w:hint="eastAsia" w:ascii="仿宋_GB2312" w:eastAsia="仿宋_GB2312" w:cs="Malgun Gothic Semilight"/>
          <w:sz w:val="32"/>
          <w:szCs w:val="32"/>
        </w:rPr>
        <w:t>、</w:t>
      </w:r>
      <w:r>
        <w:rPr>
          <w:rFonts w:hint="eastAsia" w:ascii="仿宋_GB2312" w:eastAsia="仿宋_GB2312" w:cs="微软雅黑"/>
          <w:sz w:val="32"/>
          <w:szCs w:val="32"/>
        </w:rPr>
        <w:t>检察员</w:t>
      </w:r>
      <w:r>
        <w:rPr>
          <w:rFonts w:hint="eastAsia" w:ascii="仿宋_GB2312" w:eastAsia="仿宋_GB2312" w:cs="Malgun Gothic Semilight"/>
          <w:sz w:val="32"/>
          <w:szCs w:val="32"/>
        </w:rPr>
        <w:t>，</w:t>
      </w:r>
      <w:r>
        <w:rPr>
          <w:rFonts w:hint="eastAsia" w:ascii="仿宋_GB2312" w:eastAsia="仿宋_GB2312" w:cs="微软雅黑"/>
          <w:sz w:val="32"/>
          <w:szCs w:val="32"/>
        </w:rPr>
        <w:t>依法任免助理检察员</w:t>
      </w:r>
      <w:r>
        <w:rPr>
          <w:rFonts w:hint="eastAsia" w:ascii="仿宋_GB2312" w:eastAsia="仿宋_GB2312" w:cs="Malgun Gothic Semilight"/>
          <w:sz w:val="32"/>
          <w:szCs w:val="32"/>
        </w:rPr>
        <w:t>、</w:t>
      </w:r>
      <w:r>
        <w:rPr>
          <w:rFonts w:hint="eastAsia" w:ascii="仿宋_GB2312" w:eastAsia="仿宋_GB2312" w:cs="微软雅黑"/>
          <w:sz w:val="32"/>
          <w:szCs w:val="32"/>
        </w:rPr>
        <w:t>书记员和司法警察</w:t>
      </w:r>
      <w:r>
        <w:rPr>
          <w:rFonts w:hint="eastAsia" w:ascii="仿宋_GB2312" w:eastAsia="仿宋_GB2312" w:cs="Malgun Gothic Semilight"/>
          <w:sz w:val="32"/>
          <w:szCs w:val="32"/>
        </w:rPr>
        <w:t>。</w:t>
      </w:r>
    </w:p>
    <w:p>
      <w:pPr>
        <w:spacing w:line="570" w:lineRule="exact"/>
        <w:ind w:firstLine="640" w:firstLineChars="200"/>
        <w:rPr>
          <w:rFonts w:ascii="仿宋_GB2312" w:eastAsia="仿宋_GB2312"/>
          <w:sz w:val="32"/>
          <w:szCs w:val="32"/>
        </w:rPr>
      </w:pPr>
      <w:r>
        <w:rPr>
          <w:rFonts w:hint="eastAsia" w:ascii="仿宋_GB2312" w:eastAsia="仿宋_GB2312"/>
          <w:sz w:val="32"/>
          <w:szCs w:val="32"/>
        </w:rPr>
        <w:t>11、</w:t>
      </w:r>
      <w:r>
        <w:rPr>
          <w:rFonts w:hint="eastAsia" w:ascii="仿宋_GB2312" w:eastAsia="仿宋_GB2312" w:cs="微软雅黑"/>
          <w:sz w:val="32"/>
          <w:szCs w:val="32"/>
        </w:rPr>
        <w:t>协助区主管部门办理本院的机构设置</w:t>
      </w:r>
      <w:r>
        <w:rPr>
          <w:rFonts w:hint="eastAsia" w:ascii="仿宋_GB2312" w:eastAsia="仿宋_GB2312" w:cs="Malgun Gothic Semilight"/>
          <w:sz w:val="32"/>
          <w:szCs w:val="32"/>
        </w:rPr>
        <w:t>、</w:t>
      </w:r>
      <w:r>
        <w:rPr>
          <w:rFonts w:hint="eastAsia" w:ascii="仿宋_GB2312" w:eastAsia="仿宋_GB2312" w:cs="微软雅黑"/>
          <w:sz w:val="32"/>
          <w:szCs w:val="32"/>
        </w:rPr>
        <w:t>人员编制工作</w:t>
      </w:r>
      <w:r>
        <w:rPr>
          <w:rFonts w:hint="eastAsia" w:ascii="仿宋_GB2312" w:eastAsia="仿宋_GB2312" w:cs="Malgun Gothic Semilight"/>
          <w:sz w:val="32"/>
          <w:szCs w:val="32"/>
        </w:rPr>
        <w:t>。</w:t>
      </w:r>
    </w:p>
    <w:p>
      <w:pPr>
        <w:spacing w:line="570" w:lineRule="exact"/>
        <w:ind w:firstLine="640" w:firstLineChars="200"/>
        <w:rPr>
          <w:rFonts w:ascii="仿宋_GB2312" w:eastAsia="仿宋_GB2312"/>
          <w:sz w:val="32"/>
          <w:szCs w:val="32"/>
        </w:rPr>
      </w:pPr>
      <w:r>
        <w:rPr>
          <w:rFonts w:hint="eastAsia" w:ascii="仿宋_GB2312" w:eastAsia="仿宋_GB2312"/>
          <w:sz w:val="32"/>
          <w:szCs w:val="32"/>
        </w:rPr>
        <w:t>12、</w:t>
      </w:r>
      <w:r>
        <w:rPr>
          <w:rFonts w:hint="eastAsia" w:ascii="仿宋_GB2312" w:eastAsia="仿宋_GB2312" w:cs="微软雅黑"/>
          <w:sz w:val="32"/>
          <w:szCs w:val="32"/>
        </w:rPr>
        <w:t>办理本院检察人员的教育培训工作</w:t>
      </w:r>
      <w:r>
        <w:rPr>
          <w:rFonts w:hint="eastAsia" w:ascii="仿宋_GB2312" w:eastAsia="仿宋_GB2312" w:cs="Malgun Gothic Semilight"/>
          <w:sz w:val="32"/>
          <w:szCs w:val="32"/>
        </w:rPr>
        <w:t>。</w:t>
      </w:r>
    </w:p>
    <w:p>
      <w:pPr>
        <w:spacing w:line="570" w:lineRule="exact"/>
        <w:ind w:firstLine="640" w:firstLineChars="200"/>
        <w:rPr>
          <w:rFonts w:ascii="仿宋_GB2312" w:eastAsia="仿宋_GB2312"/>
          <w:sz w:val="32"/>
          <w:szCs w:val="32"/>
        </w:rPr>
      </w:pPr>
      <w:r>
        <w:rPr>
          <w:rFonts w:hint="eastAsia" w:ascii="仿宋_GB2312" w:eastAsia="仿宋_GB2312"/>
          <w:sz w:val="32"/>
          <w:szCs w:val="32"/>
        </w:rPr>
        <w:t>13、</w:t>
      </w:r>
      <w:r>
        <w:rPr>
          <w:rFonts w:hint="eastAsia" w:ascii="仿宋_GB2312" w:eastAsia="仿宋_GB2312" w:cs="微软雅黑"/>
          <w:sz w:val="32"/>
          <w:szCs w:val="32"/>
        </w:rPr>
        <w:t>办理本院的计划财务装备工作</w:t>
      </w:r>
      <w:r>
        <w:rPr>
          <w:rFonts w:hint="eastAsia" w:ascii="仿宋_GB2312" w:eastAsia="仿宋_GB2312" w:cs="Malgun Gothic Semilight"/>
          <w:sz w:val="32"/>
          <w:szCs w:val="32"/>
        </w:rPr>
        <w:t>。</w:t>
      </w:r>
    </w:p>
    <w:p>
      <w:pPr>
        <w:spacing w:line="570" w:lineRule="exact"/>
        <w:ind w:firstLine="640" w:firstLineChars="200"/>
        <w:rPr>
          <w:rFonts w:ascii="仿宋_GB2312" w:eastAsia="仿宋_GB2312" w:cs="Malgun Gothic Semilight"/>
          <w:sz w:val="32"/>
          <w:szCs w:val="32"/>
        </w:rPr>
      </w:pPr>
      <w:r>
        <w:rPr>
          <w:rFonts w:hint="eastAsia" w:ascii="仿宋_GB2312" w:eastAsia="仿宋_GB2312"/>
          <w:sz w:val="32"/>
          <w:szCs w:val="32"/>
        </w:rPr>
        <w:t>14、</w:t>
      </w:r>
      <w:r>
        <w:rPr>
          <w:rFonts w:hint="eastAsia" w:ascii="仿宋_GB2312" w:eastAsia="仿宋_GB2312" w:cs="微软雅黑"/>
          <w:sz w:val="32"/>
          <w:szCs w:val="32"/>
        </w:rPr>
        <w:t>负责其他应当由广阳区人民检察院承办的事项</w:t>
      </w:r>
      <w:r>
        <w:rPr>
          <w:rFonts w:hint="eastAsia" w:ascii="仿宋_GB2312" w:eastAsia="仿宋_GB2312" w:cs="Malgun Gothic Semilight"/>
          <w:sz w:val="32"/>
          <w:szCs w:val="32"/>
        </w:rPr>
        <w:t>。</w:t>
      </w:r>
    </w:p>
    <w:p>
      <w:pPr>
        <w:spacing w:line="570" w:lineRule="exact"/>
        <w:ind w:firstLine="643" w:firstLineChars="200"/>
        <w:rPr>
          <w:rFonts w:ascii="Times New Roman" w:hAnsi="Times New Roman" w:eastAsia="楷体_GB2312" w:cs="Times New Roman"/>
          <w:b/>
          <w:sz w:val="32"/>
          <w:szCs w:val="32"/>
        </w:rPr>
      </w:pPr>
    </w:p>
    <w:p>
      <w:pPr>
        <w:spacing w:line="570" w:lineRule="exact"/>
        <w:ind w:firstLine="643" w:firstLineChars="200"/>
        <w:rPr>
          <w:rFonts w:ascii="Times New Roman" w:hAnsi="Times New Roman" w:eastAsia="楷体_GB2312" w:cs="Times New Roman"/>
          <w:b/>
          <w:sz w:val="32"/>
          <w:szCs w:val="32"/>
        </w:rPr>
      </w:pPr>
    </w:p>
    <w:p>
      <w:pPr>
        <w:spacing w:line="570" w:lineRule="exact"/>
        <w:ind w:firstLine="643" w:firstLineChars="200"/>
        <w:rPr>
          <w:rFonts w:ascii="Times New Roman" w:hAnsi="Times New Roman" w:eastAsia="楷体_GB2312" w:cs="Times New Roman"/>
          <w:b/>
          <w:sz w:val="32"/>
          <w:szCs w:val="32"/>
        </w:rPr>
      </w:pPr>
    </w:p>
    <w:p>
      <w:pPr>
        <w:spacing w:line="570"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widowControl/>
        <w:spacing w:line="570" w:lineRule="exact"/>
        <w:jc w:val="center"/>
        <w:rPr>
          <w:rFonts w:ascii="仿宋_GB2312" w:eastAsia="仿宋_GB2312" w:cs="宋体"/>
          <w:b/>
          <w:color w:val="000000"/>
          <w:kern w:val="0"/>
          <w:sz w:val="32"/>
          <w:szCs w:val="32"/>
        </w:rPr>
      </w:pPr>
      <w:r>
        <w:rPr>
          <w:rFonts w:hint="eastAsia" w:ascii="仿宋_GB2312" w:eastAsia="仿宋_GB2312" w:cs="宋体"/>
          <w:b/>
          <w:color w:val="000000"/>
          <w:kern w:val="0"/>
          <w:sz w:val="32"/>
          <w:szCs w:val="32"/>
        </w:rPr>
        <w:t>部门机构设置情况</w:t>
      </w:r>
    </w:p>
    <w:p>
      <w:pPr>
        <w:spacing w:line="570" w:lineRule="exact"/>
        <w:rPr>
          <w:rFonts w:ascii="仿宋_GB2312" w:eastAsia="仿宋_GB2312" w:cs="Malgun Gothic Semilight"/>
          <w:sz w:val="32"/>
          <w:szCs w:val="32"/>
        </w:rPr>
      </w:pPr>
    </w:p>
    <w:tbl>
      <w:tblPr>
        <w:tblStyle w:val="8"/>
        <w:tblW w:w="12393" w:type="dxa"/>
        <w:tblCellSpacing w:w="0" w:type="dxa"/>
        <w:tblInd w:w="442"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4222"/>
        <w:gridCol w:w="2088"/>
        <w:gridCol w:w="1800"/>
        <w:gridCol w:w="4283"/>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283" w:hRule="atLeast"/>
          <w:tblHeader/>
          <w:tblCellSpacing w:w="0" w:type="dxa"/>
        </w:trPr>
        <w:tc>
          <w:tcPr>
            <w:tcW w:w="4222" w:type="dxa"/>
            <w:tcBorders>
              <w:top w:val="outset" w:color="auto" w:sz="6" w:space="0"/>
              <w:left w:val="outset" w:color="auto" w:sz="6" w:space="0"/>
              <w:bottom w:val="outset" w:color="auto" w:sz="6" w:space="0"/>
              <w:right w:val="outset" w:color="auto" w:sz="6" w:space="0"/>
            </w:tcBorders>
            <w:vAlign w:val="center"/>
          </w:tcPr>
          <w:p>
            <w:pPr>
              <w:widowControl/>
              <w:spacing w:line="570" w:lineRule="exact"/>
              <w:jc w:val="center"/>
              <w:rPr>
                <w:rFonts w:ascii="仿宋_GB2312" w:eastAsia="仿宋_GB2312" w:cs="宋体"/>
                <w:b/>
                <w:bCs/>
                <w:kern w:val="0"/>
                <w:szCs w:val="21"/>
              </w:rPr>
            </w:pPr>
            <w:r>
              <w:rPr>
                <w:rFonts w:hint="eastAsia" w:ascii="仿宋_GB2312" w:eastAsia="仿宋_GB2312" w:cs="宋体"/>
                <w:b/>
                <w:bCs/>
                <w:kern w:val="0"/>
                <w:szCs w:val="21"/>
              </w:rPr>
              <w:t>单位名称</w:t>
            </w:r>
          </w:p>
        </w:tc>
        <w:tc>
          <w:tcPr>
            <w:tcW w:w="2088" w:type="dxa"/>
            <w:tcBorders>
              <w:top w:val="outset" w:color="auto" w:sz="6" w:space="0"/>
              <w:left w:val="outset" w:color="auto" w:sz="6" w:space="0"/>
              <w:bottom w:val="outset" w:color="auto" w:sz="6" w:space="0"/>
              <w:right w:val="outset" w:color="auto" w:sz="6" w:space="0"/>
            </w:tcBorders>
            <w:vAlign w:val="center"/>
          </w:tcPr>
          <w:p>
            <w:pPr>
              <w:widowControl/>
              <w:spacing w:line="570" w:lineRule="exact"/>
              <w:jc w:val="center"/>
              <w:rPr>
                <w:rFonts w:ascii="仿宋_GB2312" w:eastAsia="仿宋_GB2312" w:cs="宋体"/>
                <w:b/>
                <w:bCs/>
                <w:kern w:val="0"/>
                <w:szCs w:val="21"/>
              </w:rPr>
            </w:pPr>
            <w:r>
              <w:rPr>
                <w:rFonts w:hint="eastAsia" w:ascii="仿宋_GB2312" w:eastAsia="仿宋_GB2312" w:cs="宋体"/>
                <w:b/>
                <w:bCs/>
                <w:kern w:val="0"/>
                <w:szCs w:val="21"/>
              </w:rPr>
              <w:t>单位性质</w:t>
            </w:r>
          </w:p>
        </w:tc>
        <w:tc>
          <w:tcPr>
            <w:tcW w:w="1800" w:type="dxa"/>
            <w:tcBorders>
              <w:top w:val="outset" w:color="auto" w:sz="6" w:space="0"/>
              <w:left w:val="outset" w:color="auto" w:sz="6" w:space="0"/>
              <w:bottom w:val="outset" w:color="auto" w:sz="6" w:space="0"/>
              <w:right w:val="outset" w:color="auto" w:sz="6" w:space="0"/>
            </w:tcBorders>
            <w:vAlign w:val="center"/>
          </w:tcPr>
          <w:p>
            <w:pPr>
              <w:widowControl/>
              <w:spacing w:line="570" w:lineRule="exact"/>
              <w:jc w:val="center"/>
              <w:rPr>
                <w:rFonts w:ascii="仿宋_GB2312" w:eastAsia="仿宋_GB2312" w:cs="宋体"/>
                <w:b/>
                <w:bCs/>
                <w:kern w:val="0"/>
                <w:szCs w:val="21"/>
              </w:rPr>
            </w:pPr>
            <w:r>
              <w:rPr>
                <w:rFonts w:hint="eastAsia" w:ascii="仿宋_GB2312" w:eastAsia="仿宋_GB2312" w:cs="宋体"/>
                <w:b/>
                <w:bCs/>
                <w:kern w:val="0"/>
                <w:szCs w:val="21"/>
              </w:rPr>
              <w:t>单位规格</w:t>
            </w:r>
          </w:p>
        </w:tc>
        <w:tc>
          <w:tcPr>
            <w:tcW w:w="4283" w:type="dxa"/>
            <w:tcBorders>
              <w:top w:val="outset" w:color="auto" w:sz="6" w:space="0"/>
              <w:left w:val="outset" w:color="auto" w:sz="6" w:space="0"/>
              <w:bottom w:val="outset" w:color="auto" w:sz="6" w:space="0"/>
              <w:right w:val="outset" w:color="auto" w:sz="6" w:space="0"/>
            </w:tcBorders>
            <w:vAlign w:val="center"/>
          </w:tcPr>
          <w:p>
            <w:pPr>
              <w:widowControl/>
              <w:spacing w:line="570" w:lineRule="exact"/>
              <w:jc w:val="center"/>
              <w:rPr>
                <w:rFonts w:ascii="仿宋_GB2312" w:eastAsia="仿宋_GB2312" w:cs="宋体"/>
                <w:b/>
                <w:bCs/>
                <w:kern w:val="0"/>
                <w:szCs w:val="21"/>
              </w:rPr>
            </w:pPr>
            <w:r>
              <w:rPr>
                <w:rFonts w:hint="eastAsia" w:ascii="仿宋_GB2312" w:eastAsia="仿宋_GB2312" w:cs="宋体"/>
                <w:b/>
                <w:bCs/>
                <w:kern w:val="0"/>
                <w:szCs w:val="21"/>
              </w:rPr>
              <w:t>经费保障形式</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5" w:hRule="atLeast"/>
          <w:tblCellSpacing w:w="0" w:type="dxa"/>
        </w:trPr>
        <w:tc>
          <w:tcPr>
            <w:tcW w:w="4222" w:type="dxa"/>
            <w:tcBorders>
              <w:top w:val="outset" w:color="auto" w:sz="6" w:space="0"/>
              <w:left w:val="outset" w:color="auto" w:sz="6" w:space="0"/>
              <w:bottom w:val="outset" w:color="auto" w:sz="6" w:space="0"/>
              <w:right w:val="outset" w:color="auto" w:sz="6" w:space="0"/>
            </w:tcBorders>
            <w:vAlign w:val="center"/>
          </w:tcPr>
          <w:p>
            <w:pPr>
              <w:widowControl/>
              <w:spacing w:line="570" w:lineRule="exact"/>
              <w:jc w:val="center"/>
              <w:rPr>
                <w:rFonts w:ascii="仿宋_GB2312" w:eastAsia="仿宋_GB2312" w:cs="宋体"/>
                <w:kern w:val="0"/>
                <w:szCs w:val="21"/>
              </w:rPr>
            </w:pPr>
            <w:r>
              <w:rPr>
                <w:rFonts w:hint="eastAsia" w:ascii="仿宋_GB2312" w:eastAsia="仿宋_GB2312" w:cs="宋体"/>
                <w:kern w:val="0"/>
                <w:szCs w:val="21"/>
              </w:rPr>
              <w:t>廊坊市广阳区人民检察院</w:t>
            </w:r>
          </w:p>
        </w:tc>
        <w:tc>
          <w:tcPr>
            <w:tcW w:w="2088" w:type="dxa"/>
            <w:tcBorders>
              <w:top w:val="outset" w:color="auto" w:sz="6" w:space="0"/>
              <w:left w:val="outset" w:color="auto" w:sz="6" w:space="0"/>
              <w:bottom w:val="outset" w:color="auto" w:sz="6" w:space="0"/>
              <w:right w:val="outset" w:color="auto" w:sz="6" w:space="0"/>
            </w:tcBorders>
            <w:vAlign w:val="center"/>
          </w:tcPr>
          <w:p>
            <w:pPr>
              <w:widowControl/>
              <w:spacing w:line="570" w:lineRule="exact"/>
              <w:jc w:val="center"/>
              <w:rPr>
                <w:rFonts w:ascii="仿宋_GB2312" w:eastAsia="仿宋_GB2312" w:cs="宋体"/>
                <w:kern w:val="0"/>
                <w:szCs w:val="21"/>
              </w:rPr>
            </w:pPr>
            <w:r>
              <w:rPr>
                <w:rFonts w:hint="eastAsia" w:ascii="仿宋_GB2312" w:eastAsia="仿宋_GB2312" w:cs="宋体"/>
                <w:kern w:val="0"/>
                <w:szCs w:val="21"/>
              </w:rPr>
              <w:t>行政单位</w:t>
            </w:r>
          </w:p>
        </w:tc>
        <w:tc>
          <w:tcPr>
            <w:tcW w:w="1800" w:type="dxa"/>
            <w:tcBorders>
              <w:top w:val="outset" w:color="auto" w:sz="6" w:space="0"/>
              <w:left w:val="outset" w:color="auto" w:sz="6" w:space="0"/>
              <w:bottom w:val="outset" w:color="auto" w:sz="6" w:space="0"/>
              <w:right w:val="outset" w:color="auto" w:sz="6" w:space="0"/>
            </w:tcBorders>
            <w:vAlign w:val="center"/>
          </w:tcPr>
          <w:p>
            <w:pPr>
              <w:widowControl/>
              <w:spacing w:line="570" w:lineRule="exact"/>
              <w:jc w:val="center"/>
              <w:rPr>
                <w:rFonts w:ascii="仿宋_GB2312" w:eastAsia="仿宋_GB2312" w:cs="宋体"/>
                <w:kern w:val="0"/>
                <w:szCs w:val="21"/>
              </w:rPr>
            </w:pPr>
            <w:r>
              <w:rPr>
                <w:rFonts w:hint="eastAsia" w:ascii="仿宋_GB2312" w:eastAsia="仿宋_GB2312" w:cs="宋体"/>
                <w:kern w:val="0"/>
                <w:szCs w:val="21"/>
              </w:rPr>
              <w:t>副处级</w:t>
            </w:r>
          </w:p>
        </w:tc>
        <w:tc>
          <w:tcPr>
            <w:tcW w:w="4283" w:type="dxa"/>
            <w:tcBorders>
              <w:top w:val="outset" w:color="auto" w:sz="6" w:space="0"/>
              <w:left w:val="outset" w:color="auto" w:sz="6" w:space="0"/>
              <w:bottom w:val="outset" w:color="auto" w:sz="6" w:space="0"/>
              <w:right w:val="outset" w:color="auto" w:sz="6" w:space="0"/>
            </w:tcBorders>
            <w:vAlign w:val="center"/>
          </w:tcPr>
          <w:p>
            <w:pPr>
              <w:widowControl/>
              <w:spacing w:line="570" w:lineRule="exact"/>
              <w:jc w:val="center"/>
              <w:rPr>
                <w:rFonts w:ascii="仿宋_GB2312" w:eastAsia="仿宋_GB2312" w:cs="宋体"/>
                <w:kern w:val="0"/>
                <w:szCs w:val="21"/>
              </w:rPr>
            </w:pPr>
            <w:r>
              <w:rPr>
                <w:rFonts w:hint="eastAsia" w:ascii="仿宋_GB2312" w:eastAsia="仿宋_GB2312"/>
                <w:szCs w:val="21"/>
              </w:rPr>
              <w:t>财政拨款</w:t>
            </w:r>
          </w:p>
        </w:tc>
      </w:tr>
    </w:tbl>
    <w:p>
      <w:pPr>
        <w:spacing w:line="584"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二、部门预算安排的总体情况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部门预算的编制实行综合预算制度，即全部收入和支出都反映在预算中。廊坊市</w:t>
      </w:r>
      <w:r>
        <w:rPr>
          <w:rFonts w:hint="eastAsia" w:ascii="Times New Roman" w:hAnsi="Times New Roman" w:eastAsia="仿宋_GB2312" w:cs="Times New Roman"/>
          <w:sz w:val="32"/>
          <w:szCs w:val="32"/>
        </w:rPr>
        <w:t>广阳区人</w:t>
      </w:r>
      <w:r>
        <w:rPr>
          <w:rFonts w:ascii="Times New Roman" w:hAnsi="Times New Roman" w:eastAsia="仿宋_GB2312" w:cs="Times New Roman"/>
          <w:sz w:val="32"/>
          <w:szCs w:val="32"/>
        </w:rPr>
        <w:t>民检察院机关及所属事业单位的收支包含在部门预算中。</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反映本部门当年全部收入。</w:t>
      </w:r>
      <w:r>
        <w:rPr>
          <w:rFonts w:hint="eastAsia" w:ascii="仿宋_GB2312" w:hAnsi="仿宋_GB2312" w:eastAsia="仿宋_GB2312" w:cs="仿宋_GB2312"/>
          <w:sz w:val="32"/>
          <w:szCs w:val="32"/>
        </w:rPr>
        <w:t>2019</w:t>
      </w:r>
      <w:r>
        <w:rPr>
          <w:rFonts w:ascii="Times New Roman" w:hAnsi="Times New Roman" w:eastAsia="仿宋_GB2312" w:cs="Times New Roman"/>
          <w:sz w:val="32"/>
          <w:szCs w:val="32"/>
        </w:rPr>
        <w:t>年预算收入</w:t>
      </w:r>
      <w:r>
        <w:rPr>
          <w:rFonts w:hint="eastAsia" w:ascii="仿宋_GB2312" w:hAnsi="仿宋_GB2312" w:eastAsia="仿宋_GB2312" w:cs="仿宋_GB2312"/>
          <w:sz w:val="32"/>
          <w:szCs w:val="32"/>
        </w:rPr>
        <w:t>1512.39</w:t>
      </w:r>
      <w:r>
        <w:rPr>
          <w:rFonts w:ascii="Times New Roman" w:hAnsi="Times New Roman" w:eastAsia="仿宋_GB2312" w:cs="Times New Roman"/>
          <w:sz w:val="32"/>
          <w:szCs w:val="32"/>
        </w:rPr>
        <w:t>万元，其中：一般公共预算收入</w:t>
      </w:r>
      <w:r>
        <w:rPr>
          <w:rFonts w:hint="eastAsia" w:ascii="仿宋_GB2312" w:hAnsi="仿宋_GB2312" w:eastAsia="仿宋_GB2312" w:cs="仿宋_GB2312"/>
          <w:sz w:val="32"/>
          <w:szCs w:val="32"/>
        </w:rPr>
        <w:t>1512.39</w:t>
      </w:r>
      <w:r>
        <w:rPr>
          <w:rFonts w:ascii="Times New Roman" w:hAnsi="Times New Roman" w:eastAsia="仿宋_GB2312" w:cs="Times New Roman"/>
          <w:sz w:val="32"/>
          <w:szCs w:val="32"/>
        </w:rPr>
        <w:t>万元，基金预算收入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万元，财政专户核拨收入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万元，其他来源收入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spacing w:line="584" w:lineRule="exact"/>
        <w:ind w:firstLine="640"/>
        <w:rPr>
          <w:rFonts w:ascii="Times New Roman" w:hAnsi="Times New Roman" w:eastAsia="仿宋_GB2312" w:cs="Times New Roman"/>
          <w:color w:val="0000FF"/>
          <w:sz w:val="32"/>
          <w:szCs w:val="32"/>
        </w:rPr>
      </w:pPr>
      <w:r>
        <w:rPr>
          <w:rFonts w:ascii="Times New Roman" w:hAnsi="Times New Roman" w:eastAsia="仿宋_GB2312" w:cs="Times New Roman"/>
          <w:sz w:val="32"/>
          <w:szCs w:val="32"/>
        </w:rPr>
        <w:t>收支预算总表支出栏、基本支出表、项目支出表按经济分类和支出功能分类科目编制，反映廊坊市</w:t>
      </w:r>
      <w:r>
        <w:rPr>
          <w:rFonts w:hint="eastAsia" w:ascii="Times New Roman" w:hAnsi="Times New Roman" w:eastAsia="仿宋_GB2312" w:cs="Times New Roman"/>
          <w:sz w:val="32"/>
          <w:szCs w:val="32"/>
        </w:rPr>
        <w:t>广阳区人民检察院</w:t>
      </w:r>
      <w:r>
        <w:rPr>
          <w:rFonts w:ascii="Times New Roman" w:hAnsi="Times New Roman" w:eastAsia="仿宋_GB2312" w:cs="Times New Roman"/>
          <w:sz w:val="32"/>
          <w:szCs w:val="32"/>
        </w:rPr>
        <w:t>年度部门预算中支出预算的总体情况。</w:t>
      </w:r>
      <w:r>
        <w:rPr>
          <w:rFonts w:hint="eastAsia" w:ascii="仿宋_GB2312" w:hAnsi="仿宋_GB2312" w:eastAsia="仿宋_GB2312" w:cs="仿宋_GB2312"/>
          <w:sz w:val="32"/>
          <w:szCs w:val="32"/>
        </w:rPr>
        <w:t>2019年支出预算1512.39万元，其中基本支出1397.19万元，包括人员经费1188.07万元和日常公用经费209.12万元；项目支出115.2万元，</w:t>
      </w:r>
      <w:r>
        <w:rPr>
          <w:rFonts w:ascii="Times New Roman" w:hAnsi="Times New Roman" w:eastAsia="仿宋_GB2312" w:cs="Times New Roman"/>
          <w:sz w:val="32"/>
          <w:szCs w:val="32"/>
        </w:rPr>
        <w:t>包括本级支出</w:t>
      </w:r>
      <w:r>
        <w:rPr>
          <w:rFonts w:hint="eastAsia" w:ascii="Times New Roman" w:hAnsi="Times New Roman" w:eastAsia="仿宋_GB2312" w:cs="Times New Roman"/>
          <w:sz w:val="32"/>
          <w:szCs w:val="32"/>
        </w:rPr>
        <w:t>115.2万元，主要为</w:t>
      </w:r>
      <w:r>
        <w:rPr>
          <w:rFonts w:hint="eastAsia" w:ascii="仿宋_GB2312" w:eastAsia="仿宋_GB2312" w:cs="宋体"/>
          <w:color w:val="000000"/>
          <w:kern w:val="0"/>
          <w:sz w:val="32"/>
          <w:szCs w:val="32"/>
        </w:rPr>
        <w:t>上级下达司法转移支付资金、政法转移支付资金等。</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3、比上年增减情况</w:t>
      </w:r>
    </w:p>
    <w:p>
      <w:pPr>
        <w:spacing w:line="584"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2019</w:t>
      </w:r>
      <w:r>
        <w:rPr>
          <w:rFonts w:ascii="Times New Roman" w:hAnsi="Times New Roman" w:eastAsia="仿宋_GB2312" w:cs="Times New Roman"/>
          <w:sz w:val="32"/>
          <w:szCs w:val="32"/>
        </w:rPr>
        <w:t>年预算收支安排</w:t>
      </w:r>
      <w:r>
        <w:rPr>
          <w:rFonts w:hint="eastAsia" w:ascii="仿宋_GB2312" w:hAnsi="仿宋_GB2312" w:eastAsia="仿宋_GB2312" w:cs="仿宋_GB2312"/>
          <w:sz w:val="32"/>
          <w:szCs w:val="32"/>
        </w:rPr>
        <w:t>1512.39</w:t>
      </w:r>
      <w:r>
        <w:rPr>
          <w:rFonts w:ascii="Times New Roman" w:hAnsi="Times New Roman" w:eastAsia="仿宋_GB2312" w:cs="Times New Roman"/>
          <w:sz w:val="32"/>
          <w:szCs w:val="32"/>
        </w:rPr>
        <w:t>万元，较</w:t>
      </w:r>
      <w:r>
        <w:rPr>
          <w:rFonts w:hint="eastAsia" w:ascii="仿宋_GB2312" w:hAnsi="仿宋_GB2312" w:eastAsia="仿宋_GB2312" w:cs="仿宋_GB2312"/>
          <w:sz w:val="32"/>
          <w:szCs w:val="32"/>
        </w:rPr>
        <w:t>2018年预算减少55.7万</w:t>
      </w:r>
      <w:r>
        <w:rPr>
          <w:rFonts w:ascii="Times New Roman" w:hAnsi="Times New Roman" w:eastAsia="仿宋_GB2312" w:cs="Times New Roman"/>
          <w:sz w:val="32"/>
          <w:szCs w:val="32"/>
        </w:rPr>
        <w:t>元，其中：基本支出增加</w:t>
      </w:r>
      <w:r>
        <w:rPr>
          <w:rFonts w:hint="eastAsia" w:ascii="仿宋_GB2312" w:hAnsi="仿宋_GB2312" w:eastAsia="仿宋_GB2312" w:cs="仿宋_GB2312"/>
          <w:sz w:val="32"/>
          <w:szCs w:val="32"/>
        </w:rPr>
        <w:t>36.1万元，主要为</w:t>
      </w:r>
      <w:r>
        <w:rPr>
          <w:rFonts w:hint="eastAsia" w:ascii="仿宋_GB2312" w:hAnsi="仿宋_GB2312" w:eastAsia="仿宋_GB2312" w:cs="仿宋_GB2312"/>
          <w:color w:val="000000"/>
          <w:kern w:val="0"/>
          <w:sz w:val="32"/>
          <w:szCs w:val="32"/>
        </w:rPr>
        <w:t>人员经费</w:t>
      </w:r>
      <w:r>
        <w:rPr>
          <w:rFonts w:hint="eastAsia" w:ascii="仿宋_GB2312" w:hAnsi="仿宋_GB2312" w:eastAsia="仿宋_GB2312" w:cs="仿宋_GB2312"/>
          <w:sz w:val="32"/>
          <w:szCs w:val="32"/>
        </w:rPr>
        <w:t>支出；项目支出减少91.8万元，主要为中央转移支付资金项目支出。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三、机关运行经费安排情况</w:t>
      </w:r>
    </w:p>
    <w:p>
      <w:pPr>
        <w:autoSpaceDE w:val="0"/>
        <w:autoSpaceDN w:val="0"/>
        <w:adjustRightInd w:val="0"/>
        <w:spacing w:line="584" w:lineRule="exact"/>
        <w:ind w:firstLine="640" w:firstLineChars="200"/>
        <w:jc w:val="left"/>
        <w:rPr>
          <w:rFonts w:ascii="Times New Roman" w:hAnsi="Times New Roman" w:eastAsia="仿宋_GB2312" w:cs="Times New Roman"/>
          <w:sz w:val="32"/>
          <w:szCs w:val="32"/>
        </w:rPr>
      </w:pPr>
      <w:r>
        <w:rPr>
          <w:rFonts w:hint="eastAsia" w:ascii="仿宋_GB2312" w:hAnsi="仿宋_GB2312" w:eastAsia="仿宋_GB2312" w:cs="仿宋_GB2312"/>
          <w:sz w:val="32"/>
          <w:szCs w:val="32"/>
        </w:rPr>
        <w:t>2019年，我部门机关运行经费共计安排3.44万元</w:t>
      </w:r>
      <w:r>
        <w:rPr>
          <w:rFonts w:hint="eastAsia" w:ascii="仿宋_GB2312" w:eastAsia="仿宋_GB2312" w:cs="宋体"/>
          <w:color w:val="000000"/>
          <w:kern w:val="0"/>
          <w:sz w:val="32"/>
          <w:szCs w:val="32"/>
        </w:rPr>
        <w:t>。</w:t>
      </w:r>
      <w:r>
        <w:rPr>
          <w:rFonts w:ascii="Times New Roman" w:hAnsi="Times New Roman" w:eastAsia="仿宋_GB2312" w:cs="Times New Roman"/>
          <w:sz w:val="32"/>
          <w:szCs w:val="32"/>
        </w:rPr>
        <w:t>主要用于</w:t>
      </w:r>
      <w:r>
        <w:rPr>
          <w:rFonts w:hint="eastAsia" w:ascii="仿宋_GB2312" w:eastAsia="仿宋_GB2312" w:cs="宋体"/>
          <w:color w:val="000000"/>
          <w:kern w:val="0"/>
          <w:sz w:val="32"/>
          <w:szCs w:val="32"/>
        </w:rPr>
        <w:t>机关</w:t>
      </w:r>
      <w:r>
        <w:rPr>
          <w:rFonts w:ascii="Times New Roman" w:hAnsi="Times New Roman" w:eastAsia="仿宋_GB2312" w:cs="Times New Roman"/>
          <w:sz w:val="32"/>
          <w:szCs w:val="32"/>
        </w:rPr>
        <w:t>办公区的日常维修、办公用房水电费、办公用房取暖费、办公用房物业管理费等日常运行支出。</w:t>
      </w:r>
    </w:p>
    <w:p>
      <w:pPr>
        <w:autoSpaceDE w:val="0"/>
        <w:autoSpaceDN w:val="0"/>
        <w:adjustRightInd w:val="0"/>
        <w:spacing w:line="584" w:lineRule="exact"/>
        <w:ind w:firstLine="640" w:firstLineChars="200"/>
        <w:jc w:val="left"/>
        <w:rPr>
          <w:rFonts w:ascii="Times New Roman" w:hAnsi="黑体" w:eastAsia="黑体" w:cs="Times New Roman"/>
          <w:sz w:val="32"/>
          <w:szCs w:val="32"/>
        </w:rPr>
      </w:pPr>
      <w:r>
        <w:rPr>
          <w:rFonts w:ascii="Times New Roman" w:hAnsi="黑体" w:eastAsia="黑体" w:cs="Times New Roman"/>
          <w:sz w:val="32"/>
          <w:szCs w:val="32"/>
        </w:rPr>
        <w:t>四、财政拨款“三公”经费预算情况及增减变化原因</w:t>
      </w:r>
    </w:p>
    <w:p>
      <w:pPr>
        <w:spacing w:line="584"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w:t>
      </w:r>
      <w:r>
        <w:rPr>
          <w:rFonts w:hint="eastAsia" w:ascii="仿宋_GB2312" w:hAnsi="仿宋_GB2312" w:eastAsia="仿宋_GB2312" w:cs="仿宋_GB2312"/>
          <w:sz w:val="32"/>
          <w:szCs w:val="32"/>
        </w:rPr>
        <w:t>019年，我部门财政拨款“三公”经费预算安排28.41万元。其中，因公出国（境）费0万元；公务用车购置及运维费28.41万元（其中：公务用车购置费为0万元，公务用车运维费28.41万元)；公务接待费0万元。与2018年相比减少6.09万元，其中，公务用车购置及运维费减少6.09万元（其中：公务用车购置费减少0万元，公务用车运维费减少6.09万元)，主要原因是我单位切实落实勤俭节约各项规定，压减公车运行经费支出，另外我单位减少2辆公务用车；</w:t>
      </w:r>
      <w:r>
        <w:rPr>
          <w:rFonts w:ascii="Times New Roman" w:hAnsi="Times New Roman" w:eastAsia="仿宋_GB2312" w:cs="Times New Roman"/>
          <w:sz w:val="32"/>
          <w:szCs w:val="32"/>
        </w:rPr>
        <w:t>公务接待费增</w:t>
      </w:r>
      <w:r>
        <w:rPr>
          <w:rFonts w:hint="eastAsia" w:ascii="Times New Roman" w:hAnsi="Times New Roman" w:eastAsia="仿宋_GB2312" w:cs="Times New Roman"/>
          <w:sz w:val="32"/>
          <w:szCs w:val="32"/>
        </w:rPr>
        <w:t>减0万元，</w:t>
      </w:r>
      <w:r>
        <w:rPr>
          <w:rFonts w:ascii="Times New Roman" w:hAnsi="Times New Roman" w:eastAsia="仿宋_GB2312" w:cs="Times New Roman"/>
          <w:sz w:val="32"/>
          <w:szCs w:val="32"/>
        </w:rPr>
        <w:t>与201</w:t>
      </w:r>
      <w:r>
        <w:rPr>
          <w:rFonts w:hint="eastAsia" w:ascii="Times New Roman" w:hAnsi="Times New Roman" w:eastAsia="仿宋_GB2312" w:cs="Times New Roman"/>
          <w:sz w:val="32"/>
          <w:szCs w:val="32"/>
        </w:rPr>
        <w:t>8</w:t>
      </w:r>
      <w:r>
        <w:rPr>
          <w:rFonts w:ascii="Times New Roman" w:hAnsi="Times New Roman" w:eastAsia="仿宋_GB2312" w:cs="Times New Roman"/>
          <w:sz w:val="32"/>
          <w:szCs w:val="32"/>
        </w:rPr>
        <w:t>年相比持平，无增减变化。</w:t>
      </w:r>
    </w:p>
    <w:p>
      <w:pPr>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五、绩效预算信息</w:t>
      </w:r>
    </w:p>
    <w:p>
      <w:pPr>
        <w:spacing w:line="584" w:lineRule="exact"/>
        <w:ind w:firstLine="643" w:firstLineChars="200"/>
        <w:jc w:val="left"/>
        <w:rPr>
          <w:rFonts w:ascii="Times New Roman" w:hAnsi="Times New Roman" w:eastAsia="楷体_GB2312" w:cs="Times New Roman"/>
          <w:b/>
          <w:sz w:val="32"/>
          <w:szCs w:val="32"/>
        </w:rPr>
      </w:pPr>
      <w:bookmarkStart w:id="0" w:name="_Toc471398463"/>
      <w:r>
        <w:rPr>
          <w:rFonts w:ascii="Times New Roman" w:hAnsi="Times New Roman" w:eastAsia="楷体_GB2312" w:cs="Times New Roman"/>
          <w:b/>
          <w:sz w:val="32"/>
          <w:szCs w:val="32"/>
        </w:rPr>
        <w:t>总体绩效目标：</w:t>
      </w:r>
    </w:p>
    <w:p>
      <w:pPr>
        <w:spacing w:line="500" w:lineRule="exact"/>
        <w:ind w:firstLine="560"/>
        <w:rPr>
          <w:rFonts w:ascii="仿宋_GB2312" w:eastAsia="仿宋_GB2312"/>
          <w:sz w:val="32"/>
          <w:szCs w:val="32"/>
        </w:rPr>
      </w:pPr>
      <w:r>
        <w:rPr>
          <w:rFonts w:hint="eastAsia" w:ascii="仿宋_GB2312" w:eastAsia="仿宋_GB2312"/>
          <w:sz w:val="32"/>
          <w:szCs w:val="32"/>
        </w:rPr>
        <w:t>总体目标：高举习近平新时代中国特色社会主义思想伟大旗帜，深入学习贯彻党的十九大精神，认真落实中央、省、市、区政法工作会议暨扫黑除恶电视电话会议和全国、全省、全市检察长会议精神，围绕“精神、精致、精彩”的工作定位和争创全省一流、全国先进检察院的工作目标，全面履行检察职责，全面强化队伍建设，全面提升工作成效，为建设经济强区、美丽广阳提供有力司法保障。</w:t>
      </w:r>
    </w:p>
    <w:p>
      <w:pPr>
        <w:spacing w:line="500" w:lineRule="exact"/>
        <w:ind w:firstLine="560"/>
        <w:rPr>
          <w:rFonts w:ascii="仿宋_GB2312" w:eastAsia="仿宋_GB2312"/>
          <w:sz w:val="32"/>
          <w:szCs w:val="32"/>
        </w:rPr>
      </w:pPr>
      <w:r>
        <w:rPr>
          <w:rFonts w:hint="eastAsia" w:ascii="仿宋_GB2312" w:eastAsia="仿宋_GB2312"/>
          <w:b/>
          <w:sz w:val="32"/>
          <w:szCs w:val="32"/>
        </w:rPr>
        <w:t>职责分类绩效目标：</w:t>
      </w:r>
    </w:p>
    <w:p>
      <w:pPr>
        <w:spacing w:line="500" w:lineRule="exact"/>
        <w:ind w:firstLine="560"/>
        <w:rPr>
          <w:rFonts w:ascii="仿宋_GB2312" w:eastAsia="仿宋_GB2312"/>
          <w:sz w:val="32"/>
          <w:szCs w:val="32"/>
        </w:rPr>
      </w:pPr>
      <w:r>
        <w:rPr>
          <w:rFonts w:hint="eastAsia" w:ascii="仿宋_GB2312" w:eastAsia="仿宋_GB2312"/>
          <w:sz w:val="32"/>
          <w:szCs w:val="32"/>
        </w:rPr>
        <w:t>部门职责1：检察监督</w:t>
      </w:r>
    </w:p>
    <w:p>
      <w:pPr>
        <w:spacing w:line="500" w:lineRule="exact"/>
        <w:ind w:firstLine="560"/>
        <w:rPr>
          <w:rFonts w:ascii="仿宋_GB2312" w:eastAsia="仿宋_GB2312"/>
          <w:sz w:val="32"/>
          <w:szCs w:val="32"/>
        </w:rPr>
      </w:pPr>
      <w:r>
        <w:rPr>
          <w:rFonts w:hint="eastAsia" w:ascii="仿宋_GB2312" w:eastAsia="仿宋_GB2312"/>
          <w:sz w:val="32"/>
          <w:szCs w:val="32"/>
        </w:rPr>
        <w:t>批准立案错误率为0,批延准确率达到100%,侦查监督完成率达到80%及以上,批捕错误率为0,公诉案件有罪判决率达到99%及以上,公诉抗诉案件再审改变率达到75%及以上,公诉案件审结率达到100%,出庭意见采纳率达到96%及以上,提起公诉完成率达到100%,检察建议采纳率达到85%及以上,抗诉案件再审改变率达到89%及以上,刑事执行工作全市排名达到第7名及以上,未成年人刑事检察工作出庭意见采纳率达到95%及以上,未成年人刑事检察工作公诉抗诉案件再审改变率达到70%及以上,未成年人刑事检察工作批准立案错误率为0,未成年人刑事检察工作侦查监督完成率达到95%及以上,未成年人刑事检察工作批捕错误率为0,司法辅助工作完成率达到90%及以上.</w:t>
      </w:r>
    </w:p>
    <w:p>
      <w:pPr>
        <w:spacing w:line="500" w:lineRule="exact"/>
        <w:ind w:firstLine="560"/>
        <w:rPr>
          <w:rFonts w:ascii="仿宋_GB2312" w:eastAsia="仿宋_GB2312"/>
          <w:sz w:val="32"/>
          <w:szCs w:val="32"/>
        </w:rPr>
      </w:pPr>
      <w:r>
        <w:rPr>
          <w:rFonts w:hint="eastAsia" w:ascii="仿宋_GB2312" w:eastAsia="仿宋_GB2312"/>
          <w:sz w:val="32"/>
          <w:szCs w:val="32"/>
        </w:rPr>
        <w:t>部门职责2：控告和刑事申诉检察</w:t>
      </w:r>
    </w:p>
    <w:p>
      <w:pPr>
        <w:spacing w:line="500" w:lineRule="exact"/>
        <w:ind w:firstLine="560"/>
        <w:rPr>
          <w:rFonts w:ascii="仿宋_GB2312" w:eastAsia="仿宋_GB2312"/>
          <w:sz w:val="32"/>
          <w:szCs w:val="32"/>
        </w:rPr>
      </w:pPr>
      <w:r>
        <w:rPr>
          <w:rFonts w:hint="eastAsia" w:ascii="仿宋_GB2312" w:eastAsia="仿宋_GB2312"/>
          <w:sz w:val="32"/>
          <w:szCs w:val="32"/>
        </w:rPr>
        <w:t>有效化解涉检信访矛盾率达到99%及以上,涉检信访案件办结率达到100%,国家赔偿案件办结率达到100%,息诉罢访率达到99%及以上,举报线索处置率达到99%及以上.</w:t>
      </w:r>
    </w:p>
    <w:p>
      <w:pPr>
        <w:spacing w:line="500" w:lineRule="exact"/>
        <w:ind w:firstLine="560"/>
        <w:rPr>
          <w:rFonts w:ascii="仿宋_GB2312" w:eastAsia="仿宋_GB2312"/>
          <w:sz w:val="32"/>
          <w:szCs w:val="32"/>
        </w:rPr>
      </w:pPr>
      <w:r>
        <w:rPr>
          <w:rFonts w:hint="eastAsia" w:ascii="仿宋_GB2312" w:eastAsia="仿宋_GB2312"/>
          <w:sz w:val="32"/>
          <w:szCs w:val="32"/>
        </w:rPr>
        <w:t>部门职责3：检察事务管理</w:t>
      </w:r>
    </w:p>
    <w:p>
      <w:pPr>
        <w:spacing w:line="500" w:lineRule="exact"/>
        <w:ind w:firstLine="560"/>
        <w:rPr>
          <w:rFonts w:ascii="仿宋_GB2312" w:eastAsia="仿宋_GB2312"/>
          <w:sz w:val="32"/>
          <w:szCs w:val="32"/>
        </w:rPr>
      </w:pPr>
      <w:r>
        <w:rPr>
          <w:rFonts w:hint="eastAsia" w:ascii="仿宋_GB2312" w:eastAsia="仿宋_GB2312"/>
          <w:sz w:val="32"/>
          <w:szCs w:val="32"/>
        </w:rPr>
        <w:t>各项检察综合业务管理工作完成率达到95%及以上,各项检务保障工作完成率达到95%及以上.</w:t>
      </w:r>
    </w:p>
    <w:p>
      <w:pPr>
        <w:spacing w:line="584" w:lineRule="exact"/>
        <w:ind w:firstLine="560"/>
        <w:rPr>
          <w:rFonts w:ascii="Times New Roman" w:hAnsi="Times New Roman" w:eastAsia="楷体_GB2312" w:cs="Times New Roman"/>
          <w:b/>
          <w:sz w:val="32"/>
          <w:szCs w:val="32"/>
        </w:rPr>
      </w:pPr>
      <w:r>
        <w:rPr>
          <w:rFonts w:ascii="Times New Roman" w:hAnsi="Times New Roman" w:eastAsia="楷体_GB2312" w:cs="Times New Roman"/>
          <w:b/>
          <w:sz w:val="32"/>
          <w:szCs w:val="32"/>
        </w:rPr>
        <w:t>部门职责及工作活动绩效目标指标：</w:t>
      </w:r>
      <w:bookmarkEnd w:id="0"/>
      <w:bookmarkStart w:id="1" w:name="_Toc504489147"/>
    </w:p>
    <w:p>
      <w:pPr>
        <w:spacing w:line="584" w:lineRule="exact"/>
        <w:jc w:val="center"/>
        <w:outlineLvl w:val="0"/>
        <w:rPr>
          <w:rFonts w:ascii="Times New Roman" w:hAnsi="Times New Roman" w:eastAsia="仿宋_GB2312" w:cs="Times New Roman"/>
          <w:b/>
          <w:sz w:val="32"/>
        </w:rPr>
      </w:pPr>
      <w:r>
        <w:rPr>
          <w:rFonts w:ascii="Times New Roman" w:hAnsi="Times New Roman" w:eastAsia="仿宋_GB2312" w:cs="Times New Roman"/>
          <w:b/>
          <w:sz w:val="32"/>
        </w:rPr>
        <w:t>部门职责-工作活动绩效目标</w:t>
      </w:r>
    </w:p>
    <w:bookmarkEnd w:id="1"/>
    <w:tbl>
      <w:tblPr>
        <w:tblStyle w:val="8"/>
        <w:tblW w:w="1393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986" w:type="dxa"/>
            <w:gridSpan w:val="5"/>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仿宋_GB2312" w:eastAsia="仿宋_GB2312"/>
                <w:sz w:val="24"/>
              </w:rPr>
            </w:pPr>
            <w:r>
              <w:rPr>
                <w:rFonts w:hint="eastAsia" w:ascii="仿宋_GB2312" w:eastAsia="仿宋_GB2312"/>
                <w:sz w:val="24"/>
              </w:rPr>
              <w:t>360廊坊市广阳区人民检察院</w:t>
            </w:r>
          </w:p>
        </w:tc>
        <w:tc>
          <w:tcPr>
            <w:tcW w:w="2948" w:type="dxa"/>
            <w:gridSpan w:val="4"/>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仿宋_GB2312" w:eastAsia="仿宋_GB2312"/>
                <w:sz w:val="24"/>
              </w:rPr>
            </w:pPr>
            <w:r>
              <w:rPr>
                <w:rFonts w:hint="eastAsia" w:ascii="仿宋_GB2312" w:eastAsia="仿宋_GB2312"/>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restart"/>
            <w:shd w:val="clear" w:color="auto" w:fill="auto"/>
            <w:vAlign w:val="center"/>
          </w:tcPr>
          <w:p>
            <w:pPr>
              <w:spacing w:line="300" w:lineRule="exact"/>
              <w:jc w:val="center"/>
              <w:rPr>
                <w:rFonts w:ascii="仿宋_GB2312" w:eastAsia="仿宋_GB2312"/>
                <w:b/>
              </w:rPr>
            </w:pPr>
            <w:r>
              <w:rPr>
                <w:rFonts w:hint="eastAsia" w:ascii="仿宋_GB2312" w:eastAsia="仿宋_GB2312"/>
                <w:b/>
              </w:rPr>
              <w:t>职责活动</w:t>
            </w:r>
          </w:p>
        </w:tc>
        <w:tc>
          <w:tcPr>
            <w:tcW w:w="1276" w:type="dxa"/>
            <w:vMerge w:val="restart"/>
            <w:shd w:val="clear" w:color="auto" w:fill="auto"/>
            <w:vAlign w:val="center"/>
          </w:tcPr>
          <w:p>
            <w:pPr>
              <w:spacing w:line="300" w:lineRule="exact"/>
              <w:jc w:val="center"/>
              <w:rPr>
                <w:rFonts w:ascii="仿宋_GB2312" w:eastAsia="仿宋_GB2312"/>
                <w:b/>
              </w:rPr>
            </w:pPr>
            <w:r>
              <w:rPr>
                <w:rFonts w:hint="eastAsia" w:ascii="仿宋_GB2312" w:eastAsia="仿宋_GB2312"/>
                <w:b/>
              </w:rPr>
              <w:t>年度预算数</w:t>
            </w:r>
          </w:p>
        </w:tc>
        <w:tc>
          <w:tcPr>
            <w:tcW w:w="2976" w:type="dxa"/>
            <w:vMerge w:val="restart"/>
            <w:shd w:val="clear" w:color="auto" w:fill="auto"/>
            <w:vAlign w:val="center"/>
          </w:tcPr>
          <w:p>
            <w:pPr>
              <w:spacing w:line="300" w:lineRule="exact"/>
              <w:jc w:val="center"/>
              <w:rPr>
                <w:rFonts w:ascii="仿宋_GB2312" w:eastAsia="仿宋_GB2312"/>
                <w:b/>
              </w:rPr>
            </w:pPr>
            <w:r>
              <w:rPr>
                <w:rFonts w:hint="eastAsia" w:ascii="仿宋_GB2312" w:eastAsia="仿宋_GB2312"/>
                <w:b/>
              </w:rPr>
              <w:t>内容描述</w:t>
            </w:r>
          </w:p>
        </w:tc>
        <w:tc>
          <w:tcPr>
            <w:tcW w:w="2976" w:type="dxa"/>
            <w:vMerge w:val="restart"/>
            <w:shd w:val="clear" w:color="auto" w:fill="auto"/>
            <w:vAlign w:val="center"/>
          </w:tcPr>
          <w:p>
            <w:pPr>
              <w:spacing w:line="300" w:lineRule="exact"/>
              <w:jc w:val="center"/>
              <w:rPr>
                <w:rFonts w:ascii="仿宋_GB2312" w:eastAsia="仿宋_GB2312"/>
                <w:b/>
              </w:rPr>
            </w:pPr>
            <w:r>
              <w:rPr>
                <w:rFonts w:hint="eastAsia" w:ascii="仿宋_GB2312" w:eastAsia="仿宋_GB2312"/>
                <w:b/>
              </w:rPr>
              <w:t>绩效目标</w:t>
            </w:r>
          </w:p>
        </w:tc>
        <w:tc>
          <w:tcPr>
            <w:tcW w:w="1417" w:type="dxa"/>
            <w:vMerge w:val="restart"/>
            <w:shd w:val="clear" w:color="auto" w:fill="auto"/>
            <w:vAlign w:val="center"/>
          </w:tcPr>
          <w:p>
            <w:pPr>
              <w:spacing w:line="300" w:lineRule="exact"/>
              <w:jc w:val="center"/>
              <w:rPr>
                <w:rFonts w:ascii="仿宋_GB2312" w:eastAsia="仿宋_GB2312"/>
                <w:b/>
              </w:rPr>
            </w:pPr>
            <w:r>
              <w:rPr>
                <w:rFonts w:hint="eastAsia" w:ascii="仿宋_GB2312" w:eastAsia="仿宋_GB2312"/>
                <w:b/>
              </w:rPr>
              <w:t>绩效指标</w:t>
            </w:r>
          </w:p>
        </w:tc>
        <w:tc>
          <w:tcPr>
            <w:tcW w:w="2948" w:type="dxa"/>
            <w:gridSpan w:val="4"/>
            <w:shd w:val="clear" w:color="auto" w:fill="auto"/>
            <w:vAlign w:val="center"/>
          </w:tcPr>
          <w:p>
            <w:pPr>
              <w:spacing w:line="300" w:lineRule="exact"/>
              <w:jc w:val="center"/>
              <w:rPr>
                <w:rFonts w:ascii="仿宋_GB2312" w:eastAsia="仿宋_GB2312"/>
                <w:b/>
              </w:rPr>
            </w:pPr>
            <w:r>
              <w:rPr>
                <w:rFonts w:hint="eastAsia" w:ascii="仿宋_GB2312" w:eastAsia="仿宋_GB2312"/>
                <w:b/>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continue"/>
            <w:shd w:val="clear" w:color="auto" w:fill="auto"/>
            <w:vAlign w:val="center"/>
          </w:tcPr>
          <w:p>
            <w:pPr>
              <w:spacing w:line="300" w:lineRule="exact"/>
              <w:jc w:val="left"/>
              <w:outlineLvl w:val="0"/>
              <w:rPr>
                <w:rFonts w:ascii="仿宋_GB2312" w:eastAsia="仿宋_GB2312"/>
              </w:rPr>
            </w:pPr>
          </w:p>
        </w:tc>
        <w:tc>
          <w:tcPr>
            <w:tcW w:w="1276" w:type="dxa"/>
            <w:vMerge w:val="continue"/>
            <w:shd w:val="clear" w:color="auto" w:fill="auto"/>
            <w:vAlign w:val="center"/>
          </w:tcPr>
          <w:p>
            <w:pPr>
              <w:spacing w:line="300" w:lineRule="exact"/>
              <w:jc w:val="left"/>
              <w:outlineLvl w:val="0"/>
              <w:rPr>
                <w:rFonts w:ascii="仿宋_GB2312" w:eastAsia="仿宋_GB2312"/>
              </w:rPr>
            </w:pPr>
          </w:p>
        </w:tc>
        <w:tc>
          <w:tcPr>
            <w:tcW w:w="2976" w:type="dxa"/>
            <w:vMerge w:val="continue"/>
            <w:shd w:val="clear" w:color="auto" w:fill="auto"/>
            <w:vAlign w:val="center"/>
          </w:tcPr>
          <w:p>
            <w:pPr>
              <w:spacing w:line="300" w:lineRule="exact"/>
              <w:jc w:val="left"/>
              <w:outlineLvl w:val="0"/>
              <w:rPr>
                <w:rFonts w:ascii="仿宋_GB2312" w:eastAsia="仿宋_GB2312"/>
              </w:rPr>
            </w:pPr>
          </w:p>
        </w:tc>
        <w:tc>
          <w:tcPr>
            <w:tcW w:w="2976" w:type="dxa"/>
            <w:vMerge w:val="continue"/>
            <w:shd w:val="clear" w:color="auto" w:fill="auto"/>
            <w:vAlign w:val="center"/>
          </w:tcPr>
          <w:p>
            <w:pPr>
              <w:spacing w:line="300" w:lineRule="exact"/>
              <w:jc w:val="left"/>
              <w:outlineLvl w:val="0"/>
              <w:rPr>
                <w:rFonts w:ascii="仿宋_GB2312" w:eastAsia="仿宋_GB2312"/>
              </w:rPr>
            </w:pPr>
          </w:p>
        </w:tc>
        <w:tc>
          <w:tcPr>
            <w:tcW w:w="1417" w:type="dxa"/>
            <w:vMerge w:val="continue"/>
            <w:shd w:val="clear" w:color="auto" w:fill="auto"/>
            <w:vAlign w:val="center"/>
          </w:tcPr>
          <w:p>
            <w:pPr>
              <w:spacing w:line="300" w:lineRule="exact"/>
              <w:jc w:val="left"/>
              <w:outlineLvl w:val="0"/>
              <w:rPr>
                <w:rFonts w:ascii="仿宋_GB2312" w:eastAsia="仿宋_GB2312"/>
              </w:rPr>
            </w:pPr>
          </w:p>
        </w:tc>
        <w:tc>
          <w:tcPr>
            <w:tcW w:w="737" w:type="dxa"/>
            <w:shd w:val="clear" w:color="auto" w:fill="auto"/>
            <w:vAlign w:val="center"/>
          </w:tcPr>
          <w:p>
            <w:pPr>
              <w:spacing w:line="300" w:lineRule="exact"/>
              <w:jc w:val="center"/>
              <w:rPr>
                <w:rFonts w:ascii="仿宋_GB2312" w:eastAsia="仿宋_GB2312"/>
                <w:b/>
              </w:rPr>
            </w:pPr>
            <w:r>
              <w:rPr>
                <w:rFonts w:hint="eastAsia" w:ascii="仿宋_GB2312" w:eastAsia="仿宋_GB2312"/>
                <w:b/>
              </w:rPr>
              <w:t>优</w:t>
            </w:r>
          </w:p>
        </w:tc>
        <w:tc>
          <w:tcPr>
            <w:tcW w:w="737" w:type="dxa"/>
            <w:shd w:val="clear" w:color="auto" w:fill="auto"/>
            <w:vAlign w:val="center"/>
          </w:tcPr>
          <w:p>
            <w:pPr>
              <w:spacing w:line="300" w:lineRule="exact"/>
              <w:jc w:val="center"/>
              <w:rPr>
                <w:rFonts w:ascii="仿宋_GB2312" w:eastAsia="仿宋_GB2312"/>
                <w:b/>
              </w:rPr>
            </w:pPr>
            <w:r>
              <w:rPr>
                <w:rFonts w:hint="eastAsia" w:ascii="仿宋_GB2312" w:eastAsia="仿宋_GB2312"/>
                <w:b/>
              </w:rPr>
              <w:t>良</w:t>
            </w:r>
          </w:p>
        </w:tc>
        <w:tc>
          <w:tcPr>
            <w:tcW w:w="737" w:type="dxa"/>
            <w:shd w:val="clear" w:color="auto" w:fill="auto"/>
            <w:vAlign w:val="center"/>
          </w:tcPr>
          <w:p>
            <w:pPr>
              <w:spacing w:line="300" w:lineRule="exact"/>
              <w:jc w:val="center"/>
              <w:rPr>
                <w:rFonts w:ascii="仿宋_GB2312" w:eastAsia="仿宋_GB2312"/>
                <w:b/>
              </w:rPr>
            </w:pPr>
            <w:r>
              <w:rPr>
                <w:rFonts w:hint="eastAsia" w:ascii="仿宋_GB2312" w:eastAsia="仿宋_GB2312"/>
                <w:b/>
              </w:rPr>
              <w:t>中</w:t>
            </w:r>
          </w:p>
        </w:tc>
        <w:tc>
          <w:tcPr>
            <w:tcW w:w="737" w:type="dxa"/>
            <w:shd w:val="clear" w:color="auto" w:fill="auto"/>
            <w:vAlign w:val="center"/>
          </w:tcPr>
          <w:p>
            <w:pPr>
              <w:spacing w:line="300" w:lineRule="exact"/>
              <w:jc w:val="center"/>
              <w:rPr>
                <w:rFonts w:ascii="仿宋_GB2312" w:eastAsia="仿宋_GB2312"/>
                <w:b/>
              </w:rPr>
            </w:pPr>
            <w:r>
              <w:rPr>
                <w:rFonts w:hint="eastAsia" w:ascii="仿宋_GB2312" w:eastAsia="仿宋_GB2312"/>
                <w:b/>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一、查办和预防职务犯罪</w:t>
            </w:r>
          </w:p>
        </w:tc>
        <w:tc>
          <w:tcPr>
            <w:tcW w:w="1276" w:type="dxa"/>
            <w:shd w:val="clear" w:color="auto" w:fill="auto"/>
            <w:vAlign w:val="center"/>
          </w:tcPr>
          <w:p>
            <w:pPr>
              <w:spacing w:line="300" w:lineRule="exact"/>
              <w:jc w:val="left"/>
              <w:rPr>
                <w:rFonts w:ascii="仿宋_GB2312" w:eastAsia="仿宋_GB2312"/>
                <w:szCs w:val="21"/>
              </w:rPr>
            </w:pP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通过查办和预防职务犯罪案件，促进国家工作人员依法行使职权。</w:t>
            </w: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有效预防和依法严惩职务犯罪</w:t>
            </w:r>
          </w:p>
        </w:tc>
        <w:tc>
          <w:tcPr>
            <w:tcW w:w="1417" w:type="dxa"/>
            <w:shd w:val="clear" w:color="auto" w:fill="auto"/>
            <w:vAlign w:val="center"/>
          </w:tcPr>
          <w:p>
            <w:pPr>
              <w:spacing w:line="300" w:lineRule="exact"/>
              <w:jc w:val="left"/>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1、查办职务犯罪</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参与办理重大职务犯罪案件的侦查及个案协查工作；指导全县在逃职务犯罪案件追逃追赃工作，推进全县侦查信息化和装备现代化建设。</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完成指挥或办理职务犯罪案件工作，提高案件起诉率、判决率；完成追逃、追赃任务，最大限度挽回经济损失，促进国家工作人员依法行使职权。</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案件起诉率(%)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≥60.00%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查办大要案比率(%)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≥65.00%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≥55.00%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≥45.00%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＜45.00%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立案有罪判决率(%)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2、预防职务犯罪</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履行检察机关重要的法律监督职能，采取多种方式，预防可能发生的职务犯罪。</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以个案预防、系统预防、专项预防、预防调查等多种形式努力从源头上遏制和减少职务犯罪。</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举办职务犯罪预防警示教育次数(次)</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≥20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≥16</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≥12</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行贿犯罪档案查询次数（次）</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≥2000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≥1700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≥1400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举办联合预防专项行动次数（次）</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≥4</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党员干部职务犯罪预防知识普及率(%)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≥95.00%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≥85.00%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≥75.00%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开展职务犯罪预防调查次数（次）</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≥6</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≥4</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≥2</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二、检察监督</w:t>
            </w:r>
          </w:p>
        </w:tc>
        <w:tc>
          <w:tcPr>
            <w:tcW w:w="12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115.20</w:t>
            </w: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对侦查机关的侦查活动、人民法院的审判活动、监狱看守所等机关执行刑罚的活动，依法实行法律监督，维护司法公正。</w:t>
            </w: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通过行使检察权，惩罚犯罪活动，保护国家安全，保护公民、法人和其他组织的合法权益，保障国家法律的正确实施。</w:t>
            </w:r>
          </w:p>
        </w:tc>
        <w:tc>
          <w:tcPr>
            <w:tcW w:w="1417" w:type="dxa"/>
            <w:shd w:val="clear" w:color="auto" w:fill="auto"/>
            <w:vAlign w:val="center"/>
          </w:tcPr>
          <w:p>
            <w:pPr>
              <w:spacing w:line="300" w:lineRule="exact"/>
              <w:jc w:val="left"/>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1、侦查监督</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侦查监督职能的行使贯穿刑事立案到侦查终结全过程。主要包括审查逮捕、立案监督和侦查活动监督等职能。</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保障人权、维护司法公正，有效提高批捕、批准立案、批延准确率。</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批延准确率(%)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立案和侦查活动监督完成率(%)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≥85.00%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≥75.00%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错捕、捕后撤案、不起诉、判无罪率(%)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≤3.00%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≤5.00%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2、公诉和审判监督</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审查起诉；对上诉、抗诉案件及再审案件进行审查；出庭支持公诉</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全面审查案件事实，核实证据，依法提起公诉、出庭提出审查意见，提高公诉案件审结率、出庭意见采纳率。</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公诉案件审结率(%)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≥95.00%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诉讼期限内审结案件占全部案件比例(%)</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≥99.00%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≥98.00%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出庭意见采纳率(%)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公诉案件有罪判决率(%)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≥99.00%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≥98.00%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≥96.00%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3、民事行政诉讼监督</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依法对民事诉讼和行政诉讼实行法律监督，维护司法公正和司法权威，保障国家法律的统一正确实施</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有效实施民事案件审判监督，维护司法公正和司法权威，保障国家法律的统一正确实施。</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案件审结率(%)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≥60.00%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当事人对民事行政申请监督案件满意度(%)</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≥60.00%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检察建议采纳率(%)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4、刑事执行监督</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依法对刑罚执行和监管活动实行监督，维护刑罚执行和监管活动的公平公正，维护监管秩序稳定，维护被监管人合法权益，保障国家法律统一正确实施。</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保障刑罚执行和监管活动的依法有序进行。</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全市排名</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7次及以下</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8次</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9次</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10次及以上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监督行为及效果满意度(%)</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纠正意见或建议的采纳率(%)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5、未成年人刑事检察</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办理全县检察机关未成年人犯罪案件的审查逮捕、审查起诉工作，依法履行立案监督、侦查活动监督、审判监督、执行监督职能；开展预防未成年人犯罪综合治理工作；依法保护刑事案件未成年被害人的合法权益。</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完成移交未成年人案件侦查监督任务，有效实施未成年人案件审判监督，依法保护刑事案件未成年被害人的合法权益。</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公诉抗诉案件再审改变率(%)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≥60.00%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≥45.00%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＜45.00%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出庭意见采纳率(%)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≥95.00%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批准立案错误率(%)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≤0.00%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≤0.50%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侦查监督完成率(%)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≥95.00%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批捕错误率(%)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≤0.00%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≤0.50%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6、司法辅助</w:t>
            </w:r>
          </w:p>
        </w:tc>
        <w:tc>
          <w:tcPr>
            <w:tcW w:w="12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115.20</w:t>
            </w: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保障办案安全、负责全县检察机关司法警察的授衔和管理工作；开展全县检察机关技术工作和物证检验、鉴定、审核等工作。</w:t>
            </w: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加强各项检察辅助职能，为检察业务提供有力保障。</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工作完成率(%)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≥60.00%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三、控告和刑事申诉检察</w:t>
            </w:r>
          </w:p>
        </w:tc>
        <w:tc>
          <w:tcPr>
            <w:tcW w:w="1276" w:type="dxa"/>
            <w:shd w:val="clear" w:color="auto" w:fill="auto"/>
            <w:vAlign w:val="center"/>
          </w:tcPr>
          <w:p>
            <w:pPr>
              <w:spacing w:line="300" w:lineRule="exact"/>
              <w:jc w:val="left"/>
              <w:rPr>
                <w:rFonts w:ascii="仿宋_GB2312" w:eastAsia="仿宋_GB2312"/>
                <w:szCs w:val="21"/>
              </w:rPr>
            </w:pP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组织和指导全县控申部门受理来信来访、举报、刑事申诉、国家赔偿、司法救助工作，受理民事监督案件，办理信访、举报案件、刑事申诉案件、国家赔偿、司法救助案件以及上级机关交办、转办、督办案件。</w:t>
            </w: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保护公民、法人和其他单位的合法权益，促进司法公正，维护社会稳定</w:t>
            </w:r>
          </w:p>
        </w:tc>
        <w:tc>
          <w:tcPr>
            <w:tcW w:w="1417" w:type="dxa"/>
            <w:shd w:val="clear" w:color="auto" w:fill="auto"/>
            <w:vAlign w:val="center"/>
          </w:tcPr>
          <w:p>
            <w:pPr>
              <w:spacing w:line="300" w:lineRule="exact"/>
              <w:jc w:val="left"/>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1、涉检信访办理</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统一受理报案、控告、举报、申诉和犯罪嫌疑人投案自首，办理对公检法三机关及工作人员阻碍辩护人、诉讼代理人依法行使诉讼权利的控告或申诉，办理对本院办案中违法行为的控告或申诉，受理民事监督案件。</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构建依法有序信访秩序，及时依法解决群众诉求。</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涉检信访案件办结率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≥85.00%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≥60.00%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有效化解涉检信访矛盾率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≥85.00%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≥60.00%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2、举报管理、刑事申诉及涉检国家赔偿和司法救助</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受理初核对国家工作人员职务犯罪的举报；受理、审查和复查当事人不服的刑事申诉案件；统一办理人民检察院作为赔偿义务机关的刑事赔偿、复议案件，对人民法院赔偿委员会判决、裁定进行监督，开展司法救助工作。</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加强和改进举报工作，保护申诉人合法权益，保护被赔偿人和被救助人合法权益。</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涉检国家赔偿率（%）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举报移送立案率（%）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≥60.00%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≥50.00%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国家赔偿案件办结率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≥60.00%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≥50.00%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四、检察事务管理</w:t>
            </w:r>
          </w:p>
        </w:tc>
        <w:tc>
          <w:tcPr>
            <w:tcW w:w="1276" w:type="dxa"/>
            <w:shd w:val="clear" w:color="auto" w:fill="auto"/>
            <w:vAlign w:val="center"/>
          </w:tcPr>
          <w:p>
            <w:pPr>
              <w:spacing w:line="300" w:lineRule="exact"/>
              <w:jc w:val="left"/>
              <w:rPr>
                <w:rFonts w:ascii="仿宋_GB2312" w:eastAsia="仿宋_GB2312"/>
                <w:szCs w:val="21"/>
              </w:rPr>
            </w:pP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承担系统综合业务管理和综合事务管理工作。</w:t>
            </w: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确保全年各项检察工作圆满完成</w:t>
            </w:r>
          </w:p>
        </w:tc>
        <w:tc>
          <w:tcPr>
            <w:tcW w:w="1417" w:type="dxa"/>
            <w:shd w:val="clear" w:color="auto" w:fill="auto"/>
            <w:vAlign w:val="center"/>
          </w:tcPr>
          <w:p>
            <w:pPr>
              <w:spacing w:line="300" w:lineRule="exact"/>
              <w:jc w:val="left"/>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1、综合业务管理</w:t>
            </w:r>
          </w:p>
        </w:tc>
        <w:tc>
          <w:tcPr>
            <w:tcW w:w="1276" w:type="dxa"/>
            <w:shd w:val="clear" w:color="auto" w:fill="auto"/>
            <w:vAlign w:val="center"/>
          </w:tcPr>
          <w:p>
            <w:pPr>
              <w:spacing w:line="300" w:lineRule="exact"/>
              <w:jc w:val="left"/>
              <w:rPr>
                <w:rFonts w:ascii="仿宋_GB2312" w:eastAsia="仿宋_GB2312"/>
                <w:szCs w:val="21"/>
              </w:rPr>
            </w:pP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确定全县检察阶段性的工作重点和措施，部署检察工作任务；进行案件质量保证体系建设；开展涉农检察工作；参与社会管理综合治理等工作；进行法律政策研究工作；加强人民监督员和人大代表监督；统筹进行网络信息化建设；开展检察宣传工作、推进检务公开。</w:t>
            </w: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提高执法水平和办案质量、提升检察机关法律监督能力。</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各项检察综合业务管理工作完成率(%)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≥95.00%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≥85.00%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2、综合事务管理</w:t>
            </w:r>
          </w:p>
        </w:tc>
        <w:tc>
          <w:tcPr>
            <w:tcW w:w="1276" w:type="dxa"/>
            <w:shd w:val="clear" w:color="auto" w:fill="auto"/>
            <w:vAlign w:val="center"/>
          </w:tcPr>
          <w:p>
            <w:pPr>
              <w:spacing w:line="300" w:lineRule="exact"/>
              <w:jc w:val="left"/>
              <w:rPr>
                <w:rFonts w:ascii="仿宋_GB2312" w:eastAsia="仿宋_GB2312"/>
                <w:szCs w:val="21"/>
              </w:rPr>
            </w:pP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组织指导全县检察人员的教育培训工作，进行检察装备建设及维护；配备制式检察服装及法警服装；进行基础设施建设和维护。</w:t>
            </w: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为检察工作顺利开展提供检务保障。</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各项检务保障工作完成率(%)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≥95.00%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≥85.00%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＜70.00%</w:t>
            </w:r>
          </w:p>
        </w:tc>
      </w:tr>
    </w:tbl>
    <w:p>
      <w:pPr>
        <w:spacing w:line="584" w:lineRule="exact"/>
        <w:jc w:val="left"/>
        <w:outlineLvl w:val="0"/>
        <w:rPr>
          <w:rFonts w:ascii="Times New Roman" w:hAnsi="Times New Roman" w:eastAsia="仿宋_GB2312" w:cs="Times New Roman"/>
        </w:rPr>
        <w:sectPr>
          <w:footerReference r:id="rId4" w:type="first"/>
          <w:footerReference r:id="rId3" w:type="default"/>
          <w:pgSz w:w="16839" w:h="11907" w:orient="landscape"/>
          <w:pgMar w:top="1020" w:right="1361" w:bottom="1020" w:left="1361" w:header="851" w:footer="992" w:gutter="0"/>
          <w:cols w:space="720" w:num="1"/>
          <w:titlePg/>
          <w:docGrid w:type="lines" w:linePitch="312" w:charSpace="0"/>
        </w:sect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六、政府采购预算情况</w:t>
      </w:r>
    </w:p>
    <w:p>
      <w:pPr>
        <w:spacing w:line="584" w:lineRule="exact"/>
        <w:ind w:firstLine="640" w:firstLineChars="200"/>
        <w:outlineLvl w:val="0"/>
        <w:rPr>
          <w:rFonts w:ascii="Times New Roman" w:hAnsi="Times New Roman" w:eastAsia="仿宋_GB2312" w:cs="Times New Roman"/>
          <w:sz w:val="32"/>
          <w:szCs w:val="24"/>
        </w:rPr>
      </w:pPr>
      <w:bookmarkStart w:id="2" w:name="_Toc471398468"/>
      <w:r>
        <w:rPr>
          <w:rFonts w:ascii="Times New Roman" w:hAnsi="Times New Roman" w:eastAsia="仿宋_GB2312" w:cs="Times New Roman"/>
          <w:sz w:val="32"/>
          <w:szCs w:val="24"/>
        </w:rPr>
        <w:t>201</w:t>
      </w:r>
      <w:r>
        <w:rPr>
          <w:rFonts w:hint="eastAsia" w:ascii="Times New Roman" w:hAnsi="Times New Roman" w:eastAsia="仿宋_GB2312" w:cs="Times New Roman"/>
          <w:sz w:val="32"/>
          <w:szCs w:val="24"/>
        </w:rPr>
        <w:t>9</w:t>
      </w:r>
      <w:r>
        <w:rPr>
          <w:rFonts w:ascii="Times New Roman" w:hAnsi="Times New Roman" w:eastAsia="仿宋_GB2312" w:cs="Times New Roman"/>
          <w:sz w:val="32"/>
          <w:szCs w:val="24"/>
        </w:rPr>
        <w:t>年，我部门安排政府采购预算</w:t>
      </w:r>
      <w:r>
        <w:rPr>
          <w:rFonts w:hint="eastAsia" w:ascii="Times New Roman" w:hAnsi="Times New Roman" w:eastAsia="仿宋_GB2312" w:cs="Times New Roman"/>
          <w:sz w:val="32"/>
          <w:szCs w:val="24"/>
        </w:rPr>
        <w:t>100</w:t>
      </w:r>
      <w:r>
        <w:rPr>
          <w:rFonts w:ascii="Times New Roman" w:hAnsi="Times New Roman" w:eastAsia="仿宋_GB2312" w:cs="Times New Roman"/>
          <w:sz w:val="32"/>
          <w:szCs w:val="24"/>
        </w:rPr>
        <w:t>万元。具体内容见下表。</w:t>
      </w:r>
    </w:p>
    <w:bookmarkEnd w:id="2"/>
    <w:p>
      <w:pPr>
        <w:spacing w:line="584" w:lineRule="exact"/>
        <w:jc w:val="center"/>
        <w:outlineLvl w:val="0"/>
        <w:rPr>
          <w:rFonts w:ascii="Times New Roman" w:hAnsi="Times New Roman" w:eastAsia="仿宋_GB2312" w:cs="Times New Roman"/>
          <w:sz w:val="32"/>
        </w:rPr>
      </w:pPr>
      <w:bookmarkStart w:id="3" w:name="_Toc504489153"/>
      <w:r>
        <w:rPr>
          <w:rFonts w:ascii="Times New Roman" w:hAnsi="Times New Roman" w:eastAsia="仿宋_GB2312" w:cs="Times New Roman"/>
          <w:sz w:val="32"/>
        </w:rPr>
        <w:t>部门政府采购预算</w:t>
      </w:r>
      <w:bookmarkEnd w:id="3"/>
    </w:p>
    <w:tbl>
      <w:tblPr>
        <w:tblStyle w:val="8"/>
        <w:tblW w:w="1456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79"/>
        <w:gridCol w:w="1356"/>
        <w:gridCol w:w="1836"/>
        <w:gridCol w:w="996"/>
        <w:gridCol w:w="720"/>
        <w:gridCol w:w="740"/>
        <w:gridCol w:w="950"/>
        <w:gridCol w:w="956"/>
        <w:gridCol w:w="956"/>
        <w:gridCol w:w="956"/>
        <w:gridCol w:w="790"/>
        <w:gridCol w:w="924"/>
        <w:gridCol w:w="929"/>
        <w:gridCol w:w="88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177" w:type="dxa"/>
            <w:gridSpan w:val="7"/>
            <w:tcBorders>
              <w:top w:val="single" w:color="FFFFFF" w:sz="6" w:space="0"/>
              <w:left w:val="single" w:color="FFFFFF" w:sz="6" w:space="0"/>
              <w:right w:val="single" w:color="FFFFFF" w:sz="6" w:space="0"/>
            </w:tcBorders>
            <w:vAlign w:val="center"/>
          </w:tcPr>
          <w:p>
            <w:pPr>
              <w:spacing w:line="584" w:lineRule="exact"/>
              <w:jc w:val="left"/>
              <w:rPr>
                <w:rFonts w:ascii="仿宋_GB2312" w:hAnsi="Times New Roman" w:eastAsia="仿宋_GB2312" w:cs="Times New Roman"/>
                <w:sz w:val="24"/>
              </w:rPr>
            </w:pPr>
            <w:r>
              <w:rPr>
                <w:rFonts w:hint="eastAsia" w:ascii="仿宋_GB2312" w:hAnsi="Times New Roman" w:eastAsia="仿宋_GB2312" w:cs="Times New Roman"/>
                <w:sz w:val="24"/>
              </w:rPr>
              <w:t>360廊坊市广阳区人民检察院</w:t>
            </w:r>
          </w:p>
        </w:tc>
        <w:tc>
          <w:tcPr>
            <w:tcW w:w="6391" w:type="dxa"/>
            <w:gridSpan w:val="7"/>
            <w:tcBorders>
              <w:top w:val="single" w:color="FFFFFF" w:sz="6" w:space="0"/>
              <w:left w:val="single" w:color="FFFFFF" w:sz="6" w:space="0"/>
              <w:right w:val="single" w:color="FFFFFF" w:sz="6" w:space="0"/>
            </w:tcBorders>
            <w:vAlign w:val="center"/>
          </w:tcPr>
          <w:p>
            <w:pPr>
              <w:spacing w:line="584" w:lineRule="exact"/>
              <w:jc w:val="right"/>
              <w:rPr>
                <w:rFonts w:ascii="仿宋_GB2312" w:hAnsi="Times New Roman" w:eastAsia="仿宋_GB2312" w:cs="Times New Roman"/>
                <w:sz w:val="24"/>
              </w:rPr>
            </w:pPr>
            <w:r>
              <w:rPr>
                <w:rFonts w:hint="eastAsia" w:ascii="仿宋_GB2312" w:hAnsi="Times New Roman" w:eastAsia="仿宋_GB2312" w:cs="Times New Roman"/>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935" w:type="dxa"/>
            <w:gridSpan w:val="2"/>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政府采购项目来源</w:t>
            </w:r>
          </w:p>
        </w:tc>
        <w:tc>
          <w:tcPr>
            <w:tcW w:w="1836" w:type="dxa"/>
            <w:vMerge w:val="restart"/>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采购物品名称</w:t>
            </w:r>
          </w:p>
        </w:tc>
        <w:tc>
          <w:tcPr>
            <w:tcW w:w="996" w:type="dxa"/>
            <w:vMerge w:val="restart"/>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政府采购目录序号</w:t>
            </w:r>
          </w:p>
        </w:tc>
        <w:tc>
          <w:tcPr>
            <w:tcW w:w="720" w:type="dxa"/>
            <w:vMerge w:val="restart"/>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数量单位</w:t>
            </w:r>
          </w:p>
        </w:tc>
        <w:tc>
          <w:tcPr>
            <w:tcW w:w="740" w:type="dxa"/>
            <w:vMerge w:val="restart"/>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数量</w:t>
            </w:r>
          </w:p>
        </w:tc>
        <w:tc>
          <w:tcPr>
            <w:tcW w:w="950" w:type="dxa"/>
            <w:vMerge w:val="restart"/>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单价</w:t>
            </w:r>
          </w:p>
        </w:tc>
        <w:tc>
          <w:tcPr>
            <w:tcW w:w="6391" w:type="dxa"/>
            <w:gridSpan w:val="7"/>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579" w:type="dxa"/>
            <w:vMerge w:val="restart"/>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项目名称</w:t>
            </w:r>
          </w:p>
        </w:tc>
        <w:tc>
          <w:tcPr>
            <w:tcW w:w="1356" w:type="dxa"/>
            <w:vMerge w:val="restart"/>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预算资金</w:t>
            </w:r>
          </w:p>
        </w:tc>
        <w:tc>
          <w:tcPr>
            <w:tcW w:w="1836" w:type="dxa"/>
            <w:vMerge w:val="continue"/>
            <w:vAlign w:val="center"/>
          </w:tcPr>
          <w:p>
            <w:pPr>
              <w:spacing w:line="584" w:lineRule="exact"/>
              <w:jc w:val="left"/>
              <w:outlineLvl w:val="0"/>
              <w:rPr>
                <w:rFonts w:ascii="Times New Roman" w:hAnsi="Times New Roman" w:eastAsia="仿宋_GB2312" w:cs="Times New Roman"/>
              </w:rPr>
            </w:pPr>
          </w:p>
        </w:tc>
        <w:tc>
          <w:tcPr>
            <w:tcW w:w="996" w:type="dxa"/>
            <w:vMerge w:val="continue"/>
            <w:vAlign w:val="center"/>
          </w:tcPr>
          <w:p>
            <w:pPr>
              <w:spacing w:line="584" w:lineRule="exact"/>
              <w:jc w:val="left"/>
              <w:outlineLvl w:val="0"/>
              <w:rPr>
                <w:rFonts w:ascii="Times New Roman" w:hAnsi="Times New Roman" w:eastAsia="仿宋_GB2312" w:cs="Times New Roman"/>
              </w:rPr>
            </w:pPr>
          </w:p>
        </w:tc>
        <w:tc>
          <w:tcPr>
            <w:tcW w:w="720" w:type="dxa"/>
            <w:vMerge w:val="continue"/>
            <w:vAlign w:val="center"/>
          </w:tcPr>
          <w:p>
            <w:pPr>
              <w:spacing w:line="584" w:lineRule="exact"/>
              <w:jc w:val="left"/>
              <w:outlineLvl w:val="0"/>
              <w:rPr>
                <w:rFonts w:ascii="Times New Roman" w:hAnsi="Times New Roman" w:eastAsia="仿宋_GB2312" w:cs="Times New Roman"/>
              </w:rPr>
            </w:pPr>
          </w:p>
        </w:tc>
        <w:tc>
          <w:tcPr>
            <w:tcW w:w="740" w:type="dxa"/>
            <w:vMerge w:val="continue"/>
            <w:vAlign w:val="center"/>
          </w:tcPr>
          <w:p>
            <w:pPr>
              <w:spacing w:line="584" w:lineRule="exact"/>
              <w:jc w:val="left"/>
              <w:outlineLvl w:val="0"/>
              <w:rPr>
                <w:rFonts w:ascii="Times New Roman" w:hAnsi="Times New Roman" w:eastAsia="仿宋_GB2312" w:cs="Times New Roman"/>
              </w:rPr>
            </w:pPr>
          </w:p>
        </w:tc>
        <w:tc>
          <w:tcPr>
            <w:tcW w:w="950" w:type="dxa"/>
            <w:vMerge w:val="continue"/>
            <w:vAlign w:val="center"/>
          </w:tcPr>
          <w:p>
            <w:pPr>
              <w:spacing w:line="584" w:lineRule="exact"/>
              <w:jc w:val="left"/>
              <w:outlineLvl w:val="0"/>
              <w:rPr>
                <w:rFonts w:ascii="Times New Roman" w:hAnsi="Times New Roman" w:eastAsia="仿宋_GB2312" w:cs="Times New Roman"/>
              </w:rPr>
            </w:pPr>
          </w:p>
        </w:tc>
        <w:tc>
          <w:tcPr>
            <w:tcW w:w="956" w:type="dxa"/>
            <w:vMerge w:val="restart"/>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总计</w:t>
            </w:r>
          </w:p>
        </w:tc>
        <w:tc>
          <w:tcPr>
            <w:tcW w:w="4555" w:type="dxa"/>
            <w:gridSpan w:val="5"/>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当年部门预算安排资金</w:t>
            </w:r>
          </w:p>
        </w:tc>
        <w:tc>
          <w:tcPr>
            <w:tcW w:w="880" w:type="dxa"/>
            <w:vMerge w:val="restart"/>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1579" w:type="dxa"/>
            <w:vMerge w:val="continue"/>
            <w:vAlign w:val="center"/>
          </w:tcPr>
          <w:p>
            <w:pPr>
              <w:spacing w:line="584" w:lineRule="exact"/>
              <w:jc w:val="left"/>
              <w:outlineLvl w:val="0"/>
              <w:rPr>
                <w:rFonts w:ascii="Times New Roman" w:hAnsi="Times New Roman" w:eastAsia="仿宋_GB2312" w:cs="Times New Roman"/>
              </w:rPr>
            </w:pPr>
          </w:p>
        </w:tc>
        <w:tc>
          <w:tcPr>
            <w:tcW w:w="1356" w:type="dxa"/>
            <w:vMerge w:val="continue"/>
            <w:vAlign w:val="center"/>
          </w:tcPr>
          <w:p>
            <w:pPr>
              <w:spacing w:line="584" w:lineRule="exact"/>
              <w:jc w:val="left"/>
              <w:outlineLvl w:val="0"/>
              <w:rPr>
                <w:rFonts w:ascii="Times New Roman" w:hAnsi="Times New Roman" w:eastAsia="仿宋_GB2312" w:cs="Times New Roman"/>
              </w:rPr>
            </w:pPr>
          </w:p>
        </w:tc>
        <w:tc>
          <w:tcPr>
            <w:tcW w:w="1836" w:type="dxa"/>
            <w:vMerge w:val="continue"/>
            <w:vAlign w:val="center"/>
          </w:tcPr>
          <w:p>
            <w:pPr>
              <w:spacing w:line="584" w:lineRule="exact"/>
              <w:jc w:val="left"/>
              <w:outlineLvl w:val="0"/>
              <w:rPr>
                <w:rFonts w:ascii="Times New Roman" w:hAnsi="Times New Roman" w:eastAsia="仿宋_GB2312" w:cs="Times New Roman"/>
              </w:rPr>
            </w:pPr>
          </w:p>
        </w:tc>
        <w:tc>
          <w:tcPr>
            <w:tcW w:w="996" w:type="dxa"/>
            <w:vMerge w:val="continue"/>
            <w:vAlign w:val="center"/>
          </w:tcPr>
          <w:p>
            <w:pPr>
              <w:spacing w:line="584" w:lineRule="exact"/>
              <w:jc w:val="left"/>
              <w:outlineLvl w:val="0"/>
              <w:rPr>
                <w:rFonts w:ascii="Times New Roman" w:hAnsi="Times New Roman" w:eastAsia="仿宋_GB2312" w:cs="Times New Roman"/>
              </w:rPr>
            </w:pPr>
          </w:p>
        </w:tc>
        <w:tc>
          <w:tcPr>
            <w:tcW w:w="720" w:type="dxa"/>
            <w:vMerge w:val="continue"/>
            <w:vAlign w:val="center"/>
          </w:tcPr>
          <w:p>
            <w:pPr>
              <w:spacing w:line="584" w:lineRule="exact"/>
              <w:jc w:val="left"/>
              <w:outlineLvl w:val="0"/>
              <w:rPr>
                <w:rFonts w:ascii="Times New Roman" w:hAnsi="Times New Roman" w:eastAsia="仿宋_GB2312" w:cs="Times New Roman"/>
              </w:rPr>
            </w:pPr>
          </w:p>
        </w:tc>
        <w:tc>
          <w:tcPr>
            <w:tcW w:w="740" w:type="dxa"/>
            <w:vMerge w:val="continue"/>
            <w:vAlign w:val="center"/>
          </w:tcPr>
          <w:p>
            <w:pPr>
              <w:spacing w:line="584" w:lineRule="exact"/>
              <w:jc w:val="left"/>
              <w:outlineLvl w:val="0"/>
              <w:rPr>
                <w:rFonts w:ascii="Times New Roman" w:hAnsi="Times New Roman" w:eastAsia="仿宋_GB2312" w:cs="Times New Roman"/>
              </w:rPr>
            </w:pPr>
          </w:p>
        </w:tc>
        <w:tc>
          <w:tcPr>
            <w:tcW w:w="950" w:type="dxa"/>
            <w:vMerge w:val="continue"/>
            <w:vAlign w:val="center"/>
          </w:tcPr>
          <w:p>
            <w:pPr>
              <w:spacing w:line="584" w:lineRule="exact"/>
              <w:jc w:val="left"/>
              <w:outlineLvl w:val="0"/>
              <w:rPr>
                <w:rFonts w:ascii="Times New Roman" w:hAnsi="Times New Roman" w:eastAsia="仿宋_GB2312" w:cs="Times New Roman"/>
              </w:rPr>
            </w:pPr>
          </w:p>
        </w:tc>
        <w:tc>
          <w:tcPr>
            <w:tcW w:w="956" w:type="dxa"/>
            <w:vMerge w:val="continue"/>
            <w:vAlign w:val="center"/>
          </w:tcPr>
          <w:p>
            <w:pPr>
              <w:spacing w:line="584" w:lineRule="exact"/>
              <w:jc w:val="left"/>
              <w:outlineLvl w:val="0"/>
              <w:rPr>
                <w:rFonts w:ascii="Times New Roman" w:hAnsi="Times New Roman" w:eastAsia="仿宋_GB2312" w:cs="Times New Roman"/>
              </w:rPr>
            </w:pPr>
          </w:p>
        </w:tc>
        <w:tc>
          <w:tcPr>
            <w:tcW w:w="956" w:type="dxa"/>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合计</w:t>
            </w:r>
          </w:p>
        </w:tc>
        <w:tc>
          <w:tcPr>
            <w:tcW w:w="956" w:type="dxa"/>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一般公共预算拨款</w:t>
            </w:r>
          </w:p>
        </w:tc>
        <w:tc>
          <w:tcPr>
            <w:tcW w:w="790" w:type="dxa"/>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基金预算拨款</w:t>
            </w:r>
          </w:p>
        </w:tc>
        <w:tc>
          <w:tcPr>
            <w:tcW w:w="924" w:type="dxa"/>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财政专户核拨</w:t>
            </w:r>
          </w:p>
        </w:tc>
        <w:tc>
          <w:tcPr>
            <w:tcW w:w="929" w:type="dxa"/>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其他来源收入</w:t>
            </w:r>
          </w:p>
        </w:tc>
        <w:tc>
          <w:tcPr>
            <w:tcW w:w="880" w:type="dxa"/>
            <w:vMerge w:val="continue"/>
            <w:vAlign w:val="center"/>
          </w:tcPr>
          <w:p>
            <w:pPr>
              <w:spacing w:line="584" w:lineRule="exact"/>
              <w:jc w:val="left"/>
              <w:outlineLvl w:val="0"/>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579" w:type="dxa"/>
            <w:vAlign w:val="center"/>
          </w:tcPr>
          <w:p>
            <w:pPr>
              <w:spacing w:line="584" w:lineRule="exact"/>
              <w:jc w:val="center"/>
              <w:rPr>
                <w:rFonts w:ascii="仿宋_GB2312" w:hAnsi="Times New Roman" w:eastAsia="仿宋_GB2312" w:cs="Times New Roman"/>
                <w:b/>
              </w:rPr>
            </w:pPr>
            <w:r>
              <w:rPr>
                <w:rFonts w:hint="eastAsia" w:ascii="仿宋_GB2312" w:hAnsi="Times New Roman" w:eastAsia="仿宋_GB2312" w:cs="Times New Roman"/>
                <w:b/>
              </w:rPr>
              <w:t>合　计</w:t>
            </w:r>
          </w:p>
        </w:tc>
        <w:tc>
          <w:tcPr>
            <w:tcW w:w="1356" w:type="dxa"/>
            <w:vAlign w:val="center"/>
          </w:tcPr>
          <w:p>
            <w:pPr>
              <w:spacing w:line="584" w:lineRule="exact"/>
              <w:jc w:val="center"/>
              <w:rPr>
                <w:rFonts w:ascii="仿宋_GB2312" w:hAnsi="Times New Roman" w:eastAsia="仿宋_GB2312" w:cs="Times New Roman"/>
                <w:b/>
              </w:rPr>
            </w:pPr>
            <w:r>
              <w:rPr>
                <w:rFonts w:hint="eastAsia" w:ascii="仿宋_GB2312" w:hAnsi="Times New Roman" w:eastAsia="仿宋_GB2312" w:cs="Times New Roman"/>
                <w:b/>
              </w:rPr>
              <w:t>100</w:t>
            </w:r>
          </w:p>
        </w:tc>
        <w:tc>
          <w:tcPr>
            <w:tcW w:w="1836" w:type="dxa"/>
            <w:vAlign w:val="center"/>
          </w:tcPr>
          <w:p>
            <w:pPr>
              <w:spacing w:line="584" w:lineRule="exact"/>
              <w:jc w:val="center"/>
              <w:rPr>
                <w:rFonts w:ascii="仿宋_GB2312" w:hAnsi="Times New Roman" w:eastAsia="仿宋_GB2312" w:cs="Times New Roman"/>
                <w:b/>
              </w:rPr>
            </w:pPr>
          </w:p>
        </w:tc>
        <w:tc>
          <w:tcPr>
            <w:tcW w:w="996" w:type="dxa"/>
            <w:vAlign w:val="center"/>
          </w:tcPr>
          <w:p>
            <w:pPr>
              <w:spacing w:line="584" w:lineRule="exact"/>
              <w:jc w:val="center"/>
              <w:rPr>
                <w:rFonts w:ascii="仿宋_GB2312" w:hAnsi="Times New Roman" w:eastAsia="仿宋_GB2312" w:cs="Times New Roman"/>
                <w:b/>
              </w:rPr>
            </w:pPr>
          </w:p>
        </w:tc>
        <w:tc>
          <w:tcPr>
            <w:tcW w:w="720" w:type="dxa"/>
            <w:vAlign w:val="center"/>
          </w:tcPr>
          <w:p>
            <w:pPr>
              <w:spacing w:line="584" w:lineRule="exact"/>
              <w:jc w:val="center"/>
              <w:rPr>
                <w:rFonts w:ascii="仿宋_GB2312" w:hAnsi="Times New Roman" w:eastAsia="仿宋_GB2312" w:cs="Times New Roman"/>
                <w:b/>
              </w:rPr>
            </w:pPr>
          </w:p>
        </w:tc>
        <w:tc>
          <w:tcPr>
            <w:tcW w:w="740" w:type="dxa"/>
            <w:vAlign w:val="center"/>
          </w:tcPr>
          <w:p>
            <w:pPr>
              <w:spacing w:line="584" w:lineRule="exact"/>
              <w:jc w:val="center"/>
              <w:rPr>
                <w:rFonts w:ascii="仿宋_GB2312" w:hAnsi="Times New Roman" w:eastAsia="仿宋_GB2312" w:cs="Times New Roman"/>
                <w:b/>
              </w:rPr>
            </w:pPr>
          </w:p>
        </w:tc>
        <w:tc>
          <w:tcPr>
            <w:tcW w:w="950" w:type="dxa"/>
            <w:vAlign w:val="center"/>
          </w:tcPr>
          <w:p>
            <w:pPr>
              <w:spacing w:line="584" w:lineRule="exact"/>
              <w:jc w:val="center"/>
              <w:rPr>
                <w:rFonts w:ascii="仿宋_GB2312" w:hAnsi="Times New Roman" w:eastAsia="仿宋_GB2312" w:cs="Times New Roman"/>
                <w:b/>
              </w:rPr>
            </w:pPr>
          </w:p>
        </w:tc>
        <w:tc>
          <w:tcPr>
            <w:tcW w:w="956" w:type="dxa"/>
            <w:vAlign w:val="center"/>
          </w:tcPr>
          <w:p>
            <w:pPr>
              <w:spacing w:line="584" w:lineRule="exact"/>
              <w:jc w:val="center"/>
              <w:rPr>
                <w:rFonts w:ascii="仿宋_GB2312" w:hAnsi="Times New Roman" w:eastAsia="仿宋_GB2312" w:cs="Times New Roman"/>
                <w:b/>
              </w:rPr>
            </w:pPr>
          </w:p>
        </w:tc>
        <w:tc>
          <w:tcPr>
            <w:tcW w:w="956" w:type="dxa"/>
            <w:vAlign w:val="center"/>
          </w:tcPr>
          <w:p>
            <w:pPr>
              <w:spacing w:line="584" w:lineRule="exact"/>
              <w:jc w:val="center"/>
              <w:rPr>
                <w:rFonts w:ascii="仿宋_GB2312" w:hAnsi="Times New Roman" w:eastAsia="仿宋_GB2312" w:cs="Times New Roman"/>
                <w:b/>
              </w:rPr>
            </w:pPr>
            <w:r>
              <w:rPr>
                <w:rFonts w:hint="eastAsia" w:ascii="仿宋_GB2312" w:hAnsi="Times New Roman" w:eastAsia="仿宋_GB2312" w:cs="Times New Roman"/>
                <w:b/>
              </w:rPr>
              <w:t>100</w:t>
            </w:r>
          </w:p>
        </w:tc>
        <w:tc>
          <w:tcPr>
            <w:tcW w:w="956" w:type="dxa"/>
            <w:vAlign w:val="center"/>
          </w:tcPr>
          <w:p>
            <w:pPr>
              <w:spacing w:line="584" w:lineRule="exact"/>
              <w:jc w:val="center"/>
              <w:rPr>
                <w:rFonts w:ascii="仿宋_GB2312" w:hAnsi="Times New Roman" w:eastAsia="仿宋_GB2312" w:cs="Times New Roman"/>
                <w:b/>
              </w:rPr>
            </w:pPr>
            <w:r>
              <w:rPr>
                <w:rFonts w:hint="eastAsia" w:ascii="仿宋_GB2312" w:hAnsi="Times New Roman" w:eastAsia="仿宋_GB2312" w:cs="Times New Roman"/>
                <w:b/>
              </w:rPr>
              <w:t>100</w:t>
            </w:r>
          </w:p>
        </w:tc>
        <w:tc>
          <w:tcPr>
            <w:tcW w:w="790" w:type="dxa"/>
            <w:vAlign w:val="center"/>
          </w:tcPr>
          <w:p>
            <w:pPr>
              <w:spacing w:line="584" w:lineRule="exact"/>
              <w:jc w:val="center"/>
              <w:rPr>
                <w:rFonts w:ascii="仿宋_GB2312" w:hAnsi="Times New Roman" w:eastAsia="仿宋_GB2312" w:cs="Times New Roman"/>
                <w:b/>
              </w:rPr>
            </w:pPr>
          </w:p>
        </w:tc>
        <w:tc>
          <w:tcPr>
            <w:tcW w:w="924" w:type="dxa"/>
            <w:vAlign w:val="center"/>
          </w:tcPr>
          <w:p>
            <w:pPr>
              <w:spacing w:line="584" w:lineRule="exact"/>
              <w:jc w:val="center"/>
              <w:rPr>
                <w:rFonts w:ascii="仿宋_GB2312" w:hAnsi="Times New Roman" w:eastAsia="仿宋_GB2312" w:cs="Times New Roman"/>
                <w:b/>
              </w:rPr>
            </w:pPr>
          </w:p>
        </w:tc>
        <w:tc>
          <w:tcPr>
            <w:tcW w:w="929" w:type="dxa"/>
            <w:vAlign w:val="center"/>
          </w:tcPr>
          <w:p>
            <w:pPr>
              <w:spacing w:line="584" w:lineRule="exact"/>
              <w:jc w:val="center"/>
              <w:rPr>
                <w:rFonts w:ascii="仿宋_GB2312" w:hAnsi="Times New Roman" w:eastAsia="仿宋_GB2312" w:cs="Times New Roman"/>
                <w:b/>
              </w:rPr>
            </w:pPr>
          </w:p>
        </w:tc>
        <w:tc>
          <w:tcPr>
            <w:tcW w:w="880" w:type="dxa"/>
            <w:vAlign w:val="center"/>
          </w:tcPr>
          <w:p>
            <w:pPr>
              <w:spacing w:line="584" w:lineRule="exact"/>
              <w:jc w:val="center"/>
              <w:rPr>
                <w:rFonts w:ascii="仿宋_GB2312" w:hAnsi="Times New Roman" w:eastAsia="仿宋_GB2312"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579" w:type="dxa"/>
            <w:vAlign w:val="bottom"/>
          </w:tcPr>
          <w:p>
            <w:pPr>
              <w:keepNext w:val="0"/>
              <w:keepLines w:val="0"/>
              <w:widowControl/>
              <w:suppressLineNumbers w:val="0"/>
              <w:ind w:firstLine="210" w:firstLineChars="100"/>
              <w:jc w:val="left"/>
              <w:textAlignment w:val="bottom"/>
              <w:rPr>
                <w:rFonts w:hint="eastAsia" w:ascii="宋体" w:hAnsi="宋体" w:eastAsia="宋体" w:cs="宋体"/>
                <w:i w:val="0"/>
                <w:iCs w:val="0"/>
                <w:color w:val="000000"/>
                <w:kern w:val="2"/>
                <w:sz w:val="22"/>
                <w:szCs w:val="22"/>
                <w:u w:val="none"/>
                <w:lang w:val="en-US" w:eastAsia="zh-CN" w:bidi="ar-SA"/>
              </w:rPr>
            </w:pPr>
            <w:r>
              <w:rPr>
                <w:rFonts w:hint="eastAsia" w:ascii="仿宋_GB2312" w:hAnsi="Times New Roman" w:eastAsia="仿宋_GB2312" w:cs="Times New Roman"/>
                <w:lang w:val="en-US" w:eastAsia="zh-CN"/>
              </w:rPr>
              <w:t>空调机组</w:t>
            </w:r>
          </w:p>
        </w:tc>
        <w:tc>
          <w:tcPr>
            <w:tcW w:w="1356" w:type="dxa"/>
            <w:vAlign w:val="bottom"/>
          </w:tcPr>
          <w:p>
            <w:pPr>
              <w:keepNext w:val="0"/>
              <w:keepLines w:val="0"/>
              <w:widowControl/>
              <w:suppressLineNumbers w:val="0"/>
              <w:jc w:val="right"/>
              <w:textAlignment w:val="bottom"/>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70</w:t>
            </w:r>
          </w:p>
        </w:tc>
        <w:tc>
          <w:tcPr>
            <w:tcW w:w="1836" w:type="dxa"/>
            <w:vAlign w:val="center"/>
          </w:tcPr>
          <w:p>
            <w:pPr>
              <w:spacing w:line="584" w:lineRule="exact"/>
              <w:jc w:val="center"/>
              <w:rPr>
                <w:rFonts w:ascii="仿宋_GB2312" w:hAnsi="Times New Roman" w:eastAsia="仿宋_GB2312" w:cs="Times New Roman"/>
              </w:rPr>
            </w:pPr>
            <w:r>
              <w:rPr>
                <w:rFonts w:hint="eastAsia" w:ascii="仿宋_GB2312" w:hAnsi="Times New Roman" w:eastAsia="仿宋_GB2312" w:cs="Times New Roman"/>
              </w:rPr>
              <w:t>风冷模块机组采购安装项目</w:t>
            </w:r>
          </w:p>
        </w:tc>
        <w:tc>
          <w:tcPr>
            <w:tcW w:w="996" w:type="dxa"/>
            <w:vAlign w:val="center"/>
          </w:tcPr>
          <w:p>
            <w:pPr>
              <w:spacing w:line="584" w:lineRule="exact"/>
              <w:jc w:val="center"/>
              <w:rPr>
                <w:rFonts w:ascii="仿宋_GB2312" w:hAnsi="Times New Roman" w:eastAsia="仿宋_GB2312" w:cs="Times New Roman"/>
              </w:rPr>
            </w:pPr>
            <w:r>
              <w:rPr>
                <w:rFonts w:hint="eastAsia" w:ascii="仿宋_GB2312" w:hAnsi="Times New Roman" w:eastAsia="仿宋_GB2312" w:cs="Times New Roman"/>
              </w:rPr>
              <w:t>A02052305</w:t>
            </w:r>
          </w:p>
        </w:tc>
        <w:tc>
          <w:tcPr>
            <w:tcW w:w="720" w:type="dxa"/>
            <w:vAlign w:val="center"/>
          </w:tcPr>
          <w:p>
            <w:pPr>
              <w:spacing w:line="584" w:lineRule="exact"/>
              <w:jc w:val="center"/>
              <w:rPr>
                <w:rFonts w:ascii="仿宋_GB2312" w:hAnsi="Times New Roman" w:eastAsia="仿宋_GB2312" w:cs="Times New Roman"/>
              </w:rPr>
            </w:pPr>
            <w:r>
              <w:rPr>
                <w:rFonts w:hint="eastAsia" w:ascii="仿宋_GB2312" w:hAnsi="Times New Roman" w:eastAsia="仿宋_GB2312" w:cs="Times New Roman"/>
              </w:rPr>
              <w:t>套</w:t>
            </w:r>
          </w:p>
        </w:tc>
        <w:tc>
          <w:tcPr>
            <w:tcW w:w="740" w:type="dxa"/>
            <w:vAlign w:val="center"/>
          </w:tcPr>
          <w:p>
            <w:pPr>
              <w:spacing w:line="584" w:lineRule="exact"/>
              <w:jc w:val="center"/>
              <w:rPr>
                <w:rFonts w:ascii="仿宋_GB2312" w:hAnsi="Times New Roman" w:eastAsia="仿宋_GB2312" w:cs="Times New Roman"/>
              </w:rPr>
            </w:pPr>
            <w:r>
              <w:rPr>
                <w:rFonts w:hint="eastAsia" w:ascii="仿宋_GB2312" w:hAnsi="Times New Roman" w:eastAsia="仿宋_GB2312" w:cs="Times New Roman"/>
              </w:rPr>
              <w:t>1</w:t>
            </w:r>
          </w:p>
        </w:tc>
        <w:tc>
          <w:tcPr>
            <w:tcW w:w="950" w:type="dxa"/>
            <w:vAlign w:val="center"/>
          </w:tcPr>
          <w:p>
            <w:pPr>
              <w:spacing w:line="584" w:lineRule="exact"/>
              <w:jc w:val="center"/>
              <w:rPr>
                <w:rFonts w:ascii="仿宋_GB2312" w:hAnsi="Times New Roman" w:eastAsia="仿宋_GB2312" w:cs="Times New Roman"/>
              </w:rPr>
            </w:pPr>
            <w:r>
              <w:rPr>
                <w:rFonts w:hint="eastAsia" w:ascii="仿宋_GB2312" w:hAnsi="Times New Roman" w:eastAsia="仿宋_GB2312" w:cs="Times New Roman"/>
              </w:rPr>
              <w:t>70</w:t>
            </w:r>
          </w:p>
        </w:tc>
        <w:tc>
          <w:tcPr>
            <w:tcW w:w="956" w:type="dxa"/>
            <w:vAlign w:val="center"/>
          </w:tcPr>
          <w:p>
            <w:pPr>
              <w:spacing w:line="584" w:lineRule="exact"/>
              <w:jc w:val="center"/>
              <w:rPr>
                <w:rFonts w:hint="default" w:ascii="仿宋_GB2312" w:hAnsi="Times New Roman" w:eastAsia="仿宋_GB2312" w:cs="Times New Roman"/>
                <w:lang w:val="en-US" w:eastAsia="zh-CN"/>
              </w:rPr>
            </w:pPr>
            <w:r>
              <w:rPr>
                <w:rFonts w:hint="eastAsia" w:ascii="仿宋_GB2312" w:hAnsi="Times New Roman" w:eastAsia="仿宋_GB2312" w:cs="Times New Roman"/>
                <w:lang w:val="en-US" w:eastAsia="zh-CN"/>
              </w:rPr>
              <w:t>70</w:t>
            </w:r>
          </w:p>
        </w:tc>
        <w:tc>
          <w:tcPr>
            <w:tcW w:w="956" w:type="dxa"/>
            <w:vAlign w:val="center"/>
          </w:tcPr>
          <w:p>
            <w:pPr>
              <w:spacing w:line="584" w:lineRule="exact"/>
              <w:jc w:val="center"/>
              <w:rPr>
                <w:rFonts w:hint="default" w:ascii="仿宋_GB2312" w:hAnsi="Times New Roman" w:eastAsia="仿宋_GB2312" w:cs="Times New Roman"/>
                <w:lang w:val="en-US" w:eastAsia="zh-CN"/>
              </w:rPr>
            </w:pPr>
            <w:r>
              <w:rPr>
                <w:rFonts w:hint="eastAsia" w:ascii="仿宋_GB2312" w:hAnsi="Times New Roman" w:eastAsia="仿宋_GB2312" w:cs="Times New Roman"/>
                <w:lang w:val="en-US" w:eastAsia="zh-CN"/>
              </w:rPr>
              <w:t>70</w:t>
            </w:r>
          </w:p>
        </w:tc>
        <w:tc>
          <w:tcPr>
            <w:tcW w:w="956" w:type="dxa"/>
            <w:vAlign w:val="center"/>
          </w:tcPr>
          <w:p>
            <w:pPr>
              <w:spacing w:line="584" w:lineRule="exact"/>
              <w:jc w:val="center"/>
              <w:rPr>
                <w:rFonts w:hint="default" w:ascii="仿宋_GB2312" w:hAnsi="Times New Roman" w:eastAsia="仿宋_GB2312" w:cs="Times New Roman"/>
                <w:lang w:val="en-US" w:eastAsia="zh-CN"/>
              </w:rPr>
            </w:pPr>
            <w:r>
              <w:rPr>
                <w:rFonts w:hint="eastAsia" w:ascii="仿宋_GB2312" w:hAnsi="Times New Roman" w:eastAsia="仿宋_GB2312" w:cs="Times New Roman"/>
                <w:lang w:val="en-US" w:eastAsia="zh-CN"/>
              </w:rPr>
              <w:t>70</w:t>
            </w:r>
          </w:p>
        </w:tc>
        <w:tc>
          <w:tcPr>
            <w:tcW w:w="790" w:type="dxa"/>
            <w:vAlign w:val="center"/>
          </w:tcPr>
          <w:p>
            <w:pPr>
              <w:spacing w:line="584" w:lineRule="exact"/>
              <w:jc w:val="center"/>
              <w:rPr>
                <w:rFonts w:ascii="仿宋_GB2312" w:hAnsi="Times New Roman" w:eastAsia="仿宋_GB2312" w:cs="Times New Roman"/>
              </w:rPr>
            </w:pPr>
          </w:p>
        </w:tc>
        <w:tc>
          <w:tcPr>
            <w:tcW w:w="924" w:type="dxa"/>
            <w:vAlign w:val="center"/>
          </w:tcPr>
          <w:p>
            <w:pPr>
              <w:spacing w:line="584" w:lineRule="exact"/>
              <w:jc w:val="center"/>
              <w:rPr>
                <w:rFonts w:ascii="仿宋_GB2312" w:hAnsi="Times New Roman" w:eastAsia="仿宋_GB2312" w:cs="Times New Roman"/>
              </w:rPr>
            </w:pPr>
          </w:p>
        </w:tc>
        <w:tc>
          <w:tcPr>
            <w:tcW w:w="929" w:type="dxa"/>
            <w:vAlign w:val="center"/>
          </w:tcPr>
          <w:p>
            <w:pPr>
              <w:spacing w:line="584" w:lineRule="exact"/>
              <w:jc w:val="center"/>
              <w:rPr>
                <w:rFonts w:ascii="仿宋_GB2312" w:hAnsi="Times New Roman" w:eastAsia="仿宋_GB2312" w:cs="Times New Roman"/>
              </w:rPr>
            </w:pPr>
          </w:p>
        </w:tc>
        <w:tc>
          <w:tcPr>
            <w:tcW w:w="880" w:type="dxa"/>
            <w:vAlign w:val="center"/>
          </w:tcPr>
          <w:p>
            <w:pPr>
              <w:spacing w:line="584" w:lineRule="exact"/>
              <w:jc w:val="center"/>
              <w:rPr>
                <w:rFonts w:ascii="仿宋_GB2312"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579" w:type="dxa"/>
            <w:vAlign w:val="center"/>
          </w:tcPr>
          <w:p>
            <w:pPr>
              <w:spacing w:line="584" w:lineRule="exact"/>
              <w:jc w:val="center"/>
              <w:rPr>
                <w:rFonts w:ascii="仿宋_GB2312" w:hAnsi="Times New Roman" w:eastAsia="仿宋_GB2312" w:cs="Times New Roman"/>
                <w:bCs/>
              </w:rPr>
            </w:pPr>
            <w:r>
              <w:rPr>
                <w:rFonts w:hint="eastAsia" w:ascii="仿宋_GB2312" w:hAnsi="Times New Roman" w:eastAsia="仿宋_GB2312" w:cs="Times New Roman"/>
                <w:bCs/>
              </w:rPr>
              <w:t>基础电信服务</w:t>
            </w:r>
          </w:p>
        </w:tc>
        <w:tc>
          <w:tcPr>
            <w:tcW w:w="1356" w:type="dxa"/>
            <w:vAlign w:val="bottom"/>
          </w:tcPr>
          <w:p>
            <w:pPr>
              <w:keepNext w:val="0"/>
              <w:keepLines w:val="0"/>
              <w:widowControl/>
              <w:suppressLineNumbers w:val="0"/>
              <w:jc w:val="right"/>
              <w:textAlignment w:val="bottom"/>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w:t>
            </w:r>
          </w:p>
        </w:tc>
        <w:tc>
          <w:tcPr>
            <w:tcW w:w="1836" w:type="dxa"/>
            <w:vAlign w:val="center"/>
          </w:tcPr>
          <w:p>
            <w:pPr>
              <w:spacing w:line="584" w:lineRule="exact"/>
              <w:jc w:val="center"/>
              <w:rPr>
                <w:rFonts w:ascii="仿宋_GB2312" w:hAnsi="Times New Roman" w:eastAsia="仿宋_GB2312" w:cs="Times New Roman"/>
              </w:rPr>
            </w:pPr>
            <w:r>
              <w:rPr>
                <w:rFonts w:hint="eastAsia" w:ascii="仿宋_GB2312" w:hAnsi="Times New Roman" w:eastAsia="仿宋_GB2312" w:cs="Times New Roman"/>
              </w:rPr>
              <w:t>智能办公系统服务采购项目</w:t>
            </w:r>
          </w:p>
        </w:tc>
        <w:tc>
          <w:tcPr>
            <w:tcW w:w="996" w:type="dxa"/>
            <w:vAlign w:val="center"/>
          </w:tcPr>
          <w:p>
            <w:pPr>
              <w:spacing w:line="584" w:lineRule="exact"/>
              <w:jc w:val="center"/>
              <w:rPr>
                <w:rFonts w:ascii="仿宋_GB2312" w:hAnsi="Times New Roman" w:eastAsia="仿宋_GB2312" w:cs="Times New Roman"/>
              </w:rPr>
            </w:pPr>
            <w:r>
              <w:rPr>
                <w:rFonts w:hint="eastAsia" w:ascii="仿宋_GB2312" w:hAnsi="Times New Roman" w:eastAsia="仿宋_GB2312" w:cs="Times New Roman"/>
              </w:rPr>
              <w:t>C030101</w:t>
            </w:r>
          </w:p>
        </w:tc>
        <w:tc>
          <w:tcPr>
            <w:tcW w:w="720" w:type="dxa"/>
            <w:vAlign w:val="center"/>
          </w:tcPr>
          <w:p>
            <w:pPr>
              <w:spacing w:line="584" w:lineRule="exact"/>
              <w:jc w:val="center"/>
              <w:rPr>
                <w:rFonts w:ascii="仿宋_GB2312" w:hAnsi="Times New Roman" w:eastAsia="仿宋_GB2312" w:cs="Times New Roman"/>
              </w:rPr>
            </w:pPr>
          </w:p>
        </w:tc>
        <w:tc>
          <w:tcPr>
            <w:tcW w:w="740" w:type="dxa"/>
            <w:vAlign w:val="center"/>
          </w:tcPr>
          <w:p>
            <w:pPr>
              <w:spacing w:line="584" w:lineRule="exact"/>
              <w:jc w:val="center"/>
              <w:rPr>
                <w:rFonts w:hint="eastAsia" w:ascii="仿宋_GB2312" w:hAnsi="Times New Roman" w:eastAsia="仿宋_GB2312" w:cs="Times New Roman"/>
                <w:lang w:val="en-US" w:eastAsia="zh-CN"/>
              </w:rPr>
            </w:pPr>
            <w:r>
              <w:rPr>
                <w:rFonts w:hint="eastAsia" w:ascii="仿宋_GB2312" w:hAnsi="Times New Roman" w:eastAsia="仿宋_GB2312" w:cs="Times New Roman"/>
                <w:lang w:val="en-US" w:eastAsia="zh-CN"/>
              </w:rPr>
              <w:t>1</w:t>
            </w:r>
          </w:p>
        </w:tc>
        <w:tc>
          <w:tcPr>
            <w:tcW w:w="950" w:type="dxa"/>
            <w:vAlign w:val="center"/>
          </w:tcPr>
          <w:p>
            <w:pPr>
              <w:spacing w:line="584" w:lineRule="exact"/>
              <w:jc w:val="center"/>
              <w:rPr>
                <w:rFonts w:hint="default" w:ascii="仿宋_GB2312" w:hAnsi="Times New Roman" w:eastAsia="仿宋_GB2312" w:cs="Times New Roman"/>
                <w:lang w:val="en-US" w:eastAsia="zh-CN"/>
              </w:rPr>
            </w:pPr>
            <w:r>
              <w:rPr>
                <w:rFonts w:hint="eastAsia" w:ascii="仿宋_GB2312" w:hAnsi="Times New Roman" w:eastAsia="仿宋_GB2312" w:cs="Times New Roman"/>
                <w:lang w:val="en-US" w:eastAsia="zh-CN"/>
              </w:rPr>
              <w:t>30</w:t>
            </w:r>
          </w:p>
        </w:tc>
        <w:tc>
          <w:tcPr>
            <w:tcW w:w="956" w:type="dxa"/>
            <w:vAlign w:val="center"/>
          </w:tcPr>
          <w:p>
            <w:pPr>
              <w:spacing w:line="584" w:lineRule="exact"/>
              <w:jc w:val="both"/>
              <w:rPr>
                <w:rFonts w:hint="default" w:ascii="仿宋_GB2312" w:hAnsi="Times New Roman" w:eastAsia="仿宋_GB2312" w:cs="Times New Roman"/>
                <w:lang w:val="en-US" w:eastAsia="zh-CN"/>
              </w:rPr>
            </w:pPr>
            <w:r>
              <w:rPr>
                <w:rFonts w:hint="eastAsia" w:ascii="仿宋_GB2312" w:hAnsi="Times New Roman" w:eastAsia="仿宋_GB2312" w:cs="Times New Roman"/>
                <w:lang w:val="en-US" w:eastAsia="zh-CN"/>
              </w:rPr>
              <w:t>30</w:t>
            </w:r>
          </w:p>
        </w:tc>
        <w:tc>
          <w:tcPr>
            <w:tcW w:w="956" w:type="dxa"/>
            <w:vAlign w:val="center"/>
          </w:tcPr>
          <w:p>
            <w:pPr>
              <w:spacing w:line="584" w:lineRule="exact"/>
              <w:jc w:val="center"/>
              <w:rPr>
                <w:rFonts w:hint="default" w:ascii="仿宋_GB2312" w:hAnsi="Times New Roman" w:eastAsia="仿宋_GB2312" w:cs="Times New Roman"/>
                <w:lang w:val="en-US" w:eastAsia="zh-CN"/>
              </w:rPr>
            </w:pPr>
            <w:r>
              <w:rPr>
                <w:rFonts w:hint="eastAsia" w:ascii="仿宋_GB2312" w:hAnsi="Times New Roman" w:eastAsia="仿宋_GB2312" w:cs="Times New Roman"/>
                <w:lang w:val="en-US" w:eastAsia="zh-CN"/>
              </w:rPr>
              <w:t>30</w:t>
            </w:r>
          </w:p>
        </w:tc>
        <w:tc>
          <w:tcPr>
            <w:tcW w:w="956" w:type="dxa"/>
            <w:vAlign w:val="center"/>
          </w:tcPr>
          <w:p>
            <w:pPr>
              <w:spacing w:line="584" w:lineRule="exact"/>
              <w:jc w:val="center"/>
              <w:rPr>
                <w:rFonts w:hint="default" w:ascii="仿宋_GB2312" w:hAnsi="Times New Roman" w:eastAsia="仿宋_GB2312" w:cs="Times New Roman"/>
                <w:lang w:val="en-US" w:eastAsia="zh-CN"/>
              </w:rPr>
            </w:pPr>
            <w:r>
              <w:rPr>
                <w:rFonts w:hint="eastAsia" w:ascii="仿宋_GB2312" w:hAnsi="Times New Roman" w:eastAsia="仿宋_GB2312" w:cs="Times New Roman"/>
                <w:lang w:val="en-US" w:eastAsia="zh-CN"/>
              </w:rPr>
              <w:t>30</w:t>
            </w:r>
          </w:p>
        </w:tc>
        <w:tc>
          <w:tcPr>
            <w:tcW w:w="790" w:type="dxa"/>
            <w:vAlign w:val="center"/>
          </w:tcPr>
          <w:p>
            <w:pPr>
              <w:spacing w:line="584" w:lineRule="exact"/>
              <w:jc w:val="center"/>
              <w:rPr>
                <w:rFonts w:ascii="仿宋_GB2312" w:hAnsi="Times New Roman" w:eastAsia="仿宋_GB2312" w:cs="Times New Roman"/>
              </w:rPr>
            </w:pPr>
          </w:p>
        </w:tc>
        <w:tc>
          <w:tcPr>
            <w:tcW w:w="924" w:type="dxa"/>
            <w:vAlign w:val="center"/>
          </w:tcPr>
          <w:p>
            <w:pPr>
              <w:spacing w:line="584" w:lineRule="exact"/>
              <w:jc w:val="center"/>
              <w:rPr>
                <w:rFonts w:ascii="仿宋_GB2312" w:hAnsi="Times New Roman" w:eastAsia="仿宋_GB2312" w:cs="Times New Roman"/>
              </w:rPr>
            </w:pPr>
          </w:p>
        </w:tc>
        <w:tc>
          <w:tcPr>
            <w:tcW w:w="929" w:type="dxa"/>
            <w:vAlign w:val="center"/>
          </w:tcPr>
          <w:p>
            <w:pPr>
              <w:spacing w:line="584" w:lineRule="exact"/>
              <w:jc w:val="center"/>
              <w:rPr>
                <w:rFonts w:ascii="仿宋_GB2312" w:hAnsi="Times New Roman" w:eastAsia="仿宋_GB2312" w:cs="Times New Roman"/>
              </w:rPr>
            </w:pPr>
          </w:p>
        </w:tc>
        <w:tc>
          <w:tcPr>
            <w:tcW w:w="880" w:type="dxa"/>
            <w:vAlign w:val="center"/>
          </w:tcPr>
          <w:p>
            <w:pPr>
              <w:spacing w:line="584" w:lineRule="exact"/>
              <w:jc w:val="center"/>
              <w:rPr>
                <w:rFonts w:ascii="仿宋_GB2312" w:hAnsi="Times New Roman" w:eastAsia="仿宋_GB2312" w:cs="Times New Roman"/>
              </w:rPr>
            </w:pPr>
          </w:p>
        </w:tc>
      </w:tr>
    </w:tbl>
    <w:p>
      <w:pPr>
        <w:spacing w:line="584" w:lineRule="exact"/>
        <w:jc w:val="left"/>
        <w:outlineLvl w:val="0"/>
        <w:rPr>
          <w:rFonts w:ascii="Times New Roman" w:hAnsi="Times New Roman" w:eastAsia="仿宋_GB2312" w:cs="Times New Roman"/>
        </w:rPr>
        <w:sectPr>
          <w:pgSz w:w="16839" w:h="11907" w:orient="landscape"/>
          <w:pgMar w:top="1361" w:right="1020" w:bottom="1361" w:left="1020" w:header="851" w:footer="992" w:gutter="0"/>
          <w:cols w:space="720" w:num="1"/>
          <w:docGrid w:type="lines" w:linePitch="312" w:charSpace="0"/>
        </w:sect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rPr>
        <w:t>广阳区人民检察院</w:t>
      </w:r>
      <w:r>
        <w:rPr>
          <w:rFonts w:ascii="Times New Roman" w:hAnsi="Times New Roman" w:eastAsia="仿宋_GB2312" w:cs="Times New Roman"/>
          <w:sz w:val="32"/>
          <w:szCs w:val="32"/>
        </w:rPr>
        <w:t>上年末固定资产金额为</w:t>
      </w:r>
      <w:r>
        <w:rPr>
          <w:rFonts w:hint="eastAsia" w:ascii="Times New Roman" w:hAnsi="Times New Roman" w:eastAsia="仿宋_GB2312" w:cs="Times New Roman"/>
          <w:sz w:val="32"/>
          <w:szCs w:val="32"/>
        </w:rPr>
        <w:t>1941.04</w:t>
      </w:r>
      <w:r>
        <w:rPr>
          <w:rFonts w:ascii="Times New Roman" w:hAnsi="Times New Roman" w:eastAsia="仿宋_GB2312" w:cs="Times New Roman"/>
          <w:sz w:val="32"/>
          <w:szCs w:val="32"/>
        </w:rPr>
        <w:t>万元，本年度我部门拟购置固定资产主要为计算机设备、打印设备、空调、办公家具等，已列入政府采购预算。详见下表。</w:t>
      </w:r>
    </w:p>
    <w:p>
      <w:pPr>
        <w:spacing w:line="584" w:lineRule="exact"/>
        <w:ind w:firstLine="640"/>
        <w:rPr>
          <w:rFonts w:ascii="Times New Roman" w:hAnsi="Times New Roman" w:eastAsia="仿宋_GB2312" w:cs="Times New Roman"/>
          <w:sz w:val="32"/>
          <w:szCs w:val="32"/>
        </w:rPr>
      </w:pPr>
    </w:p>
    <w:tbl>
      <w:tblPr>
        <w:tblStyle w:val="8"/>
        <w:tblW w:w="13482" w:type="dxa"/>
        <w:tblInd w:w="93" w:type="dxa"/>
        <w:tblLayout w:type="fixed"/>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vAlign w:val="center"/>
          </w:tcPr>
          <w:p>
            <w:pPr>
              <w:widowControl/>
              <w:spacing w:line="584"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廊坊市区直部门固定资产占用情况表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编制部门：廊坊市</w:t>
            </w:r>
            <w:r>
              <w:rPr>
                <w:rFonts w:hint="eastAsia" w:ascii="Times New Roman" w:hAnsi="Times New Roman" w:eastAsia="仿宋_GB2312" w:cs="Times New Roman"/>
                <w:kern w:val="0"/>
                <w:sz w:val="22"/>
              </w:rPr>
              <w:t>广阳区人民检察院</w:t>
            </w:r>
          </w:p>
        </w:tc>
        <w:tc>
          <w:tcPr>
            <w:tcW w:w="5103" w:type="dxa"/>
            <w:tcBorders>
              <w:top w:val="nil"/>
              <w:left w:val="nil"/>
              <w:bottom w:val="nil"/>
              <w:right w:val="nil"/>
            </w:tcBorders>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截止时间：201</w:t>
            </w:r>
            <w:r>
              <w:rPr>
                <w:rFonts w:hint="eastAsia" w:ascii="Times New Roman" w:hAnsi="Times New Roman" w:eastAsia="仿宋_GB2312" w:cs="Times New Roman"/>
                <w:kern w:val="0"/>
                <w:sz w:val="22"/>
              </w:rPr>
              <w:t>8</w:t>
            </w:r>
            <w:r>
              <w:rPr>
                <w:rFonts w:ascii="Times New Roman" w:hAnsi="Times New Roman" w:eastAsia="仿宋_GB2312" w:cs="Times New Roman"/>
                <w:kern w:val="0"/>
                <w:sz w:val="22"/>
              </w:rPr>
              <w:t>年12月31日</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项目</w:t>
            </w:r>
          </w:p>
        </w:tc>
        <w:tc>
          <w:tcPr>
            <w:tcW w:w="3155" w:type="dxa"/>
            <w:tcBorders>
              <w:top w:val="single" w:color="auto" w:sz="4" w:space="0"/>
              <w:left w:val="nil"/>
              <w:bottom w:val="single" w:color="auto" w:sz="4" w:space="0"/>
              <w:right w:val="single" w:color="auto" w:sz="4" w:space="0"/>
            </w:tcBorders>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vAlign w:val="center"/>
          </w:tcPr>
          <w:p>
            <w:pPr>
              <w:widowControl/>
              <w:spacing w:line="584" w:lineRule="exact"/>
              <w:jc w:val="center"/>
              <w:rPr>
                <w:rFonts w:ascii="仿宋_GB2312" w:hAnsi="Times New Roman" w:eastAsia="仿宋_GB2312" w:cs="Times New Roman"/>
                <w:kern w:val="0"/>
                <w:sz w:val="22"/>
              </w:rPr>
            </w:pPr>
            <w:r>
              <w:rPr>
                <w:rFonts w:hint="eastAsia" w:ascii="仿宋_GB2312"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vAlign w:val="center"/>
          </w:tcPr>
          <w:p>
            <w:pPr>
              <w:spacing w:line="584" w:lineRule="exact"/>
              <w:jc w:val="center"/>
              <w:rPr>
                <w:rFonts w:ascii="仿宋_GB2312" w:hAnsi="Times New Roman" w:eastAsia="仿宋_GB2312" w:cs="Times New Roman"/>
                <w:sz w:val="22"/>
              </w:rPr>
            </w:pPr>
            <w:r>
              <w:rPr>
                <w:rFonts w:hint="eastAsia" w:ascii="仿宋_GB2312" w:hAnsi="Times New Roman" w:eastAsia="仿宋_GB2312" w:cs="Times New Roman"/>
                <w:sz w:val="22"/>
              </w:rPr>
              <w:t>——</w:t>
            </w:r>
          </w:p>
        </w:tc>
        <w:tc>
          <w:tcPr>
            <w:tcW w:w="5103" w:type="dxa"/>
            <w:tcBorders>
              <w:top w:val="nil"/>
              <w:left w:val="nil"/>
              <w:bottom w:val="single" w:color="auto" w:sz="4" w:space="0"/>
              <w:right w:val="single" w:color="auto" w:sz="4" w:space="0"/>
            </w:tcBorders>
            <w:vAlign w:val="center"/>
          </w:tcPr>
          <w:p>
            <w:pPr>
              <w:spacing w:line="584" w:lineRule="exact"/>
              <w:jc w:val="center"/>
              <w:rPr>
                <w:rFonts w:ascii="仿宋_GB2312" w:hAnsi="Times New Roman" w:eastAsia="仿宋_GB2312" w:cs="Times New Roman"/>
                <w:sz w:val="22"/>
              </w:rPr>
            </w:pPr>
            <w:r>
              <w:rPr>
                <w:rFonts w:hint="eastAsia" w:ascii="仿宋_GB2312" w:hAnsi="Times New Roman" w:eastAsia="仿宋_GB2312" w:cs="Times New Roman"/>
                <w:sz w:val="22"/>
              </w:rPr>
              <w:t>1941.04</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vAlign w:val="center"/>
          </w:tcPr>
          <w:p>
            <w:pPr>
              <w:widowControl/>
              <w:spacing w:line="584" w:lineRule="exact"/>
              <w:jc w:val="left"/>
              <w:rPr>
                <w:rFonts w:ascii="仿宋_GB2312" w:hAnsi="Times New Roman" w:eastAsia="仿宋_GB2312" w:cs="Times New Roman"/>
                <w:kern w:val="0"/>
                <w:sz w:val="22"/>
              </w:rPr>
            </w:pPr>
            <w:r>
              <w:rPr>
                <w:rFonts w:hint="eastAsia" w:ascii="仿宋_GB2312"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vAlign w:val="center"/>
          </w:tcPr>
          <w:p>
            <w:pPr>
              <w:spacing w:line="584" w:lineRule="exact"/>
              <w:jc w:val="center"/>
              <w:rPr>
                <w:rFonts w:ascii="仿宋_GB2312" w:hAnsi="Times New Roman" w:eastAsia="仿宋_GB2312" w:cs="Times New Roman"/>
                <w:sz w:val="22"/>
              </w:rPr>
            </w:pPr>
            <w:r>
              <w:rPr>
                <w:rFonts w:hint="eastAsia" w:ascii="仿宋_GB2312" w:hAnsi="Times New Roman" w:eastAsia="仿宋_GB2312" w:cs="Times New Roman"/>
                <w:sz w:val="22"/>
              </w:rPr>
              <w:t>1926</w:t>
            </w:r>
          </w:p>
        </w:tc>
        <w:tc>
          <w:tcPr>
            <w:tcW w:w="5103" w:type="dxa"/>
            <w:tcBorders>
              <w:top w:val="nil"/>
              <w:left w:val="nil"/>
              <w:bottom w:val="single" w:color="auto" w:sz="4" w:space="0"/>
              <w:right w:val="single" w:color="auto" w:sz="4" w:space="0"/>
            </w:tcBorders>
            <w:vAlign w:val="center"/>
          </w:tcPr>
          <w:p>
            <w:pPr>
              <w:spacing w:line="584" w:lineRule="exact"/>
              <w:jc w:val="center"/>
              <w:rPr>
                <w:rFonts w:ascii="仿宋_GB2312" w:hAnsi="Times New Roman" w:eastAsia="仿宋_GB2312" w:cs="Times New Roman"/>
                <w:sz w:val="22"/>
              </w:rPr>
            </w:pPr>
            <w:r>
              <w:rPr>
                <w:rFonts w:hint="eastAsia" w:ascii="仿宋_GB2312" w:hAnsi="Times New Roman" w:eastAsia="仿宋_GB2312" w:cs="Times New Roman"/>
                <w:sz w:val="22"/>
              </w:rPr>
              <w:t>66</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vAlign w:val="center"/>
          </w:tcPr>
          <w:p>
            <w:pPr>
              <w:widowControl/>
              <w:spacing w:line="584" w:lineRule="exact"/>
              <w:jc w:val="left"/>
              <w:rPr>
                <w:rFonts w:ascii="仿宋_GB2312" w:hAnsi="Times New Roman" w:eastAsia="仿宋_GB2312" w:cs="Times New Roman"/>
                <w:kern w:val="0"/>
                <w:sz w:val="22"/>
              </w:rPr>
            </w:pPr>
            <w:r>
              <w:rPr>
                <w:rFonts w:hint="eastAsia" w:ascii="仿宋_GB2312"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vAlign w:val="center"/>
          </w:tcPr>
          <w:p>
            <w:pPr>
              <w:spacing w:line="584" w:lineRule="exact"/>
              <w:jc w:val="center"/>
              <w:rPr>
                <w:rFonts w:ascii="仿宋_GB2312" w:hAnsi="Times New Roman" w:eastAsia="仿宋_GB2312" w:cs="Times New Roman"/>
                <w:sz w:val="22"/>
              </w:rPr>
            </w:pPr>
            <w:r>
              <w:rPr>
                <w:rFonts w:hint="eastAsia" w:ascii="仿宋_GB2312" w:hAnsi="Times New Roman" w:eastAsia="仿宋_GB2312" w:cs="Times New Roman"/>
                <w:sz w:val="22"/>
              </w:rPr>
              <w:t>1926</w:t>
            </w:r>
          </w:p>
        </w:tc>
        <w:tc>
          <w:tcPr>
            <w:tcW w:w="5103" w:type="dxa"/>
            <w:tcBorders>
              <w:top w:val="nil"/>
              <w:left w:val="nil"/>
              <w:bottom w:val="single" w:color="auto" w:sz="4" w:space="0"/>
              <w:right w:val="single" w:color="auto" w:sz="4" w:space="0"/>
            </w:tcBorders>
            <w:vAlign w:val="center"/>
          </w:tcPr>
          <w:p>
            <w:pPr>
              <w:spacing w:line="584" w:lineRule="exact"/>
              <w:jc w:val="center"/>
              <w:rPr>
                <w:rFonts w:ascii="仿宋_GB2312" w:hAnsi="Times New Roman" w:eastAsia="仿宋_GB2312" w:cs="Times New Roman"/>
                <w:sz w:val="22"/>
              </w:rPr>
            </w:pPr>
            <w:r>
              <w:rPr>
                <w:rFonts w:hint="eastAsia" w:ascii="仿宋_GB2312" w:hAnsi="Times New Roman" w:eastAsia="仿宋_GB2312" w:cs="Times New Roman"/>
                <w:sz w:val="22"/>
              </w:rPr>
              <w:t>66</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vAlign w:val="center"/>
          </w:tcPr>
          <w:p>
            <w:pPr>
              <w:widowControl/>
              <w:spacing w:line="584" w:lineRule="exact"/>
              <w:jc w:val="left"/>
              <w:rPr>
                <w:rFonts w:ascii="仿宋_GB2312" w:hAnsi="Times New Roman" w:eastAsia="仿宋_GB2312" w:cs="Times New Roman"/>
                <w:kern w:val="0"/>
                <w:sz w:val="22"/>
              </w:rPr>
            </w:pPr>
            <w:r>
              <w:rPr>
                <w:rFonts w:hint="eastAsia" w:ascii="仿宋_GB2312"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vAlign w:val="center"/>
          </w:tcPr>
          <w:p>
            <w:pPr>
              <w:spacing w:line="584" w:lineRule="exact"/>
              <w:jc w:val="center"/>
              <w:rPr>
                <w:rFonts w:ascii="仿宋_GB2312" w:hAnsi="Times New Roman" w:eastAsia="仿宋_GB2312" w:cs="Times New Roman"/>
                <w:sz w:val="22"/>
              </w:rPr>
            </w:pPr>
            <w:r>
              <w:rPr>
                <w:rFonts w:hint="eastAsia" w:ascii="仿宋_GB2312" w:hAnsi="Times New Roman" w:eastAsia="仿宋_GB2312" w:cs="Times New Roman"/>
                <w:sz w:val="22"/>
              </w:rPr>
              <w:t>17</w:t>
            </w:r>
          </w:p>
        </w:tc>
        <w:tc>
          <w:tcPr>
            <w:tcW w:w="5103" w:type="dxa"/>
            <w:tcBorders>
              <w:top w:val="nil"/>
              <w:left w:val="nil"/>
              <w:bottom w:val="single" w:color="auto" w:sz="4" w:space="0"/>
              <w:right w:val="single" w:color="auto" w:sz="4" w:space="0"/>
            </w:tcBorders>
            <w:vAlign w:val="center"/>
          </w:tcPr>
          <w:p>
            <w:pPr>
              <w:spacing w:line="584" w:lineRule="exact"/>
              <w:jc w:val="center"/>
              <w:rPr>
                <w:rFonts w:ascii="仿宋_GB2312" w:hAnsi="Times New Roman" w:eastAsia="仿宋_GB2312" w:cs="Times New Roman"/>
                <w:sz w:val="22"/>
              </w:rPr>
            </w:pPr>
            <w:r>
              <w:rPr>
                <w:rFonts w:hint="eastAsia" w:ascii="仿宋_GB2312" w:hAnsi="Times New Roman" w:eastAsia="仿宋_GB2312" w:cs="Times New Roman"/>
                <w:sz w:val="22"/>
              </w:rPr>
              <w:t>260.79</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vAlign w:val="center"/>
          </w:tcPr>
          <w:p>
            <w:pPr>
              <w:widowControl/>
              <w:spacing w:line="584" w:lineRule="exact"/>
              <w:jc w:val="left"/>
              <w:rPr>
                <w:rFonts w:ascii="仿宋_GB2312" w:hAnsi="Times New Roman" w:eastAsia="仿宋_GB2312" w:cs="Times New Roman"/>
                <w:kern w:val="0"/>
                <w:sz w:val="22"/>
              </w:rPr>
            </w:pPr>
            <w:r>
              <w:rPr>
                <w:rFonts w:hint="eastAsia" w:ascii="仿宋_GB2312"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vAlign w:val="center"/>
          </w:tcPr>
          <w:p>
            <w:pPr>
              <w:spacing w:line="584" w:lineRule="exact"/>
              <w:jc w:val="center"/>
              <w:rPr>
                <w:rFonts w:ascii="仿宋_GB2312" w:hAnsi="Times New Roman" w:eastAsia="仿宋_GB2312" w:cs="Times New Roman"/>
                <w:sz w:val="22"/>
              </w:rPr>
            </w:pPr>
            <w:r>
              <w:rPr>
                <w:rFonts w:hint="eastAsia" w:ascii="仿宋_GB2312" w:hAnsi="Times New Roman" w:eastAsia="仿宋_GB2312" w:cs="Times New Roman"/>
                <w:sz w:val="22"/>
              </w:rPr>
              <w:t>3</w:t>
            </w:r>
          </w:p>
        </w:tc>
        <w:tc>
          <w:tcPr>
            <w:tcW w:w="5103" w:type="dxa"/>
            <w:tcBorders>
              <w:top w:val="nil"/>
              <w:left w:val="nil"/>
              <w:bottom w:val="single" w:color="auto" w:sz="4" w:space="0"/>
              <w:right w:val="single" w:color="auto" w:sz="4" w:space="0"/>
            </w:tcBorders>
            <w:vAlign w:val="center"/>
          </w:tcPr>
          <w:p>
            <w:pPr>
              <w:spacing w:line="584" w:lineRule="exact"/>
              <w:jc w:val="center"/>
              <w:rPr>
                <w:rFonts w:ascii="仿宋_GB2312" w:hAnsi="Times New Roman" w:eastAsia="仿宋_GB2312" w:cs="Times New Roman"/>
                <w:sz w:val="22"/>
              </w:rPr>
            </w:pPr>
            <w:r>
              <w:rPr>
                <w:rFonts w:hint="eastAsia" w:ascii="仿宋_GB2312" w:hAnsi="Times New Roman" w:eastAsia="仿宋_GB2312" w:cs="Times New Roman"/>
                <w:sz w:val="22"/>
              </w:rPr>
              <w:t>89.15</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vAlign w:val="center"/>
          </w:tcPr>
          <w:p>
            <w:pPr>
              <w:widowControl/>
              <w:spacing w:line="584" w:lineRule="exact"/>
              <w:jc w:val="left"/>
              <w:rPr>
                <w:rFonts w:ascii="仿宋_GB2312" w:hAnsi="Times New Roman" w:eastAsia="仿宋_GB2312" w:cs="Times New Roman"/>
                <w:kern w:val="0"/>
                <w:sz w:val="22"/>
              </w:rPr>
            </w:pPr>
            <w:r>
              <w:rPr>
                <w:rFonts w:hint="eastAsia" w:ascii="仿宋_GB2312"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vAlign w:val="center"/>
          </w:tcPr>
          <w:p>
            <w:pPr>
              <w:spacing w:line="584" w:lineRule="exact"/>
              <w:jc w:val="center"/>
              <w:rPr>
                <w:rFonts w:ascii="仿宋_GB2312" w:hAnsi="Times New Roman" w:eastAsia="仿宋_GB2312" w:cs="Times New Roman"/>
                <w:sz w:val="22"/>
              </w:rPr>
            </w:pPr>
          </w:p>
        </w:tc>
        <w:tc>
          <w:tcPr>
            <w:tcW w:w="5103" w:type="dxa"/>
            <w:tcBorders>
              <w:top w:val="nil"/>
              <w:left w:val="nil"/>
              <w:bottom w:val="single" w:color="auto" w:sz="4" w:space="0"/>
              <w:right w:val="single" w:color="auto" w:sz="4" w:space="0"/>
            </w:tcBorders>
            <w:vAlign w:val="center"/>
          </w:tcPr>
          <w:p>
            <w:pPr>
              <w:spacing w:line="584" w:lineRule="exact"/>
              <w:jc w:val="center"/>
              <w:rPr>
                <w:rFonts w:ascii="仿宋_GB2312" w:hAnsi="Times New Roman" w:eastAsia="仿宋_GB2312" w:cs="Times New Roman"/>
                <w:sz w:val="22"/>
              </w:rPr>
            </w:pPr>
            <w:r>
              <w:rPr>
                <w:rFonts w:hint="eastAsia" w:ascii="仿宋_GB2312" w:hAnsi="Times New Roman" w:eastAsia="仿宋_GB2312" w:cs="Times New Roman"/>
                <w:sz w:val="22"/>
              </w:rPr>
              <w:t>1525.1</w:t>
            </w:r>
          </w:p>
        </w:tc>
      </w:tr>
    </w:tbl>
    <w:p>
      <w:pPr>
        <w:autoSpaceDE w:val="0"/>
        <w:autoSpaceDN w:val="0"/>
        <w:adjustRightInd w:val="0"/>
        <w:spacing w:line="584" w:lineRule="exact"/>
        <w:ind w:left="198" w:firstLine="640" w:firstLineChars="200"/>
        <w:jc w:val="left"/>
        <w:rPr>
          <w:rFonts w:ascii="Times New Roman" w:hAnsi="Times New Roman" w:eastAsia="仿宋_GB2312"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指省级财政当年拨付的资金。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我部门无其他需要说明的事项。</w:t>
      </w:r>
    </w:p>
    <w:sectPr>
      <w:pgSz w:w="16838" w:h="11906" w:orient="landscape"/>
      <w:pgMar w:top="1800" w:right="1440" w:bottom="180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Malgun Gothic Semilight">
    <w:altName w:val="宋体"/>
    <w:panose1 w:val="020B0502040204020203"/>
    <w:charset w:val="86"/>
    <w:family w:val="swiss"/>
    <w:pitch w:val="default"/>
    <w:sig w:usb0="00000000" w:usb1="00000000" w:usb2="00000012" w:usb3="00000000" w:csb0="203E01BD"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w:t>
    </w:r>
    <w:r>
      <w:fldChar w:fldCharType="begin"/>
    </w:r>
    <w:r>
      <w:instrText xml:space="preserve">PAGE   \* MERGEFORMAT</w:instrText>
    </w:r>
    <w:r>
      <w:fldChar w:fldCharType="separate"/>
    </w:r>
    <w:r>
      <w:rPr>
        <w:lang w:val="zh-CN"/>
      </w:rPr>
      <w:t>2</w:t>
    </w:r>
    <w:r>
      <w:rPr>
        <w:lang w:val="zh-CN"/>
      </w:rPr>
      <w:fldChar w:fldCharType="end"/>
    </w:r>
    <w:r>
      <w:rPr>
        <w:rFonts w:hint="eastAsia"/>
      </w:rPr>
      <w:t>-</w:t>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rPr>
        <w:lang w:val="zh-CN"/>
      </w:rPr>
      <w:t>1</w:t>
    </w:r>
    <w: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3635"/>
    <w:rsid w:val="00517DF2"/>
    <w:rsid w:val="0052582A"/>
    <w:rsid w:val="00580AB8"/>
    <w:rsid w:val="006531B7"/>
    <w:rsid w:val="00706395"/>
    <w:rsid w:val="00732FB1"/>
    <w:rsid w:val="00734550"/>
    <w:rsid w:val="00821C14"/>
    <w:rsid w:val="009B2C07"/>
    <w:rsid w:val="00B53073"/>
    <w:rsid w:val="00C80755"/>
    <w:rsid w:val="00DA3635"/>
    <w:rsid w:val="00DE3187"/>
    <w:rsid w:val="053937A2"/>
    <w:rsid w:val="103A0015"/>
    <w:rsid w:val="31A30900"/>
    <w:rsid w:val="7BB51465"/>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39" w:semiHidden="0" w:name="toc 1"/>
    <w:lsdException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99" w:name="footnote text"/>
    <w:lsdException w:uiPriority="0" w:name="annotation text"/>
    <w:lsdException w:qFormat="1" w:unhideWhenUsed="0" w:uiPriority="99" w:semiHidden="0" w:name="header"/>
    <w:lsdException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99"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semiHidden/>
    <w:unhideWhenUsed/>
    <w:qFormat/>
    <w:uiPriority w:val="99"/>
    <w:rPr>
      <w:sz w:val="18"/>
      <w:szCs w:val="18"/>
    </w:rPr>
  </w:style>
  <w:style w:type="paragraph" w:styleId="3">
    <w:name w:val="footer"/>
    <w:basedOn w:val="1"/>
    <w:link w:val="14"/>
    <w:uiPriority w:val="99"/>
    <w:pPr>
      <w:tabs>
        <w:tab w:val="center" w:pos="4153"/>
        <w:tab w:val="right" w:pos="8306"/>
      </w:tabs>
      <w:snapToGrid w:val="0"/>
      <w:jc w:val="left"/>
    </w:pPr>
    <w:rPr>
      <w:rFonts w:ascii="Times New Roman" w:hAnsi="Times New Roman" w:cs="Times New Roman"/>
      <w:sz w:val="18"/>
      <w:szCs w:val="18"/>
    </w:rPr>
  </w:style>
  <w:style w:type="paragraph" w:styleId="4">
    <w:name w:val="header"/>
    <w:basedOn w:val="1"/>
    <w:link w:val="13"/>
    <w:qFormat/>
    <w:uiPriority w:val="99"/>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5">
    <w:name w:val="toc 1"/>
    <w:basedOn w:val="1"/>
    <w:next w:val="1"/>
    <w:uiPriority w:val="39"/>
    <w:rPr>
      <w:rFonts w:ascii="Times New Roman" w:hAnsi="Times New Roman" w:cs="Times New Roman"/>
      <w:szCs w:val="24"/>
    </w:rPr>
  </w:style>
  <w:style w:type="paragraph" w:styleId="6">
    <w:name w:val="footnote text"/>
    <w:basedOn w:val="1"/>
    <w:link w:val="16"/>
    <w:semiHidden/>
    <w:unhideWhenUsed/>
    <w:uiPriority w:val="99"/>
    <w:pPr>
      <w:snapToGrid w:val="0"/>
      <w:jc w:val="left"/>
    </w:pPr>
    <w:rPr>
      <w:rFonts w:cs="Times New Roman"/>
      <w:sz w:val="18"/>
      <w:szCs w:val="18"/>
    </w:rPr>
  </w:style>
  <w:style w:type="paragraph" w:styleId="7">
    <w:name w:val="toc 2"/>
    <w:basedOn w:val="1"/>
    <w:next w:val="1"/>
    <w:uiPriority w:val="39"/>
    <w:pPr>
      <w:ind w:left="420" w:leftChars="200"/>
    </w:pPr>
    <w:rPr>
      <w:rFonts w:ascii="Times New Roman" w:hAnsi="Times New Roman" w:cs="Times New Roman"/>
      <w:szCs w:val="24"/>
    </w:rPr>
  </w:style>
  <w:style w:type="character" w:styleId="10">
    <w:name w:val="footnote reference"/>
    <w:semiHidden/>
    <w:unhideWhenUsed/>
    <w:uiPriority w:val="99"/>
    <w:rPr>
      <w:vertAlign w:val="superscript"/>
    </w:rPr>
  </w:style>
  <w:style w:type="paragraph" w:customStyle="1" w:styleId="11">
    <w:name w:val="Defaul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2">
    <w:name w:val="[Normal]"/>
    <w:uiPriority w:val="6"/>
    <w:rPr>
      <w:rFonts w:ascii="宋体" w:hAnsi="宋体" w:eastAsia="宋体" w:cs="Times New Roman"/>
      <w:sz w:val="24"/>
      <w:lang w:val="en-US" w:eastAsia="en-US" w:bidi="ar-SA"/>
    </w:rPr>
  </w:style>
  <w:style w:type="character" w:customStyle="1" w:styleId="13">
    <w:name w:val="页眉 Char"/>
    <w:basedOn w:val="9"/>
    <w:link w:val="4"/>
    <w:uiPriority w:val="99"/>
    <w:rPr>
      <w:rFonts w:ascii="Times New Roman" w:hAnsi="Times New Roman" w:eastAsia="宋体" w:cs="Times New Roman"/>
      <w:sz w:val="18"/>
      <w:szCs w:val="18"/>
    </w:rPr>
  </w:style>
  <w:style w:type="character" w:customStyle="1" w:styleId="14">
    <w:name w:val="页脚 Char"/>
    <w:basedOn w:val="9"/>
    <w:link w:val="3"/>
    <w:qFormat/>
    <w:uiPriority w:val="99"/>
    <w:rPr>
      <w:rFonts w:ascii="Times New Roman" w:hAnsi="Times New Roman" w:eastAsia="宋体" w:cs="Times New Roman"/>
      <w:sz w:val="18"/>
      <w:szCs w:val="18"/>
    </w:rPr>
  </w:style>
  <w:style w:type="character" w:customStyle="1" w:styleId="15">
    <w:name w:val="批注框文本 Char"/>
    <w:basedOn w:val="9"/>
    <w:link w:val="2"/>
    <w:semiHidden/>
    <w:qFormat/>
    <w:uiPriority w:val="99"/>
    <w:rPr>
      <w:sz w:val="18"/>
      <w:szCs w:val="18"/>
    </w:rPr>
  </w:style>
  <w:style w:type="character" w:customStyle="1" w:styleId="16">
    <w:name w:val="脚注文本 Char"/>
    <w:basedOn w:val="9"/>
    <w:link w:val="6"/>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15</Pages>
  <Words>1059</Words>
  <Characters>6041</Characters>
  <Lines>50</Lines>
  <Paragraphs>14</Paragraphs>
  <TotalTime>3</TotalTime>
  <ScaleCrop>false</ScaleCrop>
  <LinksUpToDate>false</LinksUpToDate>
  <CharactersWithSpaces>7086</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2019-02-13T02:12:00Z</dcterms:created>
  <dc:creator>guest</dc:creator>
  <cp:lastModifiedBy>Administrator</cp:lastModifiedBy>
  <cp:lastPrinted>2019-02-18T02:45:00Z</cp:lastPrinted>
  <dcterms:modified xsi:type="dcterms:W3CDTF">2024-01-17T09:43:11Z</dcterms:modified>
  <dc:title>廊坊市广阳区人民检察院2019年部门预算信息公开</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7FB6CB1CBE274944BC5F3183C927B05A</vt:lpwstr>
  </property>
</Properties>
</file>