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1D" w:rsidRDefault="0082261D">
      <w:pPr>
        <w:spacing w:line="584" w:lineRule="exact"/>
        <w:rPr>
          <w:rFonts w:ascii="Times New Roman" w:eastAsia="仿宋_GB2312" w:hAnsi="Times New Roman" w:cs="Times New Roman"/>
          <w:sz w:val="44"/>
          <w:szCs w:val="44"/>
        </w:rPr>
      </w:pPr>
    </w:p>
    <w:p w:rsidR="0082261D" w:rsidRPr="000C6833" w:rsidRDefault="000C6833" w:rsidP="000C6833">
      <w:pPr>
        <w:spacing w:line="584" w:lineRule="exact"/>
        <w:jc w:val="center"/>
        <w:rPr>
          <w:rFonts w:ascii="方正小标宋简体" w:eastAsia="方正小标宋简体" w:hAnsi="Times New Roman" w:cs="Times New Roman"/>
          <w:sz w:val="44"/>
          <w:szCs w:val="44"/>
        </w:rPr>
      </w:pPr>
      <w:r w:rsidRPr="000C6833">
        <w:rPr>
          <w:rFonts w:ascii="方正小标宋简体" w:eastAsia="方正小标宋简体" w:hAnsi="Times New Roman" w:cs="Times New Roman" w:hint="eastAsia"/>
          <w:sz w:val="44"/>
          <w:szCs w:val="44"/>
        </w:rPr>
        <w:t>廊坊市广阳区人</w:t>
      </w:r>
      <w:bookmarkStart w:id="0" w:name="_GoBack"/>
      <w:bookmarkEnd w:id="0"/>
      <w:r w:rsidRPr="000C6833">
        <w:rPr>
          <w:rFonts w:ascii="方正小标宋简体" w:eastAsia="方正小标宋简体" w:hAnsi="Times New Roman" w:cs="Times New Roman" w:hint="eastAsia"/>
          <w:sz w:val="44"/>
          <w:szCs w:val="44"/>
        </w:rPr>
        <w:t>民法院2019年部门预算信息公开</w:t>
      </w:r>
    </w:p>
    <w:p w:rsidR="0082261D" w:rsidRDefault="0082261D">
      <w:pPr>
        <w:spacing w:line="584" w:lineRule="exact"/>
        <w:ind w:firstLineChars="200" w:firstLine="880"/>
        <w:jc w:val="center"/>
        <w:rPr>
          <w:rFonts w:ascii="Times New Roman" w:eastAsia="仿宋_GB2312" w:hAnsi="Times New Roman" w:cs="Times New Roman"/>
          <w:sz w:val="44"/>
          <w:szCs w:val="44"/>
        </w:rPr>
      </w:pPr>
    </w:p>
    <w:p w:rsidR="0082261D" w:rsidRDefault="000C683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广阳区人民法院</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年部门预算公开如下：</w:t>
      </w:r>
    </w:p>
    <w:p w:rsidR="0082261D" w:rsidRDefault="000C683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82261D" w:rsidRDefault="000C6833">
      <w:pPr>
        <w:spacing w:line="584" w:lineRule="exact"/>
        <w:ind w:firstLineChars="200" w:firstLine="643"/>
        <w:rPr>
          <w:rFonts w:ascii="仿宋_GB2312" w:eastAsia="仿宋_GB2312" w:cs="Times New Roman"/>
          <w:b/>
          <w:bCs/>
          <w:color w:val="000000"/>
          <w:kern w:val="0"/>
          <w:sz w:val="32"/>
          <w:szCs w:val="32"/>
        </w:rPr>
      </w:pPr>
      <w:r>
        <w:rPr>
          <w:rFonts w:ascii="Times New Roman" w:eastAsia="楷体_GB2312" w:hAnsi="Times New Roman" w:cs="Times New Roman"/>
          <w:b/>
          <w:sz w:val="32"/>
          <w:szCs w:val="32"/>
        </w:rPr>
        <w:t>部门职责：</w:t>
      </w:r>
    </w:p>
    <w:p w:rsidR="0082261D" w:rsidRDefault="000C6833">
      <w:pPr>
        <w:widowControl/>
        <w:ind w:firstLineChars="150" w:firstLine="480"/>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广阳区人民法院是国家的审判机关，在区委领导下，依法独立行使审判权，对区人民代表大会及其常务委员会负责并报告工作。主要职责是：</w:t>
      </w:r>
    </w:p>
    <w:p w:rsidR="0082261D" w:rsidRDefault="000C6833">
      <w:pPr>
        <w:widowControl/>
        <w:ind w:left="480"/>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）审判法律规定由基层人民法院管辖的刑事、民事、行政等一审案件。</w:t>
      </w:r>
    </w:p>
    <w:p w:rsidR="0082261D" w:rsidRDefault="000C6833">
      <w:pPr>
        <w:widowControl/>
        <w:ind w:firstLineChars="150" w:firstLine="480"/>
        <w:jc w:val="left"/>
        <w:rPr>
          <w:rFonts w:ascii="仿宋_GB2312" w:eastAsia="仿宋_GB2312" w:cs="Times New Roman"/>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）审判上级人民法院指定、同级人民法院移送的刑事、民事、行政等一审案件。</w:t>
      </w:r>
    </w:p>
    <w:p w:rsidR="000C6833" w:rsidRDefault="000C6833">
      <w:pPr>
        <w:widowControl/>
        <w:spacing w:line="360" w:lineRule="atLeast"/>
        <w:ind w:leftChars="228" w:left="639" w:hangingChars="50" w:hanging="160"/>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）审查和受理各类告诉申诉案件，审判各类再审案件，处理来信来访。</w:t>
      </w:r>
    </w:p>
    <w:p w:rsidR="000C6833" w:rsidRDefault="000C6833">
      <w:pPr>
        <w:widowControl/>
        <w:spacing w:line="360" w:lineRule="atLeast"/>
        <w:ind w:leftChars="228" w:left="639" w:hangingChars="50" w:hanging="16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）依法办理发生法律效力的民事、行政案件判决和裁定执行事项及刑事案件判决和裁定中关于</w:t>
      </w:r>
    </w:p>
    <w:p w:rsidR="000C6833" w:rsidRDefault="000C6833" w:rsidP="000C6833">
      <w:pPr>
        <w:widowControl/>
        <w:spacing w:line="360" w:lineRule="atLeast"/>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财产部分的执行事项；办理法律规定由基层人民法院执行的其他法律文书的执行事项。</w:t>
      </w:r>
    </w:p>
    <w:p w:rsidR="000C6833" w:rsidRDefault="000C6833" w:rsidP="000C6833">
      <w:pPr>
        <w:widowControl/>
        <w:spacing w:line="360" w:lineRule="atLeast"/>
        <w:ind w:firstLineChars="150" w:firstLine="480"/>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）负责本院审判工作的调查研究，总结审判工作经验。</w:t>
      </w:r>
    </w:p>
    <w:p w:rsidR="000C6833" w:rsidRDefault="000C6833" w:rsidP="000C6833">
      <w:pPr>
        <w:widowControl/>
        <w:spacing w:line="360" w:lineRule="atLeast"/>
        <w:ind w:leftChars="304" w:left="638"/>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）负责本院干警思想政治教育和业务培训工作；按照权限管理法官、执行员、书记员、司法警</w:t>
      </w:r>
    </w:p>
    <w:p w:rsidR="0082261D" w:rsidRPr="000C6833" w:rsidRDefault="000C6833" w:rsidP="000C6833">
      <w:pPr>
        <w:widowControl/>
        <w:spacing w:line="360" w:lineRule="atLeast"/>
        <w:ind w:left="640" w:hangingChars="200" w:hanging="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察、司法鉴定人员及司法行政人员；协同上级法院及区主管部门管理全院的机构设置、人员编制工作。（</w:t>
      </w: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）负责本院的法医工作。</w:t>
      </w:r>
      <w:r>
        <w:rPr>
          <w:rFonts w:ascii="仿宋_GB2312" w:eastAsia="仿宋_GB2312" w:cs="Times New Roman"/>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8</w:t>
      </w:r>
      <w:r>
        <w:rPr>
          <w:rFonts w:ascii="仿宋_GB2312" w:eastAsia="仿宋_GB2312" w:cs="仿宋_GB2312" w:hint="eastAsia"/>
          <w:color w:val="000000"/>
          <w:kern w:val="0"/>
          <w:sz w:val="32"/>
          <w:szCs w:val="32"/>
        </w:rPr>
        <w:t>）领导本院的监察工作。</w:t>
      </w:r>
      <w:r>
        <w:rPr>
          <w:rFonts w:ascii="仿宋_GB2312" w:eastAsia="仿宋_GB2312" w:cs="Times New Roman"/>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9</w:t>
      </w:r>
      <w:r>
        <w:rPr>
          <w:rFonts w:ascii="仿宋_GB2312" w:eastAsia="仿宋_GB2312" w:cs="仿宋_GB2312" w:hint="eastAsia"/>
          <w:color w:val="000000"/>
          <w:kern w:val="0"/>
          <w:sz w:val="32"/>
          <w:szCs w:val="32"/>
        </w:rPr>
        <w:t>）管理本院的有关经费及物资装备。</w:t>
      </w:r>
      <w:r>
        <w:rPr>
          <w:rFonts w:ascii="仿宋_GB2312" w:eastAsia="仿宋_GB2312" w:cs="Times New Roman"/>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）在审判工作中宣传法制，教育公民忠于社会主义祖国，自觉遵守宪法、法律和社会公德。</w:t>
      </w:r>
      <w:r>
        <w:rPr>
          <w:rFonts w:ascii="仿宋_GB2312" w:eastAsia="仿宋_GB2312" w:cs="Times New Roman"/>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11</w:t>
      </w:r>
      <w:r>
        <w:rPr>
          <w:rFonts w:ascii="仿宋_GB2312" w:eastAsia="仿宋_GB2312" w:cs="仿宋_GB2312" w:hint="eastAsia"/>
          <w:color w:val="000000"/>
          <w:kern w:val="0"/>
          <w:sz w:val="32"/>
          <w:szCs w:val="32"/>
        </w:rPr>
        <w:t>）负责本院的党群工作。</w:t>
      </w:r>
      <w:r>
        <w:rPr>
          <w:rFonts w:ascii="仿宋_GB2312" w:eastAsia="仿宋_GB2312" w:cs="Times New Roman"/>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12</w:t>
      </w:r>
      <w:r>
        <w:rPr>
          <w:rFonts w:ascii="仿宋_GB2312" w:eastAsia="仿宋_GB2312" w:cs="仿宋_GB2312" w:hint="eastAsia"/>
          <w:color w:val="000000"/>
          <w:kern w:val="0"/>
          <w:sz w:val="32"/>
          <w:szCs w:val="32"/>
        </w:rPr>
        <w:t>）完成上级法院和区委、区人大交办的其他工作。</w:t>
      </w:r>
      <w:r>
        <w:rPr>
          <w:rFonts w:ascii="仿宋_GB2312" w:eastAsia="仿宋_GB2312" w:cs="Times New Roman"/>
          <w:color w:val="000000"/>
          <w:kern w:val="0"/>
          <w:sz w:val="32"/>
          <w:szCs w:val="32"/>
        </w:rPr>
        <w:br/>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13</w:t>
      </w:r>
      <w:r>
        <w:rPr>
          <w:rFonts w:ascii="仿宋_GB2312" w:eastAsia="仿宋_GB2312" w:cs="仿宋_GB2312" w:hint="eastAsia"/>
          <w:color w:val="000000"/>
          <w:kern w:val="0"/>
          <w:sz w:val="32"/>
          <w:szCs w:val="32"/>
        </w:rPr>
        <w:t>）承办其他应由基层人民法院负责的工作。</w:t>
      </w:r>
    </w:p>
    <w:p w:rsidR="0082261D" w:rsidRDefault="000C6833">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82261D" w:rsidRDefault="000C6833">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82261D">
        <w:trPr>
          <w:trHeight w:val="584"/>
          <w:tblHeader/>
          <w:jc w:val="center"/>
        </w:trPr>
        <w:tc>
          <w:tcPr>
            <w:tcW w:w="4443" w:type="dxa"/>
            <w:vMerge w:val="restart"/>
            <w:shd w:val="clear" w:color="auto" w:fill="auto"/>
            <w:vAlign w:val="center"/>
          </w:tcPr>
          <w:p w:rsidR="0082261D" w:rsidRDefault="000C683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82261D" w:rsidRDefault="000C683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82261D" w:rsidRDefault="000C683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82261D" w:rsidRDefault="000C6833">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82261D">
        <w:trPr>
          <w:trHeight w:val="584"/>
          <w:tblHeader/>
          <w:jc w:val="center"/>
        </w:trPr>
        <w:tc>
          <w:tcPr>
            <w:tcW w:w="4443" w:type="dxa"/>
            <w:vMerge/>
            <w:shd w:val="clear" w:color="auto" w:fill="auto"/>
            <w:vAlign w:val="center"/>
          </w:tcPr>
          <w:p w:rsidR="0082261D" w:rsidRDefault="0082261D">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82261D" w:rsidRDefault="0082261D">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82261D" w:rsidRDefault="0082261D">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82261D" w:rsidRDefault="0082261D">
            <w:pPr>
              <w:spacing w:line="584" w:lineRule="exact"/>
              <w:jc w:val="left"/>
              <w:outlineLvl w:val="0"/>
              <w:rPr>
                <w:rFonts w:ascii="Times New Roman" w:eastAsia="仿宋_GB2312" w:hAnsi="Times New Roman" w:cs="Times New Roman"/>
                <w:szCs w:val="24"/>
              </w:rPr>
            </w:pPr>
          </w:p>
        </w:tc>
      </w:tr>
      <w:tr w:rsidR="0082261D">
        <w:trPr>
          <w:trHeight w:val="227"/>
          <w:jc w:val="center"/>
        </w:trPr>
        <w:tc>
          <w:tcPr>
            <w:tcW w:w="4443" w:type="dxa"/>
            <w:shd w:val="clear" w:color="auto" w:fill="auto"/>
            <w:vAlign w:val="center"/>
          </w:tcPr>
          <w:p w:rsidR="0082261D" w:rsidRDefault="000C683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廊坊市广阳区人民法院</w:t>
            </w:r>
          </w:p>
        </w:tc>
        <w:tc>
          <w:tcPr>
            <w:tcW w:w="1134" w:type="dxa"/>
            <w:shd w:val="clear" w:color="auto" w:fill="auto"/>
            <w:vAlign w:val="center"/>
          </w:tcPr>
          <w:p w:rsidR="0082261D" w:rsidRDefault="000C683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82261D" w:rsidRDefault="000C683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副处级</w:t>
            </w:r>
          </w:p>
        </w:tc>
        <w:tc>
          <w:tcPr>
            <w:tcW w:w="2902" w:type="dxa"/>
            <w:shd w:val="clear" w:color="auto" w:fill="auto"/>
            <w:vAlign w:val="center"/>
          </w:tcPr>
          <w:p w:rsidR="0082261D" w:rsidRDefault="000C683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0C6833" w:rsidRDefault="000C6833">
      <w:pPr>
        <w:spacing w:line="584" w:lineRule="exact"/>
        <w:ind w:firstLineChars="200" w:firstLine="640"/>
        <w:rPr>
          <w:rFonts w:ascii="Times New Roman" w:eastAsia="黑体" w:hAnsi="黑体" w:cs="Times New Roman"/>
          <w:sz w:val="32"/>
          <w:szCs w:val="32"/>
        </w:rPr>
      </w:pPr>
    </w:p>
    <w:p w:rsidR="0082261D" w:rsidRDefault="000C683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82261D" w:rsidRDefault="000C683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部门预算的编制实行综合预算制度，即全部收入和支出都反映</w:t>
      </w:r>
      <w:r>
        <w:rPr>
          <w:rFonts w:ascii="Times New Roman" w:eastAsia="仿宋_GB2312" w:hAnsi="Times New Roman" w:cs="Times New Roman"/>
          <w:sz w:val="32"/>
          <w:szCs w:val="32"/>
        </w:rPr>
        <w:lastRenderedPageBreak/>
        <w:t>在预算中。廊坊市</w:t>
      </w:r>
      <w:r>
        <w:rPr>
          <w:rFonts w:ascii="Times New Roman" w:eastAsia="仿宋_GB2312" w:hAnsi="Times New Roman" w:cs="Times New Roman" w:hint="eastAsia"/>
          <w:sz w:val="32"/>
          <w:szCs w:val="32"/>
        </w:rPr>
        <w:t>广阳区人民法院</w:t>
      </w:r>
      <w:r>
        <w:rPr>
          <w:rFonts w:ascii="Times New Roman" w:eastAsia="仿宋_GB2312" w:hAnsi="Times New Roman" w:cs="Times New Roman"/>
          <w:sz w:val="32"/>
          <w:szCs w:val="32"/>
        </w:rPr>
        <w:t>机关及所属事业单位的收支包含在部门预算中。</w:t>
      </w:r>
    </w:p>
    <w:p w:rsidR="0082261D" w:rsidRDefault="000C6833">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82261D" w:rsidRDefault="000C683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2812.16</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2812.16</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82261D" w:rsidRDefault="000C6833">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82261D" w:rsidRDefault="000C683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广阳区人民法院</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2812.16</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2429.48</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1579.30</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850.18</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382.68</w:t>
      </w:r>
      <w:r>
        <w:rPr>
          <w:rFonts w:ascii="Times New Roman" w:eastAsia="仿宋_GB2312" w:hAnsi="Times New Roman" w:cs="Times New Roman"/>
          <w:sz w:val="32"/>
          <w:szCs w:val="32"/>
        </w:rPr>
        <w:t>万元，包括本级支出</w:t>
      </w:r>
      <w:r w:rsidR="00520859">
        <w:rPr>
          <w:rFonts w:ascii="Times New Roman" w:eastAsia="仿宋_GB2312" w:hAnsi="Times New Roman" w:cs="Times New Roman" w:hint="eastAsia"/>
          <w:sz w:val="32"/>
          <w:szCs w:val="32"/>
        </w:rPr>
        <w:t>382.68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聘任制司法辅助人员和法官助理经费支出、社会保障和就业支出、离退休人员支出、在职人员住房公积金支出、行政事业单位医疗支出</w:t>
      </w:r>
      <w:r>
        <w:rPr>
          <w:rFonts w:ascii="Times New Roman" w:eastAsia="仿宋_GB2312" w:hAnsi="Times New Roman" w:cs="Times New Roman"/>
          <w:sz w:val="32"/>
          <w:szCs w:val="32"/>
        </w:rPr>
        <w:t>等。</w:t>
      </w:r>
    </w:p>
    <w:p w:rsidR="0082261D" w:rsidRDefault="000C6833">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82261D" w:rsidRDefault="000C683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2812.16</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年预算减少</w:t>
      </w:r>
      <w:r>
        <w:rPr>
          <w:rFonts w:ascii="Times New Roman" w:eastAsia="仿宋_GB2312" w:hAnsi="Times New Roman" w:cs="Times New Roman" w:hint="eastAsia"/>
          <w:sz w:val="32"/>
          <w:szCs w:val="32"/>
        </w:rPr>
        <w:t>283.39</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53.44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新入额法官经费等工资福利支出、政府采购</w:t>
      </w:r>
      <w:r>
        <w:rPr>
          <w:rFonts w:ascii="Times New Roman" w:eastAsia="仿宋_GB2312" w:hAnsi="Times New Roman" w:cs="Times New Roman"/>
          <w:sz w:val="32"/>
          <w:szCs w:val="32"/>
        </w:rPr>
        <w:t>支出；项目支出减少</w:t>
      </w:r>
      <w:r>
        <w:rPr>
          <w:rFonts w:ascii="Times New Roman" w:eastAsia="仿宋_GB2312" w:hAnsi="Times New Roman" w:cs="Times New Roman" w:hint="eastAsia"/>
          <w:sz w:val="32"/>
          <w:szCs w:val="32"/>
        </w:rPr>
        <w:t>336.83</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聘任制司法辅助人员经费</w:t>
      </w:r>
      <w:r>
        <w:rPr>
          <w:rFonts w:ascii="Times New Roman" w:eastAsia="仿宋_GB2312" w:hAnsi="Times New Roman" w:cs="Times New Roman"/>
          <w:sz w:val="32"/>
          <w:szCs w:val="32"/>
        </w:rPr>
        <w:t>项目支出。</w:t>
      </w:r>
    </w:p>
    <w:p w:rsidR="0082261D" w:rsidRDefault="000C683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82261D" w:rsidRDefault="000C683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年，我部门机关运行经费共计安排</w:t>
      </w:r>
      <w:r w:rsidR="004B5846">
        <w:rPr>
          <w:rFonts w:ascii="Times New Roman" w:eastAsia="仿宋_GB2312" w:hAnsi="Times New Roman" w:cs="Times New Roman" w:hint="eastAsia"/>
          <w:sz w:val="32"/>
          <w:szCs w:val="32"/>
        </w:rPr>
        <w:t>4.41</w:t>
      </w:r>
      <w:r>
        <w:rPr>
          <w:rFonts w:ascii="Times New Roman" w:eastAsia="仿宋_GB2312" w:hAnsi="Times New Roman" w:cs="Times New Roman" w:hint="eastAsia"/>
          <w:sz w:val="32"/>
          <w:szCs w:val="32"/>
        </w:rPr>
        <w:t>万元，主要用于办公区的日常维修、办公用房水电费、</w:t>
      </w:r>
      <w:r>
        <w:rPr>
          <w:rFonts w:ascii="Times New Roman" w:eastAsia="仿宋_GB2312" w:hAnsi="Times New Roman" w:cs="Times New Roman" w:hint="eastAsia"/>
          <w:sz w:val="32"/>
          <w:szCs w:val="32"/>
        </w:rPr>
        <w:lastRenderedPageBreak/>
        <w:t>办公用房取暖费、办公用房物业管理费等日常运行支出。</w:t>
      </w:r>
    </w:p>
    <w:p w:rsidR="0082261D" w:rsidRDefault="000C6833">
      <w:pPr>
        <w:spacing w:line="584" w:lineRule="exact"/>
        <w:ind w:firstLine="640"/>
        <w:rPr>
          <w:rFonts w:ascii="Times New Roman" w:eastAsia="黑体" w:hAnsi="黑体" w:cs="Times New Roman"/>
          <w:sz w:val="32"/>
          <w:szCs w:val="32"/>
        </w:rPr>
      </w:pPr>
      <w:r>
        <w:rPr>
          <w:rFonts w:ascii="Times New Roman" w:eastAsia="黑体" w:hAnsi="黑体" w:cs="Times New Roman" w:hint="eastAsia"/>
          <w:sz w:val="32"/>
          <w:szCs w:val="32"/>
        </w:rPr>
        <w:t>四</w:t>
      </w:r>
      <w:r>
        <w:rPr>
          <w:rFonts w:ascii="Times New Roman" w:eastAsia="黑体" w:hAnsi="黑体" w:cs="Times New Roman"/>
          <w:sz w:val="32"/>
          <w:szCs w:val="32"/>
        </w:rPr>
        <w:t>、财政拨款“三公”经费预算情况及增减变化原因</w:t>
      </w:r>
    </w:p>
    <w:p w:rsidR="0082261D" w:rsidRDefault="000C6833">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37.15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37.15</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37.15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1.95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1.95</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1.95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sidR="004B5846">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cs="Times New Roman"/>
          <w:sz w:val="32"/>
          <w:szCs w:val="32"/>
        </w:rPr>
        <w:t>公务接待费</w:t>
      </w:r>
      <w:r w:rsidR="004B5846">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减</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sidR="004B5846">
        <w:rPr>
          <w:rFonts w:ascii="Times New Roman" w:eastAsia="仿宋_GB2312" w:hAnsi="Times New Roman" w:cs="Times New Roman"/>
          <w:sz w:val="32"/>
          <w:szCs w:val="32"/>
        </w:rPr>
        <w:t>相比持平，</w:t>
      </w:r>
      <w:r>
        <w:rPr>
          <w:rFonts w:ascii="Times New Roman" w:eastAsia="仿宋_GB2312" w:hAnsi="Times New Roman" w:cs="Times New Roman"/>
          <w:sz w:val="32"/>
          <w:szCs w:val="32"/>
        </w:rPr>
        <w:t>无增减变化。</w:t>
      </w:r>
    </w:p>
    <w:p w:rsidR="0082261D" w:rsidRDefault="000C683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82261D" w:rsidRDefault="000C6833">
      <w:pPr>
        <w:spacing w:line="584" w:lineRule="exact"/>
        <w:ind w:firstLineChars="200" w:firstLine="643"/>
        <w:jc w:val="left"/>
        <w:rPr>
          <w:rFonts w:ascii="Times New Roman" w:eastAsia="楷体_GB2312" w:hAnsi="Times New Roman" w:cs="Times New Roman"/>
          <w:b/>
          <w:sz w:val="32"/>
          <w:szCs w:val="32"/>
        </w:rPr>
      </w:pPr>
      <w:bookmarkStart w:id="1" w:name="_Toc471398463"/>
      <w:r>
        <w:rPr>
          <w:rFonts w:ascii="Times New Roman" w:eastAsia="楷体_GB2312" w:hAnsi="Times New Roman" w:cs="Times New Roman"/>
          <w:b/>
          <w:sz w:val="32"/>
          <w:szCs w:val="32"/>
        </w:rPr>
        <w:t>总体绩效目标：</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（一）审判刑事案件、民事案件和行政案件；</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（二）通过审判活动，惩办一切犯罪分子，解决民事纠纷和行政纠纷；</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三）保卫人民民主专政制度，维护社会主义法制和社会秩序，保护社会主义的全民所有的财产、劳动群众集体所有的财产，保护公民私人所有的合法财产，保护公民的人身权利、民主权利和其他权利，保障社会主义革命和社会主义建设事业的顺利进行，通过全部审判活动，教育公民忠于社会主义祖国，自觉地遵守宪法和法律。</w:t>
      </w:r>
    </w:p>
    <w:p w:rsidR="004B5846" w:rsidRPr="004B5846" w:rsidRDefault="004B5846" w:rsidP="004B5846">
      <w:pPr>
        <w:jc w:val="left"/>
        <w:rPr>
          <w:rFonts w:ascii="楷体_GB2312" w:eastAsia="楷体_GB2312"/>
          <w:b/>
          <w:sz w:val="32"/>
          <w:szCs w:val="32"/>
        </w:rPr>
      </w:pPr>
      <w:r w:rsidRPr="004B5846">
        <w:rPr>
          <w:rFonts w:ascii="仿宋_GB2312" w:eastAsia="仿宋_GB2312" w:hint="eastAsia"/>
          <w:b/>
          <w:sz w:val="32"/>
          <w:szCs w:val="32"/>
        </w:rPr>
        <w:t xml:space="preserve">    </w:t>
      </w:r>
      <w:r w:rsidRPr="004B5846">
        <w:rPr>
          <w:rFonts w:ascii="楷体_GB2312" w:eastAsia="楷体_GB2312" w:hint="eastAsia"/>
          <w:b/>
          <w:sz w:val="32"/>
          <w:szCs w:val="32"/>
        </w:rPr>
        <w:t>职责分类绩效目标：</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 xml:space="preserve">   （一）案件审判管理和执行</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lastRenderedPageBreak/>
        <w:t>妥善审理经济转型过程中引发的各类矛盾纠纷，依法维护国家安全和社会稳定，严惩各类严重刑事犯罪，积极推进平安我市建设，营造良好的法治环境。依法惩治刑事犯罪，监督行政机关依法行政，促进社会和谐，维护社会稳定，服务全市工作大局，发挥服务保障职能。积极推进执行工作，切实保障群众合法权益，维护社会公平正义。完善审判质效评估体系，促进审判质效、健全司法权力运行机制，提升司法公信力。为案件审判提供技术支撑，提高办案质量。</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（二）司法救助和国家赔偿</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改革涉诉信访工作，推动涉诉信访问题在法治轨道内解决；落实司法为民措施，保护被侵权人合法利益，促进国家机关依法行使职权。完成涉法涉诉类案件的息诉罢访工作，依法办理国家赔偿案件。保障信访工作正常进行，提高信访案件结案率、信访受理满意度，维护国家机关的正常工作秩序，做好稳控工作。不断完善司法救助，切实保护民生，让人民群众感受到司法以人为本，享受到司法人文关怀。保护被侵害人的合法权益，促进行政机关依法行政。</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（三）法院事务管理</w:t>
      </w:r>
    </w:p>
    <w:p w:rsidR="004B5846" w:rsidRPr="004B5846" w:rsidRDefault="004B5846" w:rsidP="004B5846">
      <w:pPr>
        <w:spacing w:line="500" w:lineRule="exact"/>
        <w:ind w:firstLine="560"/>
        <w:rPr>
          <w:rFonts w:ascii="仿宋_GB2312" w:eastAsia="仿宋_GB2312"/>
          <w:sz w:val="32"/>
          <w:szCs w:val="32"/>
        </w:rPr>
      </w:pPr>
      <w:r w:rsidRPr="004B5846">
        <w:rPr>
          <w:rFonts w:ascii="仿宋_GB2312" w:eastAsia="仿宋_GB2312" w:hint="eastAsia"/>
          <w:sz w:val="32"/>
          <w:szCs w:val="32"/>
        </w:rPr>
        <w:t>提高队伍素质和执法能力，高质高效完成各项工作。不断提高队伍素质和执法能力，推进信息公开，提升审判质效，改进司法工作作风，树立法院良好形象。加强法院系统队伍建设，加强法院基础设施及信息化建设，加强培训及法院文化建设；领导县人民法院的监察工作，管理法院司法行政工作，承办其它应由县人民法院负责的工作；总结人民法院审判业务工作经验，建立绩效考核制度，加强对外宣传以及舆论引导，树立法院良好形象。</w:t>
      </w:r>
    </w:p>
    <w:p w:rsidR="004B5846" w:rsidRDefault="004B5846">
      <w:pPr>
        <w:spacing w:line="584" w:lineRule="exact"/>
        <w:rPr>
          <w:rFonts w:ascii="Times New Roman" w:eastAsia="楷体_GB2312" w:hAnsi="Times New Roman" w:cs="Times New Roman"/>
          <w:b/>
          <w:sz w:val="32"/>
          <w:szCs w:val="32"/>
        </w:rPr>
      </w:pPr>
    </w:p>
    <w:p w:rsidR="004B5846" w:rsidRDefault="004B5846">
      <w:pPr>
        <w:spacing w:line="584" w:lineRule="exact"/>
        <w:rPr>
          <w:rFonts w:ascii="Times New Roman" w:eastAsia="楷体_GB2312" w:hAnsi="Times New Roman" w:cs="Times New Roman"/>
          <w:b/>
          <w:sz w:val="32"/>
          <w:szCs w:val="32"/>
        </w:rPr>
      </w:pPr>
    </w:p>
    <w:p w:rsidR="0082261D" w:rsidRDefault="000C6833">
      <w:pPr>
        <w:spacing w:line="584" w:lineRule="exac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部门职责及工作活动绩效目标指标：</w:t>
      </w:r>
    </w:p>
    <w:p w:rsidR="00845F35" w:rsidRPr="00845F35" w:rsidRDefault="00845F35" w:rsidP="00845F35">
      <w:pPr>
        <w:spacing w:line="584" w:lineRule="exact"/>
        <w:jc w:val="center"/>
        <w:outlineLvl w:val="0"/>
        <w:rPr>
          <w:rFonts w:ascii="Times New Roman" w:eastAsia="仿宋_GB2312" w:hAnsi="Times New Roman" w:cs="Times New Roman"/>
          <w:b/>
          <w:sz w:val="32"/>
        </w:rPr>
      </w:pPr>
      <w:bookmarkStart w:id="2"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845F35" w:rsidRPr="00845F35" w:rsidTr="005A5F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bookmarkEnd w:id="1"/>
          <w:p w:rsidR="00845F35" w:rsidRPr="00845F35" w:rsidRDefault="00845F35" w:rsidP="005A5F44">
            <w:pPr>
              <w:spacing w:line="300" w:lineRule="exact"/>
              <w:jc w:val="left"/>
              <w:rPr>
                <w:rFonts w:ascii="仿宋_GB2312" w:eastAsia="仿宋_GB2312"/>
                <w:sz w:val="24"/>
              </w:rPr>
            </w:pPr>
            <w:r w:rsidRPr="00845F35">
              <w:rPr>
                <w:rFonts w:ascii="仿宋_GB2312" w:eastAsia="仿宋_GB2312" w:hint="eastAsia"/>
                <w:sz w:val="24"/>
              </w:rPr>
              <w:t>368廊坊市广阳区人民法院</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845F35" w:rsidRPr="00845F35" w:rsidRDefault="00845F35" w:rsidP="005A5F44">
            <w:pPr>
              <w:spacing w:line="300" w:lineRule="exact"/>
              <w:jc w:val="right"/>
              <w:rPr>
                <w:rFonts w:ascii="仿宋_GB2312" w:eastAsia="仿宋_GB2312"/>
                <w:sz w:val="24"/>
              </w:rPr>
            </w:pPr>
            <w:r w:rsidRPr="00845F35">
              <w:rPr>
                <w:rFonts w:ascii="仿宋_GB2312" w:eastAsia="仿宋_GB2312" w:hint="eastAsia"/>
                <w:sz w:val="24"/>
              </w:rPr>
              <w:t>单位：万元</w:t>
            </w:r>
          </w:p>
        </w:tc>
      </w:tr>
      <w:tr w:rsidR="00845F35" w:rsidRPr="000A28B0" w:rsidTr="005A5F44">
        <w:trPr>
          <w:trHeight w:val="227"/>
          <w:tblHeader/>
          <w:jc w:val="center"/>
        </w:trPr>
        <w:tc>
          <w:tcPr>
            <w:tcW w:w="2341" w:type="dxa"/>
            <w:vMerge w:val="restart"/>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职责活动</w:t>
            </w:r>
          </w:p>
        </w:tc>
        <w:tc>
          <w:tcPr>
            <w:tcW w:w="1276" w:type="dxa"/>
            <w:vMerge w:val="restart"/>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年度预算数</w:t>
            </w:r>
          </w:p>
        </w:tc>
        <w:tc>
          <w:tcPr>
            <w:tcW w:w="2976" w:type="dxa"/>
            <w:vMerge w:val="restart"/>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内容描述</w:t>
            </w:r>
          </w:p>
        </w:tc>
        <w:tc>
          <w:tcPr>
            <w:tcW w:w="2976" w:type="dxa"/>
            <w:vMerge w:val="restart"/>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绩效目标</w:t>
            </w:r>
          </w:p>
        </w:tc>
        <w:tc>
          <w:tcPr>
            <w:tcW w:w="1417" w:type="dxa"/>
            <w:vMerge w:val="restart"/>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绩效指标</w:t>
            </w:r>
          </w:p>
        </w:tc>
        <w:tc>
          <w:tcPr>
            <w:tcW w:w="2948" w:type="dxa"/>
            <w:gridSpan w:val="4"/>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评价标准</w:t>
            </w:r>
          </w:p>
        </w:tc>
      </w:tr>
      <w:tr w:rsidR="00845F35" w:rsidRPr="000A28B0" w:rsidTr="005A5F44">
        <w:trPr>
          <w:trHeight w:val="227"/>
          <w:tblHeader/>
          <w:jc w:val="center"/>
        </w:trPr>
        <w:tc>
          <w:tcPr>
            <w:tcW w:w="2341" w:type="dxa"/>
            <w:vMerge/>
            <w:shd w:val="clear" w:color="auto" w:fill="auto"/>
            <w:vAlign w:val="center"/>
          </w:tcPr>
          <w:p w:rsidR="00845F35" w:rsidRPr="00845F35" w:rsidRDefault="00845F35" w:rsidP="005A5F44">
            <w:pPr>
              <w:spacing w:line="300" w:lineRule="exact"/>
              <w:jc w:val="left"/>
              <w:outlineLvl w:val="0"/>
              <w:rPr>
                <w:rFonts w:ascii="仿宋_GB2312" w:eastAsia="仿宋_GB2312"/>
              </w:rPr>
            </w:pPr>
          </w:p>
        </w:tc>
        <w:tc>
          <w:tcPr>
            <w:tcW w:w="1276" w:type="dxa"/>
            <w:vMerge/>
            <w:shd w:val="clear" w:color="auto" w:fill="auto"/>
            <w:vAlign w:val="center"/>
          </w:tcPr>
          <w:p w:rsidR="00845F35" w:rsidRPr="00845F35" w:rsidRDefault="00845F35" w:rsidP="005A5F44">
            <w:pPr>
              <w:spacing w:line="300" w:lineRule="exact"/>
              <w:jc w:val="left"/>
              <w:outlineLvl w:val="0"/>
              <w:rPr>
                <w:rFonts w:ascii="仿宋_GB2312" w:eastAsia="仿宋_GB2312"/>
              </w:rPr>
            </w:pPr>
          </w:p>
        </w:tc>
        <w:tc>
          <w:tcPr>
            <w:tcW w:w="2976" w:type="dxa"/>
            <w:vMerge/>
            <w:shd w:val="clear" w:color="auto" w:fill="auto"/>
            <w:vAlign w:val="center"/>
          </w:tcPr>
          <w:p w:rsidR="00845F35" w:rsidRPr="00845F35" w:rsidRDefault="00845F35" w:rsidP="005A5F44">
            <w:pPr>
              <w:spacing w:line="300" w:lineRule="exact"/>
              <w:jc w:val="left"/>
              <w:outlineLvl w:val="0"/>
              <w:rPr>
                <w:rFonts w:ascii="仿宋_GB2312" w:eastAsia="仿宋_GB2312"/>
              </w:rPr>
            </w:pPr>
          </w:p>
        </w:tc>
        <w:tc>
          <w:tcPr>
            <w:tcW w:w="2976" w:type="dxa"/>
            <w:vMerge/>
            <w:shd w:val="clear" w:color="auto" w:fill="auto"/>
            <w:vAlign w:val="center"/>
          </w:tcPr>
          <w:p w:rsidR="00845F35" w:rsidRPr="00845F35" w:rsidRDefault="00845F35" w:rsidP="005A5F44">
            <w:pPr>
              <w:spacing w:line="300" w:lineRule="exact"/>
              <w:jc w:val="left"/>
              <w:outlineLvl w:val="0"/>
              <w:rPr>
                <w:rFonts w:ascii="仿宋_GB2312" w:eastAsia="仿宋_GB2312"/>
              </w:rPr>
            </w:pPr>
          </w:p>
        </w:tc>
        <w:tc>
          <w:tcPr>
            <w:tcW w:w="1417" w:type="dxa"/>
            <w:vMerge/>
            <w:shd w:val="clear" w:color="auto" w:fill="auto"/>
            <w:vAlign w:val="center"/>
          </w:tcPr>
          <w:p w:rsidR="00845F35" w:rsidRPr="00845F35" w:rsidRDefault="00845F35" w:rsidP="005A5F44">
            <w:pPr>
              <w:spacing w:line="300" w:lineRule="exact"/>
              <w:jc w:val="left"/>
              <w:outlineLvl w:val="0"/>
              <w:rPr>
                <w:rFonts w:ascii="仿宋_GB2312" w:eastAsia="仿宋_GB2312"/>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优</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良</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中</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b/>
              </w:rPr>
            </w:pPr>
            <w:r w:rsidRPr="00845F35">
              <w:rPr>
                <w:rFonts w:ascii="仿宋_GB2312" w:eastAsia="仿宋_GB2312" w:hint="eastAsia"/>
                <w:b/>
              </w:rPr>
              <w:t>差</w:t>
            </w:r>
          </w:p>
        </w:tc>
      </w:tr>
      <w:tr w:rsidR="00845F35" w:rsidRPr="000A28B0" w:rsidTr="005A5F44">
        <w:trPr>
          <w:trHeight w:val="227"/>
          <w:jc w:val="center"/>
        </w:trPr>
        <w:tc>
          <w:tcPr>
            <w:tcW w:w="2341" w:type="dxa"/>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一、案件审判管理和执行</w:t>
            </w:r>
          </w:p>
        </w:tc>
        <w:tc>
          <w:tcPr>
            <w:tcW w:w="1276" w:type="dxa"/>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依法审判法律规定由县高级人民法院管辖的刑事、民事、行政等第一、二审案件，依法完成死刑案件复核工作，依法办理发生法律效力判决、其他法律文书的执行，做好审判管理工作。</w:t>
            </w:r>
          </w:p>
        </w:tc>
        <w:tc>
          <w:tcPr>
            <w:tcW w:w="2976"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妥善审理经济转型过程中引发的各类矛盾纠纷，依法维护国家安全和社会稳定，严惩各类严重刑事犯罪，积极推进平安我县建设，营造良好的法治环境。</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 xml:space="preserve">　　1、案件审判</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依法审判刑事、民事、行政案件和上级人民法院交由审判的案件；依法审理刑事、民事、行政再审案件，人民检察院提出抗诉的案件。</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依法惩治刑事犯罪，监督行政机关依法行政，促进社会和谐，维护社会稳定，服务全县工作大局，发挥服务保障职能。</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一审上诉率（%）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≤30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≤40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≤50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＞50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审限结案率（%）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案件结案率（%）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＜75%</w:t>
            </w: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 xml:space="preserve">　　2、案件判决执行</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执行本院已经发生法律效力的法律文书和法律规定由本院执行的其他生效法律文书及委托执行案件。</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积极推进执行工作，切实保障群众合法权益，维护社会公平正义。</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执行标的到位率（%）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≥55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≥50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≥45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＜45</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执行公开率（%）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100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执行案件结案率（%）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提前执结率（%）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≥10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＜0</w:t>
            </w: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 xml:space="preserve">　　3、审判管理</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规范、保障、促进审判执行工作，包括：案件信息管理、案件质量评估、案件质量评查、审判流程管理、审判运势分析</w:t>
            </w:r>
            <w:r w:rsidRPr="00845F35">
              <w:rPr>
                <w:rFonts w:ascii="仿宋_GB2312" w:eastAsia="仿宋_GB2312" w:hint="eastAsia"/>
                <w:szCs w:val="21"/>
              </w:rPr>
              <w:lastRenderedPageBreak/>
              <w:t>等。</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lastRenderedPageBreak/>
              <w:t>完善审判质效评估体系，促进审判质效、健全司法权力运行机制，提升司法公信力。</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案件信息合格率（%）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审判流程合规率（%）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100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审判流程公开率（%）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lastRenderedPageBreak/>
              <w:t xml:space="preserve">　　4、司法技术辅助</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开展司法技术辅助工作。对审判工作技术咨询、技术审核服务，主要工作包括：对外委托鉴定、评估、审计、拍卖、组织专家审核等。</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为案件审判提供技术支撑，提高办案质量。</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司法技术辅助工作完成率（%）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委托方满意度（%）</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司法鉴定工作办结率（%）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r>
      <w:tr w:rsidR="00845F35" w:rsidRPr="000A28B0" w:rsidTr="005A5F44">
        <w:trPr>
          <w:trHeight w:val="227"/>
          <w:jc w:val="center"/>
        </w:trPr>
        <w:tc>
          <w:tcPr>
            <w:tcW w:w="2341" w:type="dxa"/>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二、司法救助和国家赔偿</w:t>
            </w:r>
          </w:p>
        </w:tc>
        <w:tc>
          <w:tcPr>
            <w:tcW w:w="1276" w:type="dxa"/>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完成涉法涉诉类案件的息诉罢访工作，依法办理国家赔偿案件。</w:t>
            </w:r>
          </w:p>
        </w:tc>
        <w:tc>
          <w:tcPr>
            <w:tcW w:w="2976"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改革涉诉信访工作，推动涉诉信访问题在法治轨道内解决；落实司法为民措施，保护被侵权人合法利益，促进国家机关依法行使职权。</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 xml:space="preserve">　　1、涉法涉诉</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完成涉法涉诉类上访案件的息诉罢访工作，做好“两会”、重大活动期间的维稳工作，接待分流越级上访人员、协助处理到上级法院的集体访和闹访人员的稳控遣返工作。</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保障信访工作正常进行，提高信访案件结案率、信访受理满意度，维护国家机关的正常工作秩序，做好稳控工作。</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信访处理满意度（%）</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申请再审和申诉案件结案率（%）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≥100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信访案件结案率（%）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 xml:space="preserve">　　2、司法救助</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对受到侵害但无法获得有效赔偿的当事人给予资助。</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不断完善司法救助，切实保护民生，让人民群众感受到司法以人为本，享受到司法人文关怀。</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息诉罢访工作完成率（%）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司法救助资金发放率（%）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结案率（%）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r>
      <w:tr w:rsidR="00845F35" w:rsidRPr="000A28B0" w:rsidTr="005A5F44">
        <w:trPr>
          <w:trHeight w:val="227"/>
          <w:jc w:val="center"/>
        </w:trPr>
        <w:tc>
          <w:tcPr>
            <w:tcW w:w="2341" w:type="dxa"/>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三、法院事务管理</w:t>
            </w:r>
          </w:p>
        </w:tc>
        <w:tc>
          <w:tcPr>
            <w:tcW w:w="1276"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382.68</w:t>
            </w:r>
          </w:p>
        </w:tc>
        <w:tc>
          <w:tcPr>
            <w:tcW w:w="2976"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系统综合业务管理和综合事务管理。</w:t>
            </w:r>
          </w:p>
        </w:tc>
        <w:tc>
          <w:tcPr>
            <w:tcW w:w="2976"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提高队伍素质和执法能力，高质高效完成各项工作。</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 xml:space="preserve">　　1、综合业务管理</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382.68</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加强法院系统队伍建设，加强</w:t>
            </w:r>
            <w:r w:rsidRPr="00845F35">
              <w:rPr>
                <w:rFonts w:ascii="仿宋_GB2312" w:eastAsia="仿宋_GB2312" w:hint="eastAsia"/>
                <w:szCs w:val="21"/>
              </w:rPr>
              <w:lastRenderedPageBreak/>
              <w:t>法院基础设施及信息化建设，加强培训及法院文化建设；建立绩效考核制度，加强对外宣传以及舆论引导，树立法院良好形象。</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lastRenderedPageBreak/>
              <w:t>不断提高队伍素质和执法能</w:t>
            </w:r>
            <w:r w:rsidRPr="00845F35">
              <w:rPr>
                <w:rFonts w:ascii="仿宋_GB2312" w:eastAsia="仿宋_GB2312" w:hint="eastAsia"/>
                <w:szCs w:val="21"/>
              </w:rPr>
              <w:lastRenderedPageBreak/>
              <w:t>力，推进信息公开，提升审判质效，改进司法工作作风，树立法院良好形象。</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lastRenderedPageBreak/>
              <w:t>化解矛盾率</w:t>
            </w:r>
            <w:r w:rsidRPr="00845F35">
              <w:rPr>
                <w:rFonts w:ascii="仿宋_GB2312" w:eastAsia="仿宋_GB2312" w:hint="eastAsia"/>
                <w:szCs w:val="21"/>
              </w:rPr>
              <w:lastRenderedPageBreak/>
              <w:t>（%）</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lastRenderedPageBreak/>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≥70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＜60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政府采购覆盖率（%）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100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综合业务管理工作完成率（%）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r>
      <w:tr w:rsidR="00845F35" w:rsidRPr="000A28B0" w:rsidTr="005A5F44">
        <w:trPr>
          <w:trHeight w:val="227"/>
          <w:jc w:val="center"/>
        </w:trPr>
        <w:tc>
          <w:tcPr>
            <w:tcW w:w="2341" w:type="dxa"/>
            <w:vMerge w:val="restart"/>
            <w:shd w:val="clear" w:color="auto" w:fill="auto"/>
            <w:vAlign w:val="center"/>
          </w:tcPr>
          <w:p w:rsidR="00845F35" w:rsidRPr="00845F35" w:rsidRDefault="00845F35" w:rsidP="005A5F44">
            <w:pPr>
              <w:spacing w:line="300" w:lineRule="exact"/>
              <w:jc w:val="left"/>
              <w:rPr>
                <w:rFonts w:ascii="仿宋_GB2312" w:eastAsia="仿宋_GB2312"/>
                <w:b/>
                <w:szCs w:val="21"/>
              </w:rPr>
            </w:pPr>
            <w:r w:rsidRPr="00845F35">
              <w:rPr>
                <w:rFonts w:ascii="仿宋_GB2312" w:eastAsia="仿宋_GB2312" w:hint="eastAsia"/>
                <w:b/>
                <w:szCs w:val="21"/>
              </w:rPr>
              <w:t xml:space="preserve">　　2、综合事务管理</w:t>
            </w:r>
          </w:p>
        </w:tc>
        <w:tc>
          <w:tcPr>
            <w:tcW w:w="12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领导县人民法院的监察工作；管理法院司法行政工作；承办其它应由县人民法院负责的工作。</w:t>
            </w:r>
          </w:p>
        </w:tc>
        <w:tc>
          <w:tcPr>
            <w:tcW w:w="2976" w:type="dxa"/>
            <w:vMerge w:val="restart"/>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高质高效完成年度各项工作。</w:t>
            </w: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政府采购覆盖面（%）</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100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各项保障工作完成率（%）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＜80</w:t>
            </w:r>
          </w:p>
        </w:tc>
      </w:tr>
      <w:tr w:rsidR="00845F35" w:rsidRPr="000A28B0" w:rsidTr="005A5F44">
        <w:trPr>
          <w:trHeight w:val="227"/>
          <w:jc w:val="center"/>
        </w:trPr>
        <w:tc>
          <w:tcPr>
            <w:tcW w:w="2341" w:type="dxa"/>
            <w:vMerge/>
            <w:shd w:val="clear" w:color="auto" w:fill="auto"/>
            <w:vAlign w:val="center"/>
          </w:tcPr>
          <w:p w:rsidR="00845F35" w:rsidRPr="00845F35" w:rsidRDefault="00845F35" w:rsidP="005A5F44">
            <w:pPr>
              <w:spacing w:line="300" w:lineRule="exact"/>
              <w:jc w:val="left"/>
              <w:rPr>
                <w:rFonts w:ascii="仿宋_GB2312" w:eastAsia="仿宋_GB2312"/>
                <w:b/>
                <w:szCs w:val="21"/>
              </w:rPr>
            </w:pPr>
          </w:p>
        </w:tc>
        <w:tc>
          <w:tcPr>
            <w:tcW w:w="12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2976" w:type="dxa"/>
            <w:vMerge/>
            <w:shd w:val="clear" w:color="auto" w:fill="auto"/>
            <w:vAlign w:val="center"/>
          </w:tcPr>
          <w:p w:rsidR="00845F35" w:rsidRPr="00845F35" w:rsidRDefault="00845F35" w:rsidP="005A5F44">
            <w:pPr>
              <w:spacing w:line="300" w:lineRule="exact"/>
              <w:jc w:val="left"/>
              <w:rPr>
                <w:rFonts w:ascii="仿宋_GB2312" w:eastAsia="仿宋_GB2312"/>
                <w:szCs w:val="21"/>
              </w:rPr>
            </w:pPr>
          </w:p>
        </w:tc>
        <w:tc>
          <w:tcPr>
            <w:tcW w:w="1417" w:type="dxa"/>
            <w:shd w:val="clear" w:color="auto" w:fill="auto"/>
            <w:vAlign w:val="center"/>
          </w:tcPr>
          <w:p w:rsidR="00845F35" w:rsidRPr="00845F35" w:rsidRDefault="00845F35" w:rsidP="005A5F44">
            <w:pPr>
              <w:spacing w:line="300" w:lineRule="exact"/>
              <w:jc w:val="left"/>
              <w:rPr>
                <w:rFonts w:ascii="仿宋_GB2312" w:eastAsia="仿宋_GB2312"/>
                <w:szCs w:val="21"/>
              </w:rPr>
            </w:pPr>
            <w:r w:rsidRPr="00845F35">
              <w:rPr>
                <w:rFonts w:ascii="仿宋_GB2312" w:eastAsia="仿宋_GB2312" w:hint="eastAsia"/>
                <w:szCs w:val="21"/>
              </w:rPr>
              <w:t>综合事务管理工作完成率（%）</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100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≥95</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c>
          <w:tcPr>
            <w:tcW w:w="737" w:type="dxa"/>
            <w:shd w:val="clear" w:color="auto" w:fill="auto"/>
            <w:vAlign w:val="center"/>
          </w:tcPr>
          <w:p w:rsidR="00845F35" w:rsidRPr="00845F35" w:rsidRDefault="00845F35" w:rsidP="005A5F44">
            <w:pPr>
              <w:spacing w:line="300" w:lineRule="exact"/>
              <w:jc w:val="center"/>
              <w:rPr>
                <w:rFonts w:ascii="仿宋_GB2312" w:eastAsia="仿宋_GB2312"/>
                <w:szCs w:val="21"/>
              </w:rPr>
            </w:pPr>
            <w:r w:rsidRPr="00845F35">
              <w:rPr>
                <w:rFonts w:ascii="仿宋_GB2312" w:eastAsia="仿宋_GB2312" w:hint="eastAsia"/>
                <w:szCs w:val="21"/>
              </w:rPr>
              <w:t>＜90</w:t>
            </w:r>
          </w:p>
        </w:tc>
      </w:tr>
    </w:tbl>
    <w:p w:rsidR="004B5846" w:rsidRPr="004B5846" w:rsidRDefault="004B5846" w:rsidP="004B5846">
      <w:pPr>
        <w:spacing w:line="300" w:lineRule="exact"/>
        <w:jc w:val="left"/>
        <w:outlineLvl w:val="0"/>
        <w:rPr>
          <w:rFonts w:ascii="仿宋_GB2312" w:eastAsia="仿宋_GB2312"/>
          <w:szCs w:val="21"/>
        </w:rPr>
        <w:sectPr w:rsidR="004B5846" w:rsidRPr="004B5846" w:rsidSect="00D178D8">
          <w:pgSz w:w="16839" w:h="11907" w:orient="landscape"/>
          <w:pgMar w:top="1020" w:right="1361" w:bottom="1020" w:left="1361" w:header="851" w:footer="992" w:gutter="0"/>
          <w:cols w:space="425"/>
          <w:docGrid w:type="lines" w:linePitch="312"/>
        </w:sectPr>
      </w:pPr>
    </w:p>
    <w:p w:rsidR="0082261D" w:rsidRPr="003372E5" w:rsidRDefault="000C6833" w:rsidP="003372E5">
      <w:pPr>
        <w:autoSpaceDE w:val="0"/>
        <w:autoSpaceDN w:val="0"/>
        <w:adjustRightInd w:val="0"/>
        <w:spacing w:line="584" w:lineRule="exact"/>
        <w:ind w:firstLineChars="200" w:firstLine="640"/>
        <w:jc w:val="left"/>
        <w:rPr>
          <w:rFonts w:ascii="黑体" w:eastAsia="黑体" w:hAnsi="黑体" w:cs="Times New Roman"/>
          <w:sz w:val="32"/>
          <w:szCs w:val="32"/>
        </w:rPr>
      </w:pPr>
      <w:r w:rsidRPr="003372E5">
        <w:rPr>
          <w:rFonts w:ascii="黑体" w:eastAsia="黑体" w:hAnsi="黑体" w:cs="Times New Roman" w:hint="eastAsia"/>
          <w:sz w:val="32"/>
          <w:szCs w:val="32"/>
        </w:rPr>
        <w:lastRenderedPageBreak/>
        <w:t>六、政府采购预算情况</w:t>
      </w:r>
    </w:p>
    <w:p w:rsidR="0082261D" w:rsidRPr="003372E5" w:rsidRDefault="000C6833" w:rsidP="003372E5">
      <w:pPr>
        <w:spacing w:line="584" w:lineRule="exact"/>
        <w:ind w:firstLineChars="200" w:firstLine="640"/>
        <w:outlineLvl w:val="0"/>
        <w:rPr>
          <w:rFonts w:ascii="仿宋_GB2312" w:eastAsia="仿宋_GB2312" w:hAnsi="Times New Roman" w:cs="Times New Roman"/>
          <w:sz w:val="32"/>
          <w:szCs w:val="32"/>
        </w:rPr>
      </w:pPr>
      <w:bookmarkStart w:id="3" w:name="_Toc471398468"/>
      <w:r w:rsidRPr="003372E5">
        <w:rPr>
          <w:rFonts w:ascii="仿宋_GB2312" w:eastAsia="仿宋_GB2312" w:hAnsi="Times New Roman" w:cs="Times New Roman" w:hint="eastAsia"/>
          <w:sz w:val="32"/>
          <w:szCs w:val="32"/>
        </w:rPr>
        <w:t>2019年，我部门安排政府采购预算482.85万元。具体内容见下表。</w:t>
      </w:r>
    </w:p>
    <w:p w:rsidR="0082261D" w:rsidRPr="003372E5" w:rsidRDefault="000C6833">
      <w:pPr>
        <w:spacing w:line="584" w:lineRule="exact"/>
        <w:jc w:val="center"/>
        <w:outlineLvl w:val="0"/>
        <w:rPr>
          <w:rFonts w:ascii="仿宋_GB2312" w:eastAsia="仿宋_GB2312" w:hAnsi="Times New Roman" w:cs="Times New Roman"/>
          <w:sz w:val="32"/>
          <w:szCs w:val="32"/>
        </w:rPr>
      </w:pPr>
      <w:bookmarkStart w:id="4" w:name="_Toc504489153"/>
      <w:bookmarkEnd w:id="3"/>
      <w:r w:rsidRPr="003372E5">
        <w:rPr>
          <w:rFonts w:ascii="仿宋_GB2312" w:eastAsia="仿宋_GB2312" w:hAnsi="Times New Roman" w:cs="Times New Roman" w:hint="eastAsia"/>
          <w:sz w:val="32"/>
          <w:szCs w:val="32"/>
        </w:rPr>
        <w:t>部门政府采购预算</w:t>
      </w:r>
      <w:bookmarkEnd w:id="4"/>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6"/>
        <w:gridCol w:w="1057"/>
        <w:gridCol w:w="932"/>
        <w:gridCol w:w="1372"/>
        <w:gridCol w:w="720"/>
        <w:gridCol w:w="740"/>
        <w:gridCol w:w="950"/>
        <w:gridCol w:w="956"/>
        <w:gridCol w:w="956"/>
        <w:gridCol w:w="956"/>
        <w:gridCol w:w="790"/>
        <w:gridCol w:w="924"/>
        <w:gridCol w:w="929"/>
        <w:gridCol w:w="880"/>
      </w:tblGrid>
      <w:tr w:rsidR="0082261D" w:rsidRPr="003372E5">
        <w:trPr>
          <w:tblHeader/>
          <w:jc w:val="center"/>
        </w:trPr>
        <w:tc>
          <w:tcPr>
            <w:tcW w:w="8177" w:type="dxa"/>
            <w:gridSpan w:val="7"/>
            <w:tcBorders>
              <w:top w:val="single" w:sz="6" w:space="0" w:color="FFFFFF"/>
              <w:left w:val="single" w:sz="6" w:space="0" w:color="FFFFFF"/>
              <w:right w:val="single" w:sz="6" w:space="0" w:color="FFFFFF"/>
            </w:tcBorders>
            <w:shd w:val="clear" w:color="auto" w:fill="auto"/>
            <w:vAlign w:val="center"/>
          </w:tcPr>
          <w:p w:rsidR="0082261D" w:rsidRPr="003372E5" w:rsidRDefault="003372E5">
            <w:pPr>
              <w:spacing w:line="584" w:lineRule="exact"/>
              <w:jc w:val="left"/>
              <w:rPr>
                <w:rFonts w:ascii="仿宋_GB2312" w:eastAsia="仿宋_GB2312" w:hAnsi="Times New Roman" w:cs="Times New Roman"/>
                <w:sz w:val="24"/>
                <w:szCs w:val="24"/>
              </w:rPr>
            </w:pPr>
            <w:r w:rsidRPr="003372E5">
              <w:rPr>
                <w:rFonts w:ascii="仿宋_GB2312" w:eastAsia="仿宋_GB2312" w:hAnsi="Times New Roman" w:cs="Times New Roman" w:hint="eastAsia"/>
                <w:sz w:val="24"/>
                <w:szCs w:val="24"/>
              </w:rPr>
              <w:t>368</w:t>
            </w:r>
            <w:r w:rsidR="000C6833" w:rsidRPr="003372E5">
              <w:rPr>
                <w:rFonts w:ascii="仿宋_GB2312" w:eastAsia="仿宋_GB2312" w:hAnsi="Times New Roman" w:cs="Times New Roman" w:hint="eastAsia"/>
                <w:sz w:val="24"/>
                <w:szCs w:val="24"/>
              </w:rPr>
              <w:t>廊坊市广阳区人民法院</w:t>
            </w:r>
          </w:p>
        </w:tc>
        <w:tc>
          <w:tcPr>
            <w:tcW w:w="6391" w:type="dxa"/>
            <w:gridSpan w:val="7"/>
            <w:tcBorders>
              <w:top w:val="single" w:sz="6" w:space="0" w:color="FFFFFF"/>
              <w:left w:val="single" w:sz="6" w:space="0" w:color="FFFFFF"/>
              <w:right w:val="single" w:sz="6" w:space="0" w:color="FFFFFF"/>
            </w:tcBorders>
            <w:shd w:val="clear" w:color="auto" w:fill="auto"/>
            <w:vAlign w:val="center"/>
          </w:tcPr>
          <w:p w:rsidR="0082261D" w:rsidRPr="003372E5" w:rsidRDefault="000C6833">
            <w:pPr>
              <w:spacing w:line="584" w:lineRule="exact"/>
              <w:jc w:val="right"/>
              <w:rPr>
                <w:rFonts w:ascii="仿宋_GB2312" w:eastAsia="仿宋_GB2312" w:hAnsi="Times New Roman" w:cs="Times New Roman"/>
                <w:sz w:val="24"/>
                <w:szCs w:val="24"/>
              </w:rPr>
            </w:pPr>
            <w:r w:rsidRPr="003372E5">
              <w:rPr>
                <w:rFonts w:ascii="仿宋_GB2312" w:eastAsia="仿宋_GB2312" w:hAnsi="Times New Roman" w:cs="Times New Roman" w:hint="eastAsia"/>
                <w:sz w:val="24"/>
                <w:szCs w:val="24"/>
              </w:rPr>
              <w:t>单位：万元</w:t>
            </w:r>
          </w:p>
        </w:tc>
      </w:tr>
      <w:tr w:rsidR="0082261D" w:rsidRPr="004B5846">
        <w:trPr>
          <w:tblHeader/>
          <w:jc w:val="center"/>
        </w:trPr>
        <w:tc>
          <w:tcPr>
            <w:tcW w:w="3463" w:type="dxa"/>
            <w:gridSpan w:val="2"/>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政府采购项目来源</w:t>
            </w:r>
          </w:p>
        </w:tc>
        <w:tc>
          <w:tcPr>
            <w:tcW w:w="932"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采购物品名称</w:t>
            </w:r>
          </w:p>
        </w:tc>
        <w:tc>
          <w:tcPr>
            <w:tcW w:w="1372"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政府采购目录序号</w:t>
            </w:r>
          </w:p>
        </w:tc>
        <w:tc>
          <w:tcPr>
            <w:tcW w:w="720"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数量单位</w:t>
            </w:r>
          </w:p>
        </w:tc>
        <w:tc>
          <w:tcPr>
            <w:tcW w:w="740"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数量</w:t>
            </w:r>
          </w:p>
        </w:tc>
        <w:tc>
          <w:tcPr>
            <w:tcW w:w="950"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单价</w:t>
            </w:r>
          </w:p>
        </w:tc>
        <w:tc>
          <w:tcPr>
            <w:tcW w:w="6391" w:type="dxa"/>
            <w:gridSpan w:val="7"/>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政府采购金额</w:t>
            </w:r>
          </w:p>
        </w:tc>
      </w:tr>
      <w:tr w:rsidR="0082261D" w:rsidRPr="004B5846">
        <w:trPr>
          <w:tblHeader/>
          <w:jc w:val="center"/>
        </w:trPr>
        <w:tc>
          <w:tcPr>
            <w:tcW w:w="2406"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项目名称</w:t>
            </w:r>
          </w:p>
        </w:tc>
        <w:tc>
          <w:tcPr>
            <w:tcW w:w="1057"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预算资金</w:t>
            </w:r>
          </w:p>
        </w:tc>
        <w:tc>
          <w:tcPr>
            <w:tcW w:w="932"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1372"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720"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740"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950"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956"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总计</w:t>
            </w:r>
          </w:p>
        </w:tc>
        <w:tc>
          <w:tcPr>
            <w:tcW w:w="4555" w:type="dxa"/>
            <w:gridSpan w:val="5"/>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当年部门预算安排资金</w:t>
            </w:r>
          </w:p>
        </w:tc>
        <w:tc>
          <w:tcPr>
            <w:tcW w:w="880" w:type="dxa"/>
            <w:vMerge w:val="restart"/>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其他渠道资金</w:t>
            </w:r>
          </w:p>
        </w:tc>
      </w:tr>
      <w:tr w:rsidR="0082261D" w:rsidRPr="004B5846">
        <w:trPr>
          <w:tblHeader/>
          <w:jc w:val="center"/>
        </w:trPr>
        <w:tc>
          <w:tcPr>
            <w:tcW w:w="2406"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1057"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932"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1372"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720"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740"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950"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956"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c>
          <w:tcPr>
            <w:tcW w:w="956"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合计</w:t>
            </w:r>
          </w:p>
        </w:tc>
        <w:tc>
          <w:tcPr>
            <w:tcW w:w="956"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一般公共预算拨款</w:t>
            </w:r>
          </w:p>
        </w:tc>
        <w:tc>
          <w:tcPr>
            <w:tcW w:w="790"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基金预算拨款</w:t>
            </w:r>
          </w:p>
        </w:tc>
        <w:tc>
          <w:tcPr>
            <w:tcW w:w="924"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财政专户核拨</w:t>
            </w:r>
          </w:p>
        </w:tc>
        <w:tc>
          <w:tcPr>
            <w:tcW w:w="929"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其他来源收入</w:t>
            </w:r>
          </w:p>
        </w:tc>
        <w:tc>
          <w:tcPr>
            <w:tcW w:w="880" w:type="dxa"/>
            <w:vMerge/>
            <w:shd w:val="clear" w:color="auto" w:fill="auto"/>
            <w:vAlign w:val="center"/>
          </w:tcPr>
          <w:p w:rsidR="0082261D" w:rsidRPr="004B5846" w:rsidRDefault="0082261D">
            <w:pPr>
              <w:spacing w:line="584" w:lineRule="exact"/>
              <w:jc w:val="left"/>
              <w:outlineLvl w:val="0"/>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合　计</w:t>
            </w:r>
          </w:p>
        </w:tc>
        <w:tc>
          <w:tcPr>
            <w:tcW w:w="1057"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482.85</w:t>
            </w:r>
          </w:p>
        </w:tc>
        <w:tc>
          <w:tcPr>
            <w:tcW w:w="932" w:type="dxa"/>
            <w:shd w:val="clear" w:color="auto" w:fill="auto"/>
            <w:vAlign w:val="center"/>
          </w:tcPr>
          <w:p w:rsidR="0082261D" w:rsidRPr="004B5846" w:rsidRDefault="0082261D">
            <w:pPr>
              <w:spacing w:line="584" w:lineRule="exact"/>
              <w:jc w:val="left"/>
              <w:rPr>
                <w:rFonts w:ascii="仿宋_GB2312" w:eastAsia="仿宋_GB2312" w:hAnsi="Times New Roman" w:cs="Times New Roman"/>
                <w:b/>
                <w:szCs w:val="21"/>
              </w:rPr>
            </w:pPr>
          </w:p>
        </w:tc>
        <w:tc>
          <w:tcPr>
            <w:tcW w:w="1372" w:type="dxa"/>
            <w:shd w:val="clear" w:color="auto" w:fill="auto"/>
            <w:vAlign w:val="center"/>
          </w:tcPr>
          <w:p w:rsidR="0082261D" w:rsidRPr="004B5846" w:rsidRDefault="0082261D">
            <w:pPr>
              <w:spacing w:line="584" w:lineRule="exact"/>
              <w:jc w:val="left"/>
              <w:rPr>
                <w:rFonts w:ascii="仿宋_GB2312" w:eastAsia="仿宋_GB2312" w:hAnsi="Times New Roman" w:cs="Times New Roman"/>
                <w:b/>
                <w:szCs w:val="21"/>
              </w:rPr>
            </w:pPr>
          </w:p>
        </w:tc>
        <w:tc>
          <w:tcPr>
            <w:tcW w:w="720" w:type="dxa"/>
            <w:shd w:val="clear" w:color="auto" w:fill="auto"/>
            <w:vAlign w:val="center"/>
          </w:tcPr>
          <w:p w:rsidR="0082261D" w:rsidRPr="004B5846" w:rsidRDefault="0082261D">
            <w:pPr>
              <w:spacing w:line="584" w:lineRule="exact"/>
              <w:jc w:val="left"/>
              <w:rPr>
                <w:rFonts w:ascii="仿宋_GB2312" w:eastAsia="仿宋_GB2312" w:hAnsi="Times New Roman" w:cs="Times New Roman"/>
                <w:b/>
                <w:szCs w:val="21"/>
              </w:rPr>
            </w:pPr>
          </w:p>
        </w:tc>
        <w:tc>
          <w:tcPr>
            <w:tcW w:w="740" w:type="dxa"/>
            <w:shd w:val="clear" w:color="auto" w:fill="auto"/>
            <w:vAlign w:val="center"/>
          </w:tcPr>
          <w:p w:rsidR="0082261D" w:rsidRPr="004B5846" w:rsidRDefault="0082261D">
            <w:pPr>
              <w:spacing w:line="584" w:lineRule="exact"/>
              <w:jc w:val="right"/>
              <w:rPr>
                <w:rFonts w:ascii="仿宋_GB2312" w:eastAsia="仿宋_GB2312" w:hAnsi="Times New Roman" w:cs="Times New Roman"/>
                <w:b/>
                <w:szCs w:val="21"/>
              </w:rPr>
            </w:pPr>
          </w:p>
        </w:tc>
        <w:tc>
          <w:tcPr>
            <w:tcW w:w="950" w:type="dxa"/>
            <w:shd w:val="clear" w:color="auto" w:fill="auto"/>
            <w:vAlign w:val="center"/>
          </w:tcPr>
          <w:p w:rsidR="0082261D" w:rsidRPr="004B5846" w:rsidRDefault="0082261D">
            <w:pPr>
              <w:spacing w:line="584" w:lineRule="exact"/>
              <w:jc w:val="right"/>
              <w:rPr>
                <w:rFonts w:ascii="仿宋_GB2312" w:eastAsia="仿宋_GB2312" w:hAnsi="Times New Roman" w:cs="Times New Roman"/>
                <w:b/>
                <w:szCs w:val="21"/>
              </w:rPr>
            </w:pPr>
          </w:p>
        </w:tc>
        <w:tc>
          <w:tcPr>
            <w:tcW w:w="956"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482.85</w:t>
            </w:r>
          </w:p>
        </w:tc>
        <w:tc>
          <w:tcPr>
            <w:tcW w:w="956" w:type="dxa"/>
            <w:shd w:val="clear" w:color="auto" w:fill="auto"/>
            <w:vAlign w:val="center"/>
          </w:tcPr>
          <w:p w:rsidR="0082261D" w:rsidRPr="004B5846" w:rsidRDefault="000C6833">
            <w:pPr>
              <w:spacing w:line="584" w:lineRule="exact"/>
              <w:jc w:val="center"/>
              <w:rPr>
                <w:rFonts w:ascii="仿宋_GB2312" w:eastAsia="仿宋_GB2312" w:hAnsi="Times New Roman" w:cs="Times New Roman"/>
                <w:b/>
                <w:szCs w:val="21"/>
              </w:rPr>
            </w:pPr>
            <w:r w:rsidRPr="004B5846">
              <w:rPr>
                <w:rFonts w:ascii="仿宋_GB2312" w:eastAsia="仿宋_GB2312" w:hAnsi="Times New Roman" w:cs="Times New Roman" w:hint="eastAsia"/>
                <w:b/>
                <w:szCs w:val="21"/>
              </w:rPr>
              <w:t>482.85</w:t>
            </w:r>
          </w:p>
        </w:tc>
        <w:tc>
          <w:tcPr>
            <w:tcW w:w="956" w:type="dxa"/>
            <w:shd w:val="clear" w:color="auto" w:fill="auto"/>
            <w:vAlign w:val="center"/>
          </w:tcPr>
          <w:p w:rsidR="0082261D" w:rsidRPr="004B5846" w:rsidRDefault="00FE2CD7">
            <w:pPr>
              <w:spacing w:line="584" w:lineRule="exact"/>
              <w:jc w:val="right"/>
              <w:rPr>
                <w:rFonts w:ascii="仿宋_GB2312" w:eastAsia="仿宋_GB2312" w:hAnsi="Times New Roman" w:cs="Times New Roman"/>
                <w:b/>
                <w:szCs w:val="21"/>
              </w:rPr>
            </w:pPr>
            <w:r>
              <w:rPr>
                <w:rFonts w:ascii="仿宋_GB2312" w:eastAsia="仿宋_GB2312" w:hAnsi="Times New Roman" w:cs="Times New Roman" w:hint="eastAsia"/>
                <w:b/>
                <w:szCs w:val="21"/>
              </w:rPr>
              <w:t>482.85</w:t>
            </w:r>
          </w:p>
        </w:tc>
        <w:tc>
          <w:tcPr>
            <w:tcW w:w="790" w:type="dxa"/>
            <w:shd w:val="clear" w:color="auto" w:fill="auto"/>
            <w:vAlign w:val="center"/>
          </w:tcPr>
          <w:p w:rsidR="0082261D" w:rsidRPr="004B5846" w:rsidRDefault="0082261D">
            <w:pPr>
              <w:spacing w:line="584" w:lineRule="exact"/>
              <w:jc w:val="right"/>
              <w:rPr>
                <w:rFonts w:ascii="仿宋_GB2312" w:eastAsia="仿宋_GB2312" w:hAnsi="Times New Roman" w:cs="Times New Roman"/>
                <w:b/>
                <w:szCs w:val="21"/>
              </w:rPr>
            </w:pPr>
          </w:p>
        </w:tc>
        <w:tc>
          <w:tcPr>
            <w:tcW w:w="924" w:type="dxa"/>
            <w:shd w:val="clear" w:color="auto" w:fill="auto"/>
            <w:vAlign w:val="center"/>
          </w:tcPr>
          <w:p w:rsidR="0082261D" w:rsidRPr="004B5846" w:rsidRDefault="0082261D">
            <w:pPr>
              <w:spacing w:line="584" w:lineRule="exact"/>
              <w:jc w:val="right"/>
              <w:rPr>
                <w:rFonts w:ascii="仿宋_GB2312" w:eastAsia="仿宋_GB2312" w:hAnsi="Times New Roman" w:cs="Times New Roman"/>
                <w:b/>
                <w:szCs w:val="21"/>
              </w:rPr>
            </w:pPr>
          </w:p>
        </w:tc>
        <w:tc>
          <w:tcPr>
            <w:tcW w:w="929" w:type="dxa"/>
            <w:shd w:val="clear" w:color="auto" w:fill="auto"/>
            <w:vAlign w:val="center"/>
          </w:tcPr>
          <w:p w:rsidR="0082261D" w:rsidRPr="004B5846" w:rsidRDefault="0082261D">
            <w:pPr>
              <w:spacing w:line="584" w:lineRule="exact"/>
              <w:jc w:val="right"/>
              <w:rPr>
                <w:rFonts w:ascii="仿宋_GB2312" w:eastAsia="仿宋_GB2312" w:hAnsi="Times New Roman" w:cs="Times New Roman"/>
                <w:b/>
                <w:szCs w:val="21"/>
              </w:rPr>
            </w:pPr>
          </w:p>
        </w:tc>
        <w:tc>
          <w:tcPr>
            <w:tcW w:w="880" w:type="dxa"/>
            <w:shd w:val="clear" w:color="auto" w:fill="auto"/>
            <w:vAlign w:val="center"/>
          </w:tcPr>
          <w:p w:rsidR="0082261D" w:rsidRPr="004B5846" w:rsidRDefault="0082261D">
            <w:pPr>
              <w:spacing w:line="584" w:lineRule="exact"/>
              <w:jc w:val="right"/>
              <w:rPr>
                <w:rFonts w:ascii="仿宋_GB2312" w:eastAsia="仿宋_GB2312" w:hAnsi="Times New Roman" w:cs="Times New Roman"/>
                <w:b/>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车辆购置项目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36</w:t>
            </w:r>
          </w:p>
        </w:tc>
        <w:tc>
          <w:tcPr>
            <w:tcW w:w="932" w:type="dxa"/>
            <w:shd w:val="clear" w:color="auto" w:fill="auto"/>
            <w:vAlign w:val="center"/>
          </w:tcPr>
          <w:p w:rsidR="0082261D" w:rsidRPr="00845F35" w:rsidRDefault="000C6833">
            <w:pPr>
              <w:spacing w:line="584" w:lineRule="exact"/>
              <w:jc w:val="left"/>
              <w:rPr>
                <w:rFonts w:ascii="仿宋_GB2312" w:eastAsia="仿宋_GB2312" w:hAnsi="Times New Roman" w:cs="Times New Roman"/>
                <w:szCs w:val="21"/>
              </w:rPr>
            </w:pPr>
            <w:r w:rsidRPr="00845F35">
              <w:rPr>
                <w:rFonts w:ascii="仿宋_GB2312" w:eastAsia="仿宋_GB2312" w:hAnsi="Times New Roman" w:cs="Times New Roman" w:hint="eastAsia"/>
                <w:szCs w:val="21"/>
              </w:rPr>
              <w:t>执法车辆</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41</w:t>
            </w:r>
          </w:p>
        </w:tc>
        <w:tc>
          <w:tcPr>
            <w:tcW w:w="720" w:type="dxa"/>
            <w:shd w:val="clear" w:color="auto" w:fill="auto"/>
            <w:vAlign w:val="center"/>
          </w:tcPr>
          <w:p w:rsidR="0082261D" w:rsidRPr="00845F35" w:rsidRDefault="000C6833">
            <w:pPr>
              <w:spacing w:line="584" w:lineRule="exact"/>
              <w:jc w:val="left"/>
              <w:rPr>
                <w:rFonts w:ascii="仿宋_GB2312" w:eastAsia="仿宋_GB2312" w:hAnsi="Times New Roman" w:cs="Times New Roman"/>
                <w:szCs w:val="21"/>
              </w:rPr>
            </w:pPr>
            <w:r w:rsidRPr="00845F35">
              <w:rPr>
                <w:rFonts w:ascii="仿宋_GB2312" w:eastAsia="仿宋_GB2312" w:hAnsi="Times New Roman" w:cs="Times New Roman" w:hint="eastAsia"/>
                <w:szCs w:val="21"/>
              </w:rPr>
              <w:t>辆</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12</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36</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36</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36</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车辆购置项目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45</w:t>
            </w:r>
          </w:p>
        </w:tc>
        <w:tc>
          <w:tcPr>
            <w:tcW w:w="932" w:type="dxa"/>
            <w:shd w:val="clear" w:color="auto" w:fill="auto"/>
            <w:vAlign w:val="center"/>
          </w:tcPr>
          <w:p w:rsidR="0082261D" w:rsidRPr="00845F35" w:rsidRDefault="000C6833">
            <w:pPr>
              <w:spacing w:line="584" w:lineRule="exact"/>
              <w:jc w:val="left"/>
              <w:rPr>
                <w:rFonts w:ascii="仿宋_GB2312" w:eastAsia="仿宋_GB2312" w:hAnsi="Times New Roman" w:cs="Times New Roman"/>
                <w:szCs w:val="21"/>
              </w:rPr>
            </w:pPr>
            <w:r w:rsidRPr="00845F35">
              <w:rPr>
                <w:rFonts w:ascii="仿宋_GB2312" w:eastAsia="仿宋_GB2312" w:hAnsi="Times New Roman" w:cs="Times New Roman" w:hint="eastAsia"/>
                <w:szCs w:val="21"/>
              </w:rPr>
              <w:t>囚车</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48</w:t>
            </w:r>
          </w:p>
        </w:tc>
        <w:tc>
          <w:tcPr>
            <w:tcW w:w="720" w:type="dxa"/>
            <w:shd w:val="clear" w:color="auto" w:fill="auto"/>
            <w:vAlign w:val="center"/>
          </w:tcPr>
          <w:p w:rsidR="0082261D" w:rsidRPr="00845F35" w:rsidRDefault="000C6833">
            <w:pPr>
              <w:spacing w:line="584" w:lineRule="exact"/>
              <w:jc w:val="left"/>
              <w:rPr>
                <w:rFonts w:ascii="仿宋_GB2312" w:eastAsia="仿宋_GB2312" w:hAnsi="Times New Roman" w:cs="Times New Roman"/>
                <w:szCs w:val="21"/>
              </w:rPr>
            </w:pPr>
            <w:r w:rsidRPr="00845F35">
              <w:rPr>
                <w:rFonts w:ascii="仿宋_GB2312" w:eastAsia="仿宋_GB2312" w:hAnsi="Times New Roman" w:cs="Times New Roman" w:hint="eastAsia"/>
                <w:szCs w:val="21"/>
              </w:rPr>
              <w:t>辆</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45</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45</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45</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45</w:t>
            </w:r>
          </w:p>
        </w:tc>
        <w:tc>
          <w:tcPr>
            <w:tcW w:w="790" w:type="dxa"/>
            <w:shd w:val="clear" w:color="auto" w:fill="auto"/>
            <w:vAlign w:val="center"/>
          </w:tcPr>
          <w:p w:rsidR="0082261D" w:rsidRPr="00845F35" w:rsidRDefault="0082261D">
            <w:pPr>
              <w:spacing w:line="584" w:lineRule="exact"/>
              <w:jc w:val="lef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lef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lef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lef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车辆购置项目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18</w:t>
            </w:r>
          </w:p>
        </w:tc>
        <w:tc>
          <w:tcPr>
            <w:tcW w:w="932" w:type="dxa"/>
            <w:shd w:val="clear" w:color="auto" w:fill="auto"/>
            <w:vAlign w:val="center"/>
          </w:tcPr>
          <w:p w:rsidR="0082261D" w:rsidRPr="00845F35" w:rsidRDefault="000C6833">
            <w:pPr>
              <w:spacing w:line="584" w:lineRule="exact"/>
              <w:jc w:val="left"/>
              <w:rPr>
                <w:rFonts w:ascii="仿宋_GB2312" w:eastAsia="仿宋_GB2312" w:hAnsi="Times New Roman" w:cs="Times New Roman"/>
                <w:szCs w:val="21"/>
              </w:rPr>
            </w:pPr>
            <w:r w:rsidRPr="00845F35">
              <w:rPr>
                <w:rFonts w:ascii="仿宋_GB2312" w:eastAsia="仿宋_GB2312" w:hAnsi="Times New Roman" w:cs="Times New Roman" w:hint="eastAsia"/>
                <w:szCs w:val="21"/>
              </w:rPr>
              <w:t>公务用车</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31</w:t>
            </w:r>
          </w:p>
        </w:tc>
        <w:tc>
          <w:tcPr>
            <w:tcW w:w="720" w:type="dxa"/>
            <w:shd w:val="clear" w:color="auto" w:fill="auto"/>
            <w:vAlign w:val="center"/>
          </w:tcPr>
          <w:p w:rsidR="0082261D" w:rsidRPr="00845F35" w:rsidRDefault="000C6833">
            <w:pPr>
              <w:spacing w:line="584" w:lineRule="exact"/>
              <w:jc w:val="left"/>
              <w:rPr>
                <w:rFonts w:ascii="仿宋_GB2312" w:eastAsia="仿宋_GB2312" w:hAnsi="Times New Roman" w:cs="Times New Roman"/>
                <w:szCs w:val="21"/>
              </w:rPr>
            </w:pPr>
            <w:r w:rsidRPr="00845F35">
              <w:rPr>
                <w:rFonts w:ascii="仿宋_GB2312" w:eastAsia="仿宋_GB2312" w:hAnsi="Times New Roman" w:cs="Times New Roman" w:hint="eastAsia"/>
                <w:szCs w:val="21"/>
              </w:rPr>
              <w:t>辆</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18</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18</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18</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18</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3372E5">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lastRenderedPageBreak/>
              <w:t>办公家具购置项目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22.75</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桌椅</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132</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套</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91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0.25</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22.75</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22.75</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22.75</w:t>
            </w:r>
          </w:p>
        </w:tc>
        <w:tc>
          <w:tcPr>
            <w:tcW w:w="79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3372E5">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办公家具购置项目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9.1</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文件柜</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132</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组</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91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0.1</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9.1</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9.1</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9.1</w:t>
            </w:r>
          </w:p>
        </w:tc>
        <w:tc>
          <w:tcPr>
            <w:tcW w:w="79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3372E5">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办公设备购置项目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复印机</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19</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台</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79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3372E5">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办公设备购置项目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打印机</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11</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台</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20</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0.3</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w:t>
            </w:r>
          </w:p>
        </w:tc>
        <w:tc>
          <w:tcPr>
            <w:tcW w:w="79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3372E5">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办公设备购置项目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扫描仪</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15</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台</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20</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0.4</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w:t>
            </w:r>
          </w:p>
        </w:tc>
        <w:tc>
          <w:tcPr>
            <w:tcW w:w="79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3372E5">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办公设备购置项目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2.8</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审判庭空调</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62</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台</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0.7</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2.8</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2.8</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2.8</w:t>
            </w:r>
          </w:p>
        </w:tc>
        <w:tc>
          <w:tcPr>
            <w:tcW w:w="79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3372E5">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办公设备购置项目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大屏幕平板电</w:t>
            </w:r>
            <w:r w:rsidRPr="00845F35">
              <w:rPr>
                <w:rFonts w:ascii="仿宋_GB2312" w:eastAsia="仿宋_GB2312" w:hAnsi="Times New Roman" w:cs="Times New Roman" w:hint="eastAsia"/>
                <w:szCs w:val="21"/>
              </w:rPr>
              <w:lastRenderedPageBreak/>
              <w:t>视</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lastRenderedPageBreak/>
              <w:t>79</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台</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5</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0.6</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w:t>
            </w:r>
          </w:p>
        </w:tc>
        <w:tc>
          <w:tcPr>
            <w:tcW w:w="79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lastRenderedPageBreak/>
              <w:t>办公设备购置项目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3.2</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办公室空调</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62</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台</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0.4</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3.2</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3.2</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3.2</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公告电子显示屏</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40</w:t>
            </w:r>
          </w:p>
        </w:tc>
        <w:tc>
          <w:tcPr>
            <w:tcW w:w="93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公告电子显示屏</w:t>
            </w: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12</w:t>
            </w:r>
          </w:p>
        </w:tc>
        <w:tc>
          <w:tcPr>
            <w:tcW w:w="72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套</w:t>
            </w: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40</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万庄法庭、九州法庭煤改气想项目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100</w:t>
            </w:r>
          </w:p>
        </w:tc>
        <w:tc>
          <w:tcPr>
            <w:tcW w:w="932"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205</w:t>
            </w:r>
          </w:p>
        </w:tc>
        <w:tc>
          <w:tcPr>
            <w:tcW w:w="72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100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100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100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100</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网络安全及涉密网建设</w:t>
            </w:r>
            <w:r w:rsidRPr="00845F35">
              <w:rPr>
                <w:rFonts w:ascii="仿宋_GB2312" w:eastAsia="仿宋_GB2312" w:hAnsi="Times New Roman" w:cs="Times New Roman" w:hint="eastAsia"/>
                <w:szCs w:val="21"/>
              </w:rPr>
              <w:lastRenderedPageBreak/>
              <w:t>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lastRenderedPageBreak/>
              <w:t>6</w:t>
            </w:r>
          </w:p>
        </w:tc>
        <w:tc>
          <w:tcPr>
            <w:tcW w:w="932"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191</w:t>
            </w:r>
          </w:p>
        </w:tc>
        <w:tc>
          <w:tcPr>
            <w:tcW w:w="72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60</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lastRenderedPageBreak/>
              <w:t>档案室升级改造项目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80</w:t>
            </w:r>
          </w:p>
        </w:tc>
        <w:tc>
          <w:tcPr>
            <w:tcW w:w="932"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208</w:t>
            </w:r>
          </w:p>
        </w:tc>
        <w:tc>
          <w:tcPr>
            <w:tcW w:w="72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80</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80</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r w:rsidR="0082261D" w:rsidRPr="004B5846">
        <w:trPr>
          <w:jc w:val="center"/>
        </w:trPr>
        <w:tc>
          <w:tcPr>
            <w:tcW w:w="240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医疗体检项目</w:t>
            </w:r>
          </w:p>
        </w:tc>
        <w:tc>
          <w:tcPr>
            <w:tcW w:w="1057"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43</w:t>
            </w:r>
          </w:p>
        </w:tc>
        <w:tc>
          <w:tcPr>
            <w:tcW w:w="932"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1372"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288</w:t>
            </w:r>
          </w:p>
        </w:tc>
        <w:tc>
          <w:tcPr>
            <w:tcW w:w="720" w:type="dxa"/>
            <w:shd w:val="clear" w:color="auto" w:fill="auto"/>
            <w:vAlign w:val="center"/>
          </w:tcPr>
          <w:p w:rsidR="0082261D" w:rsidRPr="00845F35" w:rsidRDefault="0082261D">
            <w:pPr>
              <w:spacing w:line="584" w:lineRule="exact"/>
              <w:jc w:val="center"/>
              <w:rPr>
                <w:rFonts w:ascii="仿宋_GB2312" w:eastAsia="仿宋_GB2312" w:hAnsi="Times New Roman" w:cs="Times New Roman"/>
                <w:szCs w:val="21"/>
              </w:rPr>
            </w:pPr>
          </w:p>
        </w:tc>
        <w:tc>
          <w:tcPr>
            <w:tcW w:w="74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1</w:t>
            </w:r>
          </w:p>
        </w:tc>
        <w:tc>
          <w:tcPr>
            <w:tcW w:w="950"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43</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43</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43</w:t>
            </w:r>
          </w:p>
        </w:tc>
        <w:tc>
          <w:tcPr>
            <w:tcW w:w="956" w:type="dxa"/>
            <w:shd w:val="clear" w:color="auto" w:fill="auto"/>
            <w:vAlign w:val="center"/>
          </w:tcPr>
          <w:p w:rsidR="0082261D" w:rsidRPr="00845F35" w:rsidRDefault="000C6833">
            <w:pPr>
              <w:spacing w:line="584" w:lineRule="exact"/>
              <w:jc w:val="center"/>
              <w:rPr>
                <w:rFonts w:ascii="仿宋_GB2312" w:eastAsia="仿宋_GB2312" w:hAnsi="Times New Roman" w:cs="Times New Roman"/>
                <w:szCs w:val="21"/>
              </w:rPr>
            </w:pPr>
            <w:r w:rsidRPr="00845F35">
              <w:rPr>
                <w:rFonts w:ascii="仿宋_GB2312" w:eastAsia="仿宋_GB2312" w:hAnsi="Times New Roman" w:cs="Times New Roman" w:hint="eastAsia"/>
                <w:szCs w:val="21"/>
              </w:rPr>
              <w:t>43</w:t>
            </w:r>
          </w:p>
        </w:tc>
        <w:tc>
          <w:tcPr>
            <w:tcW w:w="79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4"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929"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c>
          <w:tcPr>
            <w:tcW w:w="880" w:type="dxa"/>
            <w:shd w:val="clear" w:color="auto" w:fill="auto"/>
            <w:vAlign w:val="center"/>
          </w:tcPr>
          <w:p w:rsidR="0082261D" w:rsidRPr="00845F35" w:rsidRDefault="0082261D">
            <w:pPr>
              <w:spacing w:line="584" w:lineRule="exact"/>
              <w:jc w:val="right"/>
              <w:rPr>
                <w:rFonts w:ascii="仿宋_GB2312" w:eastAsia="仿宋_GB2312" w:hAnsi="Times New Roman" w:cs="Times New Roman"/>
                <w:szCs w:val="21"/>
              </w:rPr>
            </w:pPr>
          </w:p>
        </w:tc>
      </w:tr>
    </w:tbl>
    <w:p w:rsidR="0082261D" w:rsidRDefault="0082261D">
      <w:pPr>
        <w:spacing w:line="584" w:lineRule="exact"/>
        <w:jc w:val="left"/>
        <w:outlineLvl w:val="0"/>
        <w:rPr>
          <w:rFonts w:ascii="Times New Roman" w:eastAsia="仿宋_GB2312" w:hAnsi="Times New Roman" w:cs="Times New Roman"/>
        </w:rPr>
        <w:sectPr w:rsidR="0082261D">
          <w:footerReference w:type="default" r:id="rId8"/>
          <w:footerReference w:type="first" r:id="rId9"/>
          <w:pgSz w:w="16839" w:h="11907" w:orient="landscape"/>
          <w:pgMar w:top="1361" w:right="1020" w:bottom="1361" w:left="1020" w:header="851" w:footer="992" w:gutter="0"/>
          <w:cols w:space="425"/>
          <w:docGrid w:type="lines" w:linePitch="312"/>
        </w:sectPr>
      </w:pPr>
    </w:p>
    <w:p w:rsidR="0082261D" w:rsidRDefault="000C683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82261D" w:rsidRDefault="000C683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广阳区人民法院</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1795.7241</w:t>
      </w:r>
      <w:r>
        <w:rPr>
          <w:rFonts w:ascii="Times New Roman" w:eastAsia="仿宋_GB2312" w:hAnsi="Times New Roman" w:cs="Times New Roman"/>
          <w:sz w:val="32"/>
          <w:szCs w:val="32"/>
        </w:rPr>
        <w:t>万元，本年度我部门拟购置固定资产主要为计算机设备、打印设备、空调、办公家具</w:t>
      </w:r>
      <w:r>
        <w:rPr>
          <w:rFonts w:ascii="Times New Roman" w:eastAsia="仿宋_GB2312" w:hAnsi="Times New Roman" w:cs="Times New Roman" w:hint="eastAsia"/>
          <w:sz w:val="32"/>
          <w:szCs w:val="32"/>
        </w:rPr>
        <w:t>、车辆</w:t>
      </w:r>
      <w:r>
        <w:rPr>
          <w:rFonts w:ascii="Times New Roman" w:eastAsia="仿宋_GB2312" w:hAnsi="Times New Roman" w:cs="Times New Roman"/>
          <w:sz w:val="32"/>
          <w:szCs w:val="32"/>
        </w:rPr>
        <w:t>等，已列入政府采购预算。详见下表。</w:t>
      </w:r>
    </w:p>
    <w:p w:rsidR="0082261D" w:rsidRDefault="0082261D">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82261D">
        <w:trPr>
          <w:trHeight w:val="705"/>
        </w:trPr>
        <w:tc>
          <w:tcPr>
            <w:tcW w:w="13482" w:type="dxa"/>
            <w:gridSpan w:val="3"/>
            <w:tcBorders>
              <w:top w:val="nil"/>
              <w:left w:val="nil"/>
              <w:bottom w:val="nil"/>
              <w:right w:val="nil"/>
            </w:tcBorders>
            <w:shd w:val="clear" w:color="auto" w:fill="auto"/>
            <w:noWrap/>
            <w:vAlign w:val="center"/>
          </w:tcPr>
          <w:p w:rsidR="0082261D" w:rsidRDefault="000C6833">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w:t>
            </w:r>
            <w:r w:rsidR="003372E5">
              <w:rPr>
                <w:rFonts w:ascii="Times New Roman" w:eastAsia="仿宋_GB2312" w:hAnsi="Times New Roman" w:cs="Times New Roman" w:hint="eastAsia"/>
                <w:b/>
                <w:bCs/>
                <w:kern w:val="0"/>
                <w:sz w:val="32"/>
                <w:szCs w:val="32"/>
              </w:rPr>
              <w:t>区</w:t>
            </w:r>
            <w:r>
              <w:rPr>
                <w:rFonts w:ascii="Times New Roman" w:eastAsia="仿宋_GB2312" w:hAnsi="Times New Roman" w:cs="Times New Roman"/>
                <w:b/>
                <w:bCs/>
                <w:kern w:val="0"/>
                <w:sz w:val="32"/>
                <w:szCs w:val="32"/>
              </w:rPr>
              <w:t>直部门固定资产占用情况表</w:t>
            </w:r>
          </w:p>
        </w:tc>
      </w:tr>
      <w:tr w:rsidR="0082261D">
        <w:trPr>
          <w:trHeight w:val="510"/>
        </w:trPr>
        <w:tc>
          <w:tcPr>
            <w:tcW w:w="8379" w:type="dxa"/>
            <w:gridSpan w:val="2"/>
            <w:tcBorders>
              <w:top w:val="nil"/>
              <w:left w:val="nil"/>
              <w:bottom w:val="nil"/>
              <w:right w:val="nil"/>
            </w:tcBorders>
            <w:shd w:val="clear" w:color="auto" w:fill="auto"/>
            <w:noWrap/>
            <w:vAlign w:val="center"/>
          </w:tcPr>
          <w:p w:rsidR="0082261D" w:rsidRDefault="000C683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广阳区人民法院</w:t>
            </w:r>
          </w:p>
        </w:tc>
        <w:tc>
          <w:tcPr>
            <w:tcW w:w="5103" w:type="dxa"/>
            <w:tcBorders>
              <w:top w:val="nil"/>
              <w:left w:val="nil"/>
              <w:bottom w:val="nil"/>
              <w:right w:val="nil"/>
            </w:tcBorders>
            <w:shd w:val="clear" w:color="auto" w:fill="auto"/>
            <w:noWrap/>
            <w:vAlign w:val="center"/>
          </w:tcPr>
          <w:p w:rsidR="0082261D" w:rsidRDefault="000C683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82261D">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1D" w:rsidRDefault="000C683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82261D" w:rsidRDefault="000C683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82261D" w:rsidRDefault="000C683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82261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2261D" w:rsidRPr="003372E5" w:rsidRDefault="000C6833">
            <w:pPr>
              <w:widowControl/>
              <w:spacing w:line="584" w:lineRule="exact"/>
              <w:jc w:val="center"/>
              <w:rPr>
                <w:rFonts w:ascii="仿宋_GB2312" w:eastAsia="仿宋_GB2312" w:hAnsi="Times New Roman" w:cs="Times New Roman"/>
                <w:kern w:val="0"/>
                <w:sz w:val="22"/>
              </w:rPr>
            </w:pPr>
            <w:r w:rsidRPr="003372E5">
              <w:rPr>
                <w:rFonts w:ascii="仿宋_GB2312"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w:t>
            </w:r>
          </w:p>
        </w:tc>
        <w:tc>
          <w:tcPr>
            <w:tcW w:w="5103"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1795.7241</w:t>
            </w:r>
          </w:p>
        </w:tc>
      </w:tr>
      <w:tr w:rsidR="0082261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2261D" w:rsidRPr="003372E5" w:rsidRDefault="000C6833">
            <w:pPr>
              <w:widowControl/>
              <w:spacing w:line="584" w:lineRule="exact"/>
              <w:jc w:val="left"/>
              <w:rPr>
                <w:rFonts w:ascii="仿宋_GB2312" w:eastAsia="仿宋_GB2312" w:hAnsi="Times New Roman" w:cs="Times New Roman"/>
                <w:kern w:val="0"/>
                <w:sz w:val="22"/>
              </w:rPr>
            </w:pPr>
            <w:r w:rsidRPr="003372E5">
              <w:rPr>
                <w:rFonts w:ascii="仿宋_GB2312" w:eastAsia="仿宋_GB2312" w:hAnsi="Times New Roman" w:cs="Times New Roman"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1680.38</w:t>
            </w:r>
          </w:p>
        </w:tc>
        <w:tc>
          <w:tcPr>
            <w:tcW w:w="5103"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215.9759</w:t>
            </w:r>
          </w:p>
        </w:tc>
      </w:tr>
      <w:tr w:rsidR="0082261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2261D" w:rsidRPr="003372E5" w:rsidRDefault="000C6833">
            <w:pPr>
              <w:widowControl/>
              <w:spacing w:line="584" w:lineRule="exact"/>
              <w:jc w:val="left"/>
              <w:rPr>
                <w:rFonts w:ascii="仿宋_GB2312" w:eastAsia="仿宋_GB2312" w:hAnsi="Times New Roman" w:cs="Times New Roman"/>
                <w:kern w:val="0"/>
                <w:sz w:val="22"/>
              </w:rPr>
            </w:pPr>
            <w:r w:rsidRPr="003372E5">
              <w:rPr>
                <w:rFonts w:ascii="仿宋_GB2312"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1680.38</w:t>
            </w:r>
          </w:p>
        </w:tc>
        <w:tc>
          <w:tcPr>
            <w:tcW w:w="5103"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215.9759</w:t>
            </w:r>
          </w:p>
        </w:tc>
      </w:tr>
      <w:tr w:rsidR="0082261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2261D" w:rsidRPr="003372E5" w:rsidRDefault="000C6833">
            <w:pPr>
              <w:widowControl/>
              <w:spacing w:line="584" w:lineRule="exact"/>
              <w:jc w:val="left"/>
              <w:rPr>
                <w:rFonts w:ascii="仿宋_GB2312" w:eastAsia="仿宋_GB2312" w:hAnsi="Times New Roman" w:cs="Times New Roman"/>
                <w:kern w:val="0"/>
                <w:sz w:val="22"/>
              </w:rPr>
            </w:pPr>
            <w:r w:rsidRPr="003372E5">
              <w:rPr>
                <w:rFonts w:ascii="仿宋_GB2312" w:eastAsia="仿宋_GB2312" w:hAnsi="Times New Roman" w:cs="Times New Roman"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23</w:t>
            </w:r>
          </w:p>
        </w:tc>
        <w:tc>
          <w:tcPr>
            <w:tcW w:w="5103"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332.9</w:t>
            </w:r>
          </w:p>
        </w:tc>
      </w:tr>
      <w:tr w:rsidR="0082261D">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82261D" w:rsidRPr="003372E5" w:rsidRDefault="000C6833">
            <w:pPr>
              <w:widowControl/>
              <w:spacing w:line="584" w:lineRule="exact"/>
              <w:jc w:val="left"/>
              <w:rPr>
                <w:rFonts w:ascii="仿宋_GB2312" w:eastAsia="仿宋_GB2312" w:hAnsi="Times New Roman" w:cs="Times New Roman"/>
                <w:kern w:val="0"/>
                <w:sz w:val="22"/>
              </w:rPr>
            </w:pPr>
            <w:r w:rsidRPr="003372E5">
              <w:rPr>
                <w:rFonts w:ascii="仿宋_GB2312" w:eastAsia="仿宋_GB2312" w:hAnsi="Times New Roman" w:cs="Times New Roman"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12</w:t>
            </w:r>
          </w:p>
        </w:tc>
        <w:tc>
          <w:tcPr>
            <w:tcW w:w="5103"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543.4269</w:t>
            </w:r>
          </w:p>
        </w:tc>
      </w:tr>
      <w:tr w:rsidR="0082261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2261D" w:rsidRPr="003372E5" w:rsidRDefault="000C6833">
            <w:pPr>
              <w:widowControl/>
              <w:spacing w:line="584" w:lineRule="exact"/>
              <w:jc w:val="left"/>
              <w:rPr>
                <w:rFonts w:ascii="仿宋_GB2312" w:eastAsia="仿宋_GB2312" w:hAnsi="Times New Roman" w:cs="Times New Roman"/>
                <w:kern w:val="0"/>
                <w:sz w:val="22"/>
              </w:rPr>
            </w:pPr>
            <w:r w:rsidRPr="003372E5">
              <w:rPr>
                <w:rFonts w:ascii="仿宋_GB2312" w:eastAsia="仿宋_GB2312" w:hAnsi="Times New Roman" w:cs="Times New Roman"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755</w:t>
            </w:r>
          </w:p>
        </w:tc>
        <w:tc>
          <w:tcPr>
            <w:tcW w:w="5103" w:type="dxa"/>
            <w:tcBorders>
              <w:top w:val="nil"/>
              <w:left w:val="nil"/>
              <w:bottom w:val="single" w:sz="4" w:space="0" w:color="auto"/>
              <w:right w:val="single" w:sz="4" w:space="0" w:color="auto"/>
            </w:tcBorders>
            <w:shd w:val="clear" w:color="auto" w:fill="auto"/>
            <w:noWrap/>
            <w:vAlign w:val="center"/>
          </w:tcPr>
          <w:p w:rsidR="0082261D" w:rsidRPr="003372E5" w:rsidRDefault="000C6833">
            <w:pPr>
              <w:spacing w:line="584" w:lineRule="exact"/>
              <w:jc w:val="center"/>
              <w:rPr>
                <w:rFonts w:ascii="仿宋_GB2312" w:eastAsia="仿宋_GB2312" w:hAnsi="Times New Roman" w:cs="Times New Roman"/>
                <w:sz w:val="22"/>
              </w:rPr>
            </w:pPr>
            <w:r w:rsidRPr="003372E5">
              <w:rPr>
                <w:rFonts w:ascii="仿宋_GB2312" w:eastAsia="仿宋_GB2312" w:hAnsi="Times New Roman" w:cs="Times New Roman" w:hint="eastAsia"/>
                <w:sz w:val="22"/>
              </w:rPr>
              <w:t>703.4213</w:t>
            </w:r>
          </w:p>
        </w:tc>
      </w:tr>
    </w:tbl>
    <w:p w:rsidR="0082261D" w:rsidRDefault="000C6833" w:rsidP="003372E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82261D" w:rsidRDefault="000C6833">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82261D" w:rsidRDefault="000C6833">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82261D" w:rsidRDefault="000C683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82261D" w:rsidRPr="003372E5" w:rsidRDefault="003372E5" w:rsidP="003372E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82261D" w:rsidRPr="003372E5" w:rsidSect="0082261D">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7D5" w:rsidRDefault="007937D5" w:rsidP="0082261D">
      <w:r>
        <w:separator/>
      </w:r>
    </w:p>
  </w:endnote>
  <w:endnote w:type="continuationSeparator" w:id="1">
    <w:p w:rsidR="007937D5" w:rsidRDefault="007937D5" w:rsidP="00822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0C6833" w:rsidRDefault="000C6833">
        <w:pPr>
          <w:pStyle w:val="a4"/>
          <w:jc w:val="center"/>
        </w:pPr>
        <w:r>
          <w:rPr>
            <w:rFonts w:hint="eastAsia"/>
          </w:rPr>
          <w:t>-</w:t>
        </w:r>
        <w:r w:rsidR="007759A7" w:rsidRPr="007759A7">
          <w:fldChar w:fldCharType="begin"/>
        </w:r>
        <w:r>
          <w:instrText>PAGE   \* MERGEFORMAT</w:instrText>
        </w:r>
        <w:r w:rsidR="007759A7" w:rsidRPr="007759A7">
          <w:fldChar w:fldCharType="separate"/>
        </w:r>
        <w:r w:rsidR="00FE2CD7" w:rsidRPr="00FE2CD7">
          <w:rPr>
            <w:noProof/>
            <w:lang w:val="zh-CN"/>
          </w:rPr>
          <w:t>10</w:t>
        </w:r>
        <w:r w:rsidR="007759A7">
          <w:rPr>
            <w:lang w:val="zh-CN"/>
          </w:rPr>
          <w:fldChar w:fldCharType="end"/>
        </w:r>
        <w:r>
          <w:rPr>
            <w:rFonts w:hint="eastAsia"/>
          </w:rPr>
          <w:t>-</w:t>
        </w:r>
      </w:p>
    </w:sdtContent>
  </w:sdt>
  <w:p w:rsidR="000C6833" w:rsidRDefault="000C68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sdtPr>
    <w:sdtContent>
      <w:p w:rsidR="000C6833" w:rsidRDefault="007759A7">
        <w:pPr>
          <w:pStyle w:val="a4"/>
          <w:jc w:val="center"/>
        </w:pPr>
        <w:fldSimple w:instr="PAGE   \* MERGEFORMAT">
          <w:r w:rsidR="00FE2CD7" w:rsidRPr="00FE2CD7">
            <w:rPr>
              <w:noProof/>
              <w:lang w:val="zh-CN"/>
            </w:rPr>
            <w:t>13</w:t>
          </w:r>
        </w:fldSimple>
      </w:p>
    </w:sdtContent>
  </w:sdt>
  <w:p w:rsidR="000C6833" w:rsidRDefault="000C68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7D5" w:rsidRDefault="007937D5" w:rsidP="0082261D">
      <w:r>
        <w:separator/>
      </w:r>
    </w:p>
  </w:footnote>
  <w:footnote w:type="continuationSeparator" w:id="1">
    <w:p w:rsidR="007937D5" w:rsidRDefault="007937D5" w:rsidP="00822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000053CC"/>
    <w:rsid w:val="00037AF6"/>
    <w:rsid w:val="000410F2"/>
    <w:rsid w:val="0004565F"/>
    <w:rsid w:val="00072187"/>
    <w:rsid w:val="00075D5F"/>
    <w:rsid w:val="0008180F"/>
    <w:rsid w:val="00093DA3"/>
    <w:rsid w:val="000B529B"/>
    <w:rsid w:val="000C24E6"/>
    <w:rsid w:val="000C3A19"/>
    <w:rsid w:val="000C6833"/>
    <w:rsid w:val="000E4305"/>
    <w:rsid w:val="000F0D09"/>
    <w:rsid w:val="001245BB"/>
    <w:rsid w:val="001251A3"/>
    <w:rsid w:val="001318A5"/>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2147"/>
    <w:rsid w:val="002F3E58"/>
    <w:rsid w:val="0030542C"/>
    <w:rsid w:val="00311B7A"/>
    <w:rsid w:val="003126B6"/>
    <w:rsid w:val="00313D9C"/>
    <w:rsid w:val="00325215"/>
    <w:rsid w:val="0033339C"/>
    <w:rsid w:val="00335660"/>
    <w:rsid w:val="003372E5"/>
    <w:rsid w:val="003B6D37"/>
    <w:rsid w:val="00414BD3"/>
    <w:rsid w:val="00424943"/>
    <w:rsid w:val="0042727E"/>
    <w:rsid w:val="0043175C"/>
    <w:rsid w:val="00437296"/>
    <w:rsid w:val="00451590"/>
    <w:rsid w:val="00451871"/>
    <w:rsid w:val="004706DE"/>
    <w:rsid w:val="00472923"/>
    <w:rsid w:val="00486DCD"/>
    <w:rsid w:val="0049120C"/>
    <w:rsid w:val="004B0C3A"/>
    <w:rsid w:val="004B5846"/>
    <w:rsid w:val="004C49A8"/>
    <w:rsid w:val="004C58D3"/>
    <w:rsid w:val="004D5788"/>
    <w:rsid w:val="004E3066"/>
    <w:rsid w:val="004E419C"/>
    <w:rsid w:val="004E74CD"/>
    <w:rsid w:val="00520859"/>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314E"/>
    <w:rsid w:val="0074338E"/>
    <w:rsid w:val="00753836"/>
    <w:rsid w:val="0075393C"/>
    <w:rsid w:val="00754592"/>
    <w:rsid w:val="007759A7"/>
    <w:rsid w:val="00776C08"/>
    <w:rsid w:val="00790ABF"/>
    <w:rsid w:val="007937D5"/>
    <w:rsid w:val="007B49AA"/>
    <w:rsid w:val="007C219A"/>
    <w:rsid w:val="007E1DA8"/>
    <w:rsid w:val="007E4B05"/>
    <w:rsid w:val="007F1335"/>
    <w:rsid w:val="007F6C26"/>
    <w:rsid w:val="00800F72"/>
    <w:rsid w:val="00811795"/>
    <w:rsid w:val="00813208"/>
    <w:rsid w:val="00815157"/>
    <w:rsid w:val="0082261D"/>
    <w:rsid w:val="0083348E"/>
    <w:rsid w:val="008334AE"/>
    <w:rsid w:val="00836FED"/>
    <w:rsid w:val="0083724E"/>
    <w:rsid w:val="00841D53"/>
    <w:rsid w:val="00843DF8"/>
    <w:rsid w:val="00845CD2"/>
    <w:rsid w:val="00845F35"/>
    <w:rsid w:val="00852B0D"/>
    <w:rsid w:val="0085425A"/>
    <w:rsid w:val="00862CE4"/>
    <w:rsid w:val="00864B7F"/>
    <w:rsid w:val="00866484"/>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17D2"/>
    <w:rsid w:val="00D324AD"/>
    <w:rsid w:val="00D9307A"/>
    <w:rsid w:val="00DA7406"/>
    <w:rsid w:val="00DB4322"/>
    <w:rsid w:val="00DD1D0C"/>
    <w:rsid w:val="00DE186D"/>
    <w:rsid w:val="00E167C7"/>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E1724"/>
    <w:rsid w:val="00FE2CD7"/>
    <w:rsid w:val="00FE753C"/>
    <w:rsid w:val="00FF2346"/>
    <w:rsid w:val="02D50B5E"/>
    <w:rsid w:val="0A88168C"/>
    <w:rsid w:val="0CB87989"/>
    <w:rsid w:val="582B2857"/>
    <w:rsid w:val="758A6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261D"/>
    <w:rPr>
      <w:sz w:val="18"/>
      <w:szCs w:val="18"/>
    </w:rPr>
  </w:style>
  <w:style w:type="paragraph" w:styleId="a4">
    <w:name w:val="footer"/>
    <w:basedOn w:val="a"/>
    <w:link w:val="Char0"/>
    <w:uiPriority w:val="99"/>
    <w:rsid w:val="0082261D"/>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82261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82261D"/>
    <w:rPr>
      <w:rFonts w:ascii="Times New Roman" w:eastAsia="宋体" w:hAnsi="Times New Roman" w:cs="Times New Roman"/>
      <w:szCs w:val="24"/>
    </w:rPr>
  </w:style>
  <w:style w:type="paragraph" w:styleId="a6">
    <w:name w:val="footnote text"/>
    <w:basedOn w:val="a"/>
    <w:link w:val="Char2"/>
    <w:uiPriority w:val="99"/>
    <w:semiHidden/>
    <w:unhideWhenUsed/>
    <w:rsid w:val="0082261D"/>
    <w:pPr>
      <w:snapToGrid w:val="0"/>
      <w:jc w:val="left"/>
    </w:pPr>
    <w:rPr>
      <w:rFonts w:ascii="Calibri" w:eastAsia="宋体" w:hAnsi="Calibri" w:cs="Times New Roman"/>
      <w:sz w:val="18"/>
      <w:szCs w:val="18"/>
    </w:rPr>
  </w:style>
  <w:style w:type="paragraph" w:styleId="2">
    <w:name w:val="toc 2"/>
    <w:basedOn w:val="a"/>
    <w:next w:val="a"/>
    <w:uiPriority w:val="39"/>
    <w:rsid w:val="0082261D"/>
    <w:pPr>
      <w:ind w:leftChars="200" w:left="420"/>
    </w:pPr>
    <w:rPr>
      <w:rFonts w:ascii="Times New Roman" w:eastAsia="宋体" w:hAnsi="Times New Roman" w:cs="Times New Roman"/>
      <w:szCs w:val="24"/>
    </w:rPr>
  </w:style>
  <w:style w:type="character" w:styleId="a7">
    <w:name w:val="footnote reference"/>
    <w:uiPriority w:val="99"/>
    <w:semiHidden/>
    <w:unhideWhenUsed/>
    <w:qFormat/>
    <w:rsid w:val="0082261D"/>
    <w:rPr>
      <w:vertAlign w:val="superscript"/>
    </w:rPr>
  </w:style>
  <w:style w:type="character" w:customStyle="1" w:styleId="Char1">
    <w:name w:val="页眉 Char"/>
    <w:basedOn w:val="a0"/>
    <w:link w:val="a5"/>
    <w:uiPriority w:val="99"/>
    <w:qFormat/>
    <w:rsid w:val="0082261D"/>
    <w:rPr>
      <w:rFonts w:ascii="Times New Roman" w:eastAsia="宋体" w:hAnsi="Times New Roman" w:cs="Times New Roman"/>
      <w:sz w:val="18"/>
      <w:szCs w:val="18"/>
    </w:rPr>
  </w:style>
  <w:style w:type="character" w:customStyle="1" w:styleId="Char0">
    <w:name w:val="页脚 Char"/>
    <w:basedOn w:val="a0"/>
    <w:link w:val="a4"/>
    <w:uiPriority w:val="99"/>
    <w:rsid w:val="0082261D"/>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82261D"/>
    <w:rPr>
      <w:sz w:val="18"/>
      <w:szCs w:val="18"/>
    </w:rPr>
  </w:style>
  <w:style w:type="paragraph" w:customStyle="1" w:styleId="Default">
    <w:name w:val="Default"/>
    <w:qFormat/>
    <w:rsid w:val="0082261D"/>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rsid w:val="0082261D"/>
    <w:rPr>
      <w:rFonts w:ascii="Calibri" w:eastAsia="宋体" w:hAnsi="Calibri" w:cs="Times New Roman"/>
      <w:sz w:val="18"/>
      <w:szCs w:val="18"/>
    </w:rPr>
  </w:style>
  <w:style w:type="paragraph" w:customStyle="1" w:styleId="10">
    <w:name w:val="普通(网站)1"/>
    <w:basedOn w:val="a"/>
    <w:uiPriority w:val="2"/>
    <w:rsid w:val="0082261D"/>
    <w:pPr>
      <w:spacing w:before="100" w:after="100"/>
    </w:pPr>
    <w:rPr>
      <w:rFonts w:ascii="宋体" w:eastAsia="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D51BB-CDEA-47ED-AE9F-E2C4E149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955</Words>
  <Characters>5444</Characters>
  <Application>Microsoft Office Word</Application>
  <DocSecurity>0</DocSecurity>
  <Lines>45</Lines>
  <Paragraphs>12</Paragraphs>
  <ScaleCrop>false</ScaleCrop>
  <Company>Microsoft</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14</cp:revision>
  <cp:lastPrinted>2019-02-18T02:45:00Z</cp:lastPrinted>
  <dcterms:created xsi:type="dcterms:W3CDTF">2019-02-13T02:12:00Z</dcterms:created>
  <dcterms:modified xsi:type="dcterms:W3CDTF">2019-02-15T08:25:00Z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