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spacing w:line="580" w:lineRule="exact"/>
        <w:ind w:firstLineChars="398" w:firstLine="1751"/>
        <w:rPr>
          <w:rFonts w:ascii="宋体" w:cs="宋体"/>
          <w:sz w:val="44"/>
          <w:szCs w:val="44"/>
        </w:rPr>
      </w:pPr>
      <w:r>
        <w:rPr>
          <w:rFonts w:ascii="宋体" w:cs="宋体" w:hint="eastAsia"/>
          <w:sz w:val="44"/>
          <w:szCs w:val="44"/>
        </w:rPr>
        <w:t>廊坊市广阳区发展改革局</w:t>
      </w:r>
    </w:p>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
      <w:bookmarkStart w:id="0" w:name="_GoBack"/>
      <w:bookmarkEnd w:id="0"/>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（三）负责汇总和分析财政、金融等方面的情况，研究贯彻国家财政政策、货币政策以及其它调控政策的措施，组织实施产业政策，监督检查产业政策的执行；受政府委托对相关投融资机构进行宏观指导。</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（八）研究分析区域经济和城镇化发展情况，搞好资源开发，生产力布局和生态环境建设规划；提出区域经济协调发展的政策建议，推进城镇化建设。</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（十）做好人口和计划生育、科学技术、教育、文化、卫生等社会事业以及国防建设与国民经济发展的衔接平衡；提出经济与社会协调发展、相互促进的政策，协调社会事业发展的重大问题。</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（十一）推进可持续发展战略，研究拟定资源节约综合利用规划，编制生态建设规划，提出资源节约综合利用的政策建议；组织协调环保产业工作。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（十二）研究多种所有制经济的状况，提出优化所有制结构和企业组织结构的建议，促进各种所有制企业公平竞争和共同发展；宏观指导和协调促进中小企业、非国有经济发展的重大问题。</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（十三）研究提出促进就业、调整收入分配、完善社会保障与经济协调发展的政策，协调就业、收入分配和社会保障的重大问题。</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（十四）参与国民经济和社会发展以及经济体制改革、对外开放有关地方性法规、规章的组织实施工作。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（十五）组织、指导全区经济、技术交流与合作。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（十六）承办区政府交办的其他事项。</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eastAsia="仿宋_GB2312"/>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p>
      <w:pPr>
        <w:spacing w:after="0" w:line="560" w:lineRule="exact"/>
        <w:rPr>
          <w:rFonts w:ascii="仿宋_GB2312" w:eastAsia="仿宋_GB2312" w:cs="ArialUnicodeMS"/>
          <w:kern w:val="0"/>
          <w:sz w:val="32"/>
          <w:szCs w:val="32"/>
        </w:rPr>
      </w:pPr>
    </w:p>
    <w:tbl>
      <w:tblPr>
        <w:tblpPr w:leftFromText="180" w:rightFromText="180" w:vertAnchor="text" w:horzAnchor="page" w:tblpXSpec="center" w:tblpY="10"/>
        <w:tblOverlap w:val="never"/>
        <w:tblW w:w="840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864"/>
        <w:gridCol w:w="3056"/>
        <w:gridCol w:w="2143"/>
        <w:gridCol w:w="2337"/>
      </w:tblGrid>
      <w:tr>
        <w:trPr>
          <w:trHeight w:val="821"/>
        </w:trPr>
        <w:tc>
          <w:tcPr>
            <w:tcW w:w="864"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056"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143"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337"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1126"/>
        </w:trPr>
        <w:tc>
          <w:tcPr>
            <w:tcW w:w="864"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056" w:type="dxa"/>
          </w:tcPr>
          <w:p>
            <w:pPr>
              <w:spacing w:after="0" w:line="560" w:lineRule="exact"/>
              <w:rPr>
                <w:rFonts w:ascii="仿宋_GB2312" w:eastAsia="仿宋_GB2312" w:cs="ArialUnicodeMS"/>
                <w:kern w:val="0"/>
                <w:sz w:val="28"/>
                <w:szCs w:val="28"/>
              </w:rPr>
            </w:pPr>
            <w:r>
              <w:rPr>
                <w:rFonts w:eastAsia="仿宋_GB2312" w:hint="eastAsia"/>
                <w:sz w:val="32"/>
                <w:szCs w:val="32"/>
              </w:rPr>
              <w:t>廊坊市广阳区发展改革局</w:t>
            </w:r>
          </w:p>
        </w:tc>
        <w:tc>
          <w:tcPr>
            <w:tcW w:w="2143" w:type="dxa"/>
          </w:tcPr>
          <w:p>
            <w:pPr>
              <w:spacing w:after="0" w:line="560" w:lineRule="exact"/>
              <w:jc w:val="center"/>
              <w:rPr>
                <w:rFonts w:ascii="仿宋_GB2312" w:eastAsia="仿宋_GB2312" w:cs="ArialUnicodeMS"/>
                <w:kern w:val="0"/>
                <w:sz w:val="28"/>
                <w:szCs w:val="28"/>
              </w:rPr>
            </w:pPr>
            <w:r>
              <w:rPr>
                <w:rFonts w:eastAsia="仿宋_GB2312" w:hint="eastAsia"/>
                <w:sz w:val="32"/>
                <w:szCs w:val="32"/>
              </w:rPr>
              <w:t>行政单位</w:t>
            </w:r>
          </w:p>
        </w:tc>
        <w:tc>
          <w:tcPr>
            <w:tcW w:w="2337" w:type="dxa"/>
          </w:tcPr>
          <w:p>
            <w:pPr>
              <w:spacing w:after="0" w:line="560" w:lineRule="exact"/>
              <w:jc w:val="center"/>
              <w:rPr>
                <w:rFonts w:ascii="仿宋_GB2312" w:eastAsia="仿宋_GB2312" w:cs="ArialUnicodeMS"/>
                <w:kern w:val="0"/>
                <w:sz w:val="28"/>
                <w:szCs w:val="28"/>
              </w:rPr>
            </w:pPr>
            <w:r>
              <w:rPr>
                <w:rFonts w:eastAsia="仿宋_GB2312" w:hint="eastAsia"/>
                <w:sz w:val="32"/>
                <w:szCs w:val="32"/>
              </w:rPr>
              <w:t>财政拨款</w:t>
            </w: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决算收支总计（含结转和结余）658.99万元。与2017年相比，决算收入增加46.59万元，增长8.2%，决算支出增加147.59万元，增长30.6%，与2017年度相比，收入、支出增加的主要原因是人员调整工资，增加医疗补贴、物业补贴，办公经费支出增加。</w:t>
      </w:r>
    </w:p>
    <w:p>
      <w:pPr>
        <w:pStyle w:val="2"/>
        <w:numPr>
          <w:ilvl w:val="0"/>
          <w:numId w:val="1"/>
        </w:numPr>
        <w:spacing w:before="0" w:after="0" w:line="580" w:lineRule="exact"/>
        <w:ind w:left="0" w:firstLineChars="200" w:firstLine="640"/>
        <w:rPr>
          <w:rFonts w:ascii="黑体" w:eastAsia="黑体"/>
          <w:b w:val="0"/>
          <w:bCs w:val="0"/>
        </w:rPr>
      </w:pPr>
      <w:r>
        <w:rPr>
          <w:rFonts w:ascii="黑体" w:eastAsia="黑体" w:hint="eastAsia"/>
          <w:b w:val="0"/>
          <w:bCs w:val="0"/>
        </w:rPr>
        <w:t>收入决算情况说明</w:t>
      </w:r>
    </w:p>
    <w:p>
      <w:pPr>
        <w:ind w:firstLineChars="200" w:firstLine="640"/>
      </w:pPr>
      <w:r>
        <w:rPr>
          <w:rFonts w:ascii="仿宋_GB2312" w:eastAsia="仿宋_GB2312" w:cs="DengXian-Regular" w:hint="eastAsia"/>
          <w:sz w:val="32"/>
          <w:szCs w:val="32"/>
        </w:rPr>
        <w:t>本部门2018年度收入合计612.33万元，其中：财政拨款收入546.87万元，占89.3%；事业收入0万元，占0%；其他收入65.45万元，占10.7%。</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本部门2018年度支出合计629.74万元，其中：基本支出629.74万元，占100%；项目支出0万元，占0%；上缴上级支出0万元，占0%。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546.87万元，与2017年相比，收入总计增加97.14万元，增长17.8%，主要原因是较上年人员工资调整增加，办公经费支出增加。</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本年支出550.11万元，与2017年相比，增加99.18万元，增长18.0%，主要原因是较上年人员工资调整增加，办公经费支出增加。</w:t>
      </w:r>
    </w:p>
    <w:p>
      <w:pPr>
        <w:numPr>
          <w:ilvl w:val="0"/>
          <w:numId w:val="2"/>
        </w:numPr>
        <w:spacing w:after="0" w:line="580" w:lineRule="exact"/>
        <w:ind w:left="0" w:firstLineChars="200" w:firstLine="640"/>
        <w:rPr>
          <w:rFonts w:ascii="楷体_GB2312" w:eastAsia="楷体_GB2312" w:cs="DengXian-Bold"/>
          <w:b/>
          <w:bCs/>
          <w:sz w:val="32"/>
          <w:szCs w:val="32"/>
        </w:rPr>
      </w:pPr>
      <w:r>
        <w:rPr>
          <w:rFonts w:ascii="楷体_GB2312" w:eastAsia="楷体_GB2312" w:cs="DengXian-Bold" w:hint="eastAsia"/>
          <w:b/>
          <w:bCs/>
          <w:sz w:val="32"/>
          <w:szCs w:val="32"/>
        </w:rPr>
        <w:t>财政拨款收支与年初预算数对比情况</w:t>
      </w:r>
    </w:p>
    <w:p>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本部门2018年度一般公共预算财政拨款收入</w:t>
      </w:r>
      <w:r>
        <w:rPr>
          <w:rFonts w:eastAsia="仿宋_GB2312" w:hint="eastAsia"/>
          <w:kern w:val="0"/>
          <w:sz w:val="32"/>
          <w:szCs w:val="32"/>
        </w:rPr>
        <w:t>546.87</w:t>
      </w:r>
      <w:r>
        <w:rPr>
          <w:rFonts w:ascii="仿宋_GB2312" w:eastAsia="仿宋_GB2312" w:cs="DengXian-Regular" w:hint="eastAsia"/>
          <w:sz w:val="32"/>
          <w:szCs w:val="32"/>
        </w:rPr>
        <w:t>万元，完成年初预算的112.6%,比年初预算增加61.01万元，决算数大于预算数，主要原因是</w:t>
      </w:r>
      <w:r>
        <w:rPr>
          <w:rFonts w:eastAsia="仿宋_GB2312" w:hint="eastAsia"/>
          <w:kern w:val="0"/>
          <w:sz w:val="32"/>
          <w:szCs w:val="32"/>
        </w:rPr>
        <w:t>人员工资调整增加</w:t>
      </w:r>
      <w:r>
        <w:rPr>
          <w:rFonts w:ascii="仿宋_GB2312" w:eastAsia="仿宋_GB2312" w:cs="DengXian-Regular" w:hint="eastAsia"/>
          <w:sz w:val="32"/>
          <w:szCs w:val="32"/>
        </w:rPr>
        <w:t>；本年支出550.11万元，完成年初预算的113.2%,比年初预算增加64.25万元，决算数大于预算数，主要原因是</w:t>
      </w:r>
      <w:r>
        <w:rPr>
          <w:rFonts w:eastAsia="仿宋_GB2312" w:hint="eastAsia"/>
          <w:kern w:val="0"/>
          <w:sz w:val="32"/>
          <w:szCs w:val="32"/>
        </w:rPr>
        <w:t>人员工资调整增加</w:t>
      </w:r>
      <w:r>
        <w:rPr>
          <w:rFonts w:ascii="仿宋_GB2312" w:eastAsia="仿宋_GB2312" w:cs="DengXian-Regular" w:hint="eastAsia"/>
          <w:sz w:val="32"/>
          <w:szCs w:val="32"/>
        </w:rPr>
        <w:t>。</w:t>
      </w:r>
    </w:p>
    <w:p>
      <w:pPr>
        <w:numPr>
          <w:ilvl w:val="0"/>
          <w:numId w:val="3"/>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2018 年度财政拨款支出</w:t>
      </w:r>
      <w:r>
        <w:rPr>
          <w:rFonts w:eastAsia="仿宋_GB2312" w:hint="eastAsia"/>
          <w:color w:val="000000"/>
          <w:kern w:val="0"/>
          <w:sz w:val="32"/>
          <w:szCs w:val="32"/>
        </w:rPr>
        <w:t>550.11</w:t>
      </w:r>
      <w:r>
        <w:rPr>
          <w:rFonts w:ascii="仿宋_GB2312" w:eastAsia="仿宋_GB2312" w:cs="DengXian-Regular" w:hint="eastAsia"/>
          <w:sz w:val="32"/>
          <w:szCs w:val="32"/>
        </w:rPr>
        <w:t>万元，</w:t>
      </w:r>
      <w:r>
        <w:rPr>
          <w:rFonts w:eastAsia="仿宋_GB2312" w:hint="eastAsia"/>
          <w:color w:val="000000"/>
          <w:kern w:val="0"/>
          <w:sz w:val="32"/>
          <w:szCs w:val="32"/>
        </w:rPr>
        <w:t>按功能分类主要用于以下方面：一般公共服务（类）支出427.97万元，占77.8</w:t>
      </w:r>
      <w:r>
        <w:rPr>
          <w:rFonts w:ascii="仿宋_GB2312" w:eastAsia="仿宋_GB2312" w:cs="DengXian-Regular" w:hint="eastAsia"/>
          <w:sz w:val="32"/>
          <w:szCs w:val="32"/>
        </w:rPr>
        <w:t>%</w:t>
      </w:r>
      <w:r>
        <w:rPr>
          <w:rFonts w:eastAsia="仿宋_GB2312" w:hint="eastAsia"/>
          <w:color w:val="000000"/>
          <w:kern w:val="0"/>
          <w:sz w:val="32"/>
          <w:szCs w:val="32"/>
        </w:rPr>
        <w:t>；社会保障和就业（类）支出82.54万元，占15.0</w:t>
      </w:r>
      <w:r>
        <w:rPr>
          <w:rFonts w:ascii="仿宋_GB2312" w:eastAsia="仿宋_GB2312" w:cs="DengXian-Regular" w:hint="eastAsia"/>
          <w:sz w:val="32"/>
          <w:szCs w:val="32"/>
        </w:rPr>
        <w:t>%</w:t>
      </w:r>
      <w:r>
        <w:rPr>
          <w:rFonts w:eastAsia="仿宋_GB2312" w:hint="eastAsia"/>
          <w:color w:val="000000"/>
          <w:kern w:val="0"/>
          <w:sz w:val="32"/>
          <w:szCs w:val="32"/>
        </w:rPr>
        <w:t>；医疗卫生与计划生育（类）支出14.77万元，占3%；住房保障（类）24.86万元，占4.5%。</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年度一般公共预算财政拨款基本支出550.11万元，其中：人员经费 504.19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45.92万元，主要包括办公费、印刷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三公”经费支出共计1.18万元，比年初预算减少1.12万元，降低48.7%，主要原因是我单位节省各项开支，尤其是严格控制“三公”经费的支出；比2017年度决算增加0.15万元，增长14.6%，主要原因是2018年有下乡任务，公车使用情况增多。具体情况如下：</w:t>
      </w:r>
    </w:p>
    <w:p>
      <w:pPr>
        <w:numPr>
          <w:ilvl w:val="0"/>
          <w:numId w:val="4"/>
        </w:numPr>
        <w:adjustRightInd w:val="0"/>
        <w:snapToGrid w:val="0"/>
        <w:spacing w:line="584" w:lineRule="exact"/>
        <w:ind w:left="0" w:firstLineChars="200" w:firstLine="640"/>
        <w:rPr>
          <w:rFonts w:eastAsia="楷体_GB2312" w:hint="eastAsia"/>
          <w:b/>
          <w:bCs/>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pPr>
        <w:numPr>
          <w:ilvl w:val="0"/>
          <w:numId w:val="4"/>
        </w:numPr>
        <w:adjustRightInd w:val="0"/>
        <w:snapToGrid w:val="0"/>
        <w:spacing w:after="0" w:line="584" w:lineRule="exact"/>
        <w:ind w:left="0" w:firstLineChars="100" w:firstLine="320"/>
        <w:rPr>
          <w:rFonts w:eastAsia="仿宋_GB2312"/>
          <w:bCs/>
          <w:sz w:val="32"/>
          <w:szCs w:val="32"/>
        </w:rPr>
      </w:pPr>
      <w:r>
        <w:rPr>
          <w:rFonts w:eastAsia="楷体_GB2312"/>
          <w:b/>
          <w:bCs/>
          <w:sz w:val="32"/>
          <w:szCs w:val="32"/>
        </w:rPr>
        <w:t>公务用车购置及运行维护费支出</w:t>
      </w:r>
      <w:r>
        <w:rPr>
          <w:rFonts w:eastAsia="楷体_GB2312" w:hint="eastAsia"/>
          <w:b/>
          <w:bCs/>
          <w:sz w:val="32"/>
          <w:szCs w:val="32"/>
        </w:rPr>
        <w:t>1.18</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减少1.12万元，降低48.7%,主要原因是我单位节省各项开支，尤其是严格控制“三公”经费的支出；比2017年度决算增加0.15万元，增长14.6%，主要原因是2018年有下乡任务，公车使用情况增多。</w:t>
      </w:r>
      <w:r>
        <w:rPr>
          <w:rFonts w:eastAsia="仿宋_GB2312"/>
          <w:bCs/>
          <w:sz w:val="32"/>
          <w:szCs w:val="32"/>
        </w:rPr>
        <w:t>其中：</w:t>
      </w:r>
    </w:p>
    <w:p>
      <w:pPr>
        <w:adjustRightInd w:val="0"/>
        <w:snapToGrid w:val="0"/>
        <w:spacing w:line="584" w:lineRule="exact"/>
        <w:ind w:firstLineChars="200" w:firstLine="640"/>
        <w:rPr>
          <w:rFonts w:ascii="仿宋_GB2312" w:eastAsia="仿宋_GB2312" w:cs="DengXian-Regular"/>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年度未发生公务用车购置经费支出。较年初预算无增减变化；较201</w:t>
      </w:r>
      <w:r>
        <w:rPr>
          <w:rFonts w:eastAsia="仿宋_GB2312" w:hint="eastAsia"/>
          <w:sz w:val="32"/>
          <w:szCs w:val="32"/>
        </w:rPr>
        <w:t>7</w:t>
      </w:r>
      <w:r>
        <w:rPr>
          <w:rFonts w:eastAsia="仿宋_GB2312"/>
          <w:sz w:val="32"/>
          <w:szCs w:val="32"/>
        </w:rPr>
        <w:t>年度决算无增减变化。</w:t>
      </w:r>
    </w:p>
    <w:p>
      <w:pPr>
        <w:adjustRightInd w:val="0"/>
        <w:snapToGrid w:val="0"/>
        <w:spacing w:line="584" w:lineRule="exact"/>
        <w:ind w:firstLineChars="200" w:firstLine="640"/>
        <w:rPr>
          <w:rFonts w:ascii="仿宋_GB2312" w:eastAsia="仿宋_GB2312" w:cs="DengXian-Regular"/>
          <w:sz w:val="32"/>
          <w:szCs w:val="32"/>
        </w:rPr>
      </w:pPr>
      <w:r>
        <w:rPr>
          <w:rFonts w:eastAsia="仿宋_GB2312"/>
          <w:b/>
          <w:sz w:val="32"/>
          <w:szCs w:val="32"/>
        </w:rPr>
        <w:t>公务用车运行维护费支出</w:t>
      </w:r>
      <w:r>
        <w:rPr>
          <w:rFonts w:eastAsia="仿宋_GB2312" w:hint="eastAsia"/>
          <w:b/>
          <w:sz w:val="32"/>
          <w:szCs w:val="32"/>
        </w:rPr>
        <w:t>1.18</w:t>
      </w:r>
      <w:r>
        <w:rPr>
          <w:rFonts w:eastAsia="仿宋_GB2312"/>
          <w:b/>
          <w:sz w:val="32"/>
          <w:szCs w:val="32"/>
        </w:rPr>
        <w:t>万元。</w:t>
      </w:r>
      <w:r>
        <w:rPr>
          <w:rFonts w:ascii="仿宋_GB2312" w:eastAsia="仿宋_GB2312" w:cs="DengXian-Regular" w:hint="eastAsia"/>
          <w:sz w:val="32"/>
          <w:szCs w:val="32"/>
        </w:rPr>
        <w:t>本部门2018年末单位公务用车保有量1辆。公车运行维护费支出比年初预算减少1.12万元，降低48.7%，主要原因是我单位节省各项开支，尤其是严格控制“三公”经费的支出；比2017年度决算增加0.15万元，增长14.6%，主要原因是2018年有下乡任务，公车使用情况增多。</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年度未发生公务接待经费支出。公务接待费支出较年初预算无增减变化；较201</w:t>
      </w:r>
      <w:r>
        <w:rPr>
          <w:rFonts w:eastAsia="仿宋_GB2312" w:hint="eastAsia"/>
          <w:sz w:val="32"/>
          <w:szCs w:val="32"/>
        </w:rPr>
        <w:t>7</w:t>
      </w:r>
      <w:r>
        <w:rPr>
          <w:rFonts w:eastAsia="仿宋_GB2312"/>
          <w:sz w:val="32"/>
          <w:szCs w:val="32"/>
        </w:rPr>
        <w:t>年度决算无增减变化。</w:t>
      </w:r>
    </w:p>
    <w:p>
      <w:pPr>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依据2018年预算情况对各决算项目认真开展了绩效评价工作。合理合规的使用财政资金，提高了财政资金使用效率，在完成部门职能目标中合理分配人、财、物，减少资金使用管理中的损失浪费现象，使资金达到合理、优化配给。不断强化评价结果的应用，将预算项目工作活动及综合绩效评价结果作为安排项目资金的重要依据。</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ascii="仿宋_GB2312" w:eastAsia="仿宋_GB2312" w:cs="DengXian-Regular"/>
          <w:sz w:val="32"/>
          <w:szCs w:val="32"/>
        </w:rPr>
        <w:t>根据预算绩效管理要求，本部门组织对2018 年度专项项目预算支出开展绩效自评。从评价情况看，项目评价结果为优秀。</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cs="DengXian-Regular"/>
          <w:sz w:val="32"/>
          <w:szCs w:val="32"/>
        </w:rPr>
        <w:t>本单位无重点支出项目</w:t>
      </w:r>
      <w:r>
        <w:rPr>
          <w:rFonts w:ascii="仿宋_GB2312" w:eastAsia="仿宋_GB2312" w:cs="DengXian-Regular" w:hint="eastAsia"/>
          <w:sz w:val="32"/>
          <w:szCs w:val="32"/>
        </w:rPr>
        <w:t>。</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本部门2018年度机关运行经费支出45.92万元，比年初预算数增加8.84万元，增长23.8%。主要原因是2018年有委托咨询评估评审工作。较2017年度决算增加2.21万元，增长5.0%，主要原因是2018年有委托咨询评估评审工作。</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本部门2018年度政府采购支出总额4.51万元，从采购类型来看，政府采购货物支出4.51万元、政府采购工程支出0万元、政府采购服务支出 0万元。授予中小企业合同金4.51万元，占政府采购支出总额的100%，其中授予小微企业合同金额0万元，占政府采购支出总额的 0%。</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与上年相比无变化。其中，副部（省）级及以上领导用车0辆，主要领导干部用车0辆，机要通信用车1辆，应急保障用车0辆，执法执勤用车0辆，特种专业技术用车0辆，离退休干部用车0辆，其他用车0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万元以上通用设备0台。</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1、本部门2018年度政府性基金预算财政拨款收入、国有资本经营预算收入等无收支及结转结余情况，故政府性基金预算财政拨款收入支出决算表、国有资本经营预算财政拨款支出决算表以空表列示。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DengXian-Regular">
    <w:altName w:val="宋体"/>
    <w:panose1 w:val="00000000000000000000"/>
    <w:charset w:val="86"/>
    <w:family w:val="auto"/>
    <w:pitch w:val="variable"/>
    <w:sig w:usb0="00000000" w:usb1="00000000" w:usb2="00000010" w:usb3="00000000" w:csb0="00040001" w:csb1="00000000"/>
  </w:font>
  <w:font w:name="ArialUnicodeMS">
    <w:altName w:val="Arial Unicode MS"/>
    <w:panose1 w:val="00000000000000000000"/>
    <w:charset w:val="81"/>
    <w:family w:val="auto"/>
    <w:pitch w:val="variable"/>
    <w:sig w:usb0="00000000" w:usb1="00000000" w:usb2="00000010" w:usb3="00000000" w:csb0="00080001" w:csb1="00000000"/>
  </w:font>
  <w:font w:name="MS-UIGothic,Bold">
    <w:altName w:val="Arial Unicode MS"/>
    <w:panose1 w:val="00000000000000000000"/>
    <w:charset w:val="81"/>
    <w:family w:val="auto"/>
    <w:pitch w:val="variable"/>
    <w:sig w:usb0="00000000" w:usb1="00000000" w:usb2="00000010" w:usb3="00000000" w:csb0="00080000"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28F296E4"/>
    <w:multiLevelType w:val="singleLevel"/>
    <w:tmpl w:val="28F296E4"/>
    <w:lvl w:ilvl="0">
      <w:start w:val="2"/>
      <w:numFmt w:val="chineseCounting"/>
      <w:lvlRestart w:val="0"/>
      <w:suff w:val="nothing"/>
      <w:lvlText w:val="%1、"/>
      <w:lvlJc w:val="left"/>
      <w:pPr>
        <w:tabs>
          <w:tab w:val="num" w:pos="0"/>
        </w:tabs>
        <w:ind w:left="0" w:hanging="0"/>
      </w:pPr>
      <w:rPr>
        <w:rFonts w:hint="eastAsia"/>
      </w:rPr>
    </w:lvl>
  </w:abstractNum>
  <w:abstractNum w:abstractNumId="1">
    <w:nsid w:val="10D01CD3"/>
    <w:multiLevelType w:val="singleLevel"/>
    <w:tmpl w:val="10D01CD3"/>
    <w:lvl w:ilvl="0">
      <w:start w:val="2"/>
      <w:numFmt w:val="chineseCounting"/>
      <w:lvlRestart w:val="0"/>
      <w:suff w:val="nothing"/>
      <w:lvlText w:val="（%1）"/>
      <w:lvlJc w:val="left"/>
      <w:pPr>
        <w:tabs>
          <w:tab w:val="num" w:pos="0"/>
        </w:tabs>
        <w:ind w:left="0" w:hanging="0"/>
      </w:pPr>
      <w:rPr>
        <w:rFonts w:hint="eastAsia"/>
      </w:rPr>
    </w:lvl>
  </w:abstractNum>
  <w:abstractNum w:abstractNumId="2">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3">
    <w:nsid w:val="EF5517EC"/>
    <w:multiLevelType w:val="singleLevel"/>
    <w:tmpl w:val="EF5517EC"/>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48</TotalTime>
  <Application>Yozo_Office</Application>
  <Pages>19</Pages>
  <Words>5311</Words>
  <Characters>5681</Characters>
  <Lines>312</Lines>
  <Paragraphs>102</Paragraphs>
  <CharactersWithSpaces>5691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46</cp:revision>
  <cp:lastPrinted>2019-09-27T00:42:00Z</cp:lastPrinted>
  <dcterms:created xsi:type="dcterms:W3CDTF">2019-09-26T01:09:00Z</dcterms:created>
  <dcterms:modified xsi:type="dcterms:W3CDTF">2019-11-25T02:30:11Z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2052-11.1.0.9098</vt:lpwstr>
  </property>
</Properties>
</file>