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jc w:val="center"/>
      </w:pPr>
      <w:r>
        <w:rPr>
          <w:rFonts w:hint="eastAsia"/>
          <w:b/>
          <w:sz w:val="44"/>
          <w:szCs w:val="44"/>
        </w:rPr>
        <w:t>廊坊市广阳区人民政府办公室</w:t>
      </w:r>
    </w:p>
    <w:p/>
    <w:p/>
    <w:p/>
    <w:p/>
    <w:p/>
    <w:p>
      <w:pPr>
        <w:widowControl/>
        <w:jc w:val="center"/>
        <w:rPr>
          <w:color w:val="000000"/>
          <w:sz w:val="72"/>
          <w:szCs w:val="72"/>
        </w:rPr>
      </w:pPr>
      <w:r>
        <w:rPr>
          <w:rFonts w:ascii="黑体" w:eastAsia="黑体" w:hint="eastAsia"/>
          <w:color w:val="000000"/>
          <w:sz w:val="72"/>
          <w:szCs w:val="72"/>
        </w:rPr>
        <w:t>第一部分  部门概况</w:t>
      </w:r>
    </w:p>
    <w:p/>
    <w:p/>
    <w:p/>
    <w:p/>
    <w:p/>
    <w:p/>
    <w:p/>
    <w:p/>
    <w:p/>
    <w:p>
      <w:bookmarkStart w:id="0" w:name="_GoBack"/>
      <w:bookmarkEnd w:id="0"/>
    </w:p>
    <w:p/>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pPr>
        <w:spacing w:line="586" w:lineRule="exact"/>
        <w:ind w:firstLineChars="200" w:firstLine="640"/>
        <w:rPr>
          <w:rFonts w:ascii="仿宋_GB2312" w:eastAsia="仿宋_GB2312"/>
          <w:sz w:val="32"/>
          <w:szCs w:val="32"/>
        </w:rPr>
      </w:pPr>
      <w:r>
        <w:rPr>
          <w:rFonts w:ascii="仿宋_GB2312" w:eastAsia="仿宋_GB2312" w:hint="eastAsia"/>
          <w:sz w:val="32"/>
          <w:szCs w:val="32"/>
        </w:rPr>
        <w:t>1、围绕区政府各时期的中心工作和重点工作，加强调查研究，及时了解、掌握经济和社会发展动态，及时反应信息情况，提出建议。</w:t>
      </w:r>
    </w:p>
    <w:p>
      <w:pPr>
        <w:spacing w:line="586" w:lineRule="exact"/>
        <w:ind w:firstLineChars="200" w:firstLine="640"/>
        <w:rPr>
          <w:rFonts w:ascii="仿宋_GB2312" w:eastAsia="仿宋_GB2312"/>
          <w:sz w:val="32"/>
          <w:szCs w:val="32"/>
        </w:rPr>
      </w:pPr>
      <w:r>
        <w:rPr>
          <w:rFonts w:ascii="仿宋_GB2312" w:eastAsia="仿宋_GB2312" w:hint="eastAsia"/>
          <w:sz w:val="32"/>
          <w:szCs w:val="32"/>
        </w:rPr>
        <w:t>2、负责区政府各种会议的准备工作，协助区政领导同志组织各类会议。</w:t>
      </w:r>
    </w:p>
    <w:p>
      <w:pPr>
        <w:spacing w:line="586" w:lineRule="exact"/>
        <w:ind w:firstLineChars="200" w:firstLine="640"/>
        <w:rPr>
          <w:rFonts w:ascii="仿宋_GB2312" w:eastAsia="仿宋_GB2312"/>
          <w:sz w:val="32"/>
          <w:szCs w:val="32"/>
        </w:rPr>
      </w:pPr>
      <w:r>
        <w:rPr>
          <w:rFonts w:ascii="仿宋_GB2312" w:eastAsia="仿宋_GB2312" w:hint="eastAsia"/>
          <w:sz w:val="32"/>
          <w:szCs w:val="32"/>
        </w:rPr>
        <w:t>3、负责区政府重要文、电的起草、审核把关和政府机关的文书处理工作；负责区政府机关的档案管理、印信管理和保密工作。</w:t>
      </w:r>
    </w:p>
    <w:p>
      <w:pPr>
        <w:spacing w:line="586" w:lineRule="exact"/>
        <w:ind w:firstLineChars="200" w:firstLine="640"/>
        <w:rPr>
          <w:rFonts w:ascii="仿宋_GB2312" w:eastAsia="仿宋_GB2312"/>
          <w:sz w:val="32"/>
          <w:szCs w:val="32"/>
        </w:rPr>
      </w:pPr>
      <w:r>
        <w:rPr>
          <w:rFonts w:ascii="仿宋_GB2312" w:eastAsia="仿宋_GB2312" w:hint="eastAsia"/>
          <w:sz w:val="32"/>
          <w:szCs w:val="32"/>
        </w:rPr>
        <w:t>4、负责区政府工作报告、领导同志重要讲话及其他重要材料的起草、修改工作。</w:t>
      </w:r>
    </w:p>
    <w:p>
      <w:pPr>
        <w:spacing w:line="586" w:lineRule="exact"/>
        <w:ind w:firstLineChars="200" w:firstLine="640"/>
        <w:rPr>
          <w:rFonts w:ascii="仿宋_GB2312" w:eastAsia="仿宋_GB2312"/>
          <w:sz w:val="32"/>
          <w:szCs w:val="32"/>
        </w:rPr>
      </w:pPr>
      <w:r>
        <w:rPr>
          <w:rFonts w:ascii="仿宋_GB2312" w:eastAsia="仿宋_GB2312" w:hint="eastAsia"/>
          <w:sz w:val="32"/>
          <w:szCs w:val="32"/>
        </w:rPr>
        <w:t>5、根据工作需要，负责与区委、人大、政协、纪委、中省直驻廊单位和驻廊部队的联系；协调乡镇、街办处、部门之间的关系和工作，对重要的问题提出处理意见，报区政府领导审定。</w:t>
      </w:r>
    </w:p>
    <w:p>
      <w:pPr>
        <w:spacing w:line="586" w:lineRule="exact"/>
        <w:ind w:firstLineChars="200" w:firstLine="640"/>
        <w:rPr>
          <w:rFonts w:ascii="仿宋_GB2312" w:eastAsia="仿宋_GB2312"/>
          <w:sz w:val="32"/>
          <w:szCs w:val="32"/>
        </w:rPr>
      </w:pPr>
      <w:r>
        <w:rPr>
          <w:rFonts w:ascii="仿宋_GB2312" w:eastAsia="仿宋_GB2312" w:hint="eastAsia"/>
          <w:sz w:val="32"/>
          <w:szCs w:val="32"/>
        </w:rPr>
        <w:t>6、督促检查区政府各部门、各乡镇人民政府、街道办事处对省政府、市政府、区政府重要文件，区政府会议决定事项及区政府领导同志重要批示的执行、落实情况，并向区政府领导同志报告。</w:t>
      </w:r>
    </w:p>
    <w:p>
      <w:pPr>
        <w:spacing w:line="586" w:lineRule="exact"/>
        <w:ind w:firstLineChars="200" w:firstLine="640"/>
        <w:rPr>
          <w:rFonts w:ascii="仿宋_GB2312" w:eastAsia="仿宋_GB2312"/>
          <w:sz w:val="32"/>
          <w:szCs w:val="32"/>
        </w:rPr>
      </w:pPr>
      <w:r>
        <w:rPr>
          <w:rFonts w:ascii="仿宋_GB2312" w:eastAsia="仿宋_GB2312" w:hint="eastAsia"/>
          <w:sz w:val="32"/>
          <w:szCs w:val="32"/>
        </w:rPr>
        <w:t>7、负责区政府机关值班工作，及时向区政府领导同志报告重要情况，协助领导同志组织处理突发事件、重大灾情和重大事故。</w:t>
      </w:r>
    </w:p>
    <w:p>
      <w:pPr>
        <w:spacing w:line="586" w:lineRule="exact"/>
        <w:ind w:firstLineChars="200" w:firstLine="640"/>
        <w:rPr>
          <w:rFonts w:ascii="仿宋_GB2312" w:eastAsia="仿宋_GB2312"/>
          <w:sz w:val="32"/>
          <w:szCs w:val="32"/>
        </w:rPr>
      </w:pPr>
      <w:r>
        <w:rPr>
          <w:rFonts w:ascii="仿宋_GB2312" w:eastAsia="仿宋_GB2312" w:hint="eastAsia"/>
          <w:sz w:val="32"/>
          <w:szCs w:val="32"/>
        </w:rPr>
        <w:t>8、负责全国、省、市、区人大代表建议、批评、意见及全国、省、市、区政协提案的办理工作。</w:t>
      </w:r>
    </w:p>
    <w:p>
      <w:pPr>
        <w:spacing w:line="586" w:lineRule="exact"/>
        <w:ind w:firstLineChars="200" w:firstLine="640"/>
        <w:rPr>
          <w:rFonts w:ascii="仿宋_GB2312" w:eastAsia="仿宋_GB2312"/>
          <w:sz w:val="32"/>
          <w:szCs w:val="32"/>
        </w:rPr>
      </w:pPr>
      <w:r>
        <w:rPr>
          <w:rFonts w:ascii="仿宋_GB2312" w:eastAsia="仿宋_GB2312" w:hint="eastAsia"/>
          <w:sz w:val="32"/>
          <w:szCs w:val="32"/>
        </w:rPr>
        <w:t>9、负责区政府外宾、内宾接待，公务接待工作。</w:t>
      </w:r>
    </w:p>
    <w:p>
      <w:pPr>
        <w:spacing w:line="586" w:lineRule="exact"/>
        <w:ind w:firstLineChars="200" w:firstLine="640"/>
        <w:rPr>
          <w:rFonts w:ascii="仿宋_GB2312" w:eastAsia="仿宋_GB2312"/>
          <w:sz w:val="32"/>
          <w:szCs w:val="32"/>
        </w:rPr>
      </w:pPr>
      <w:r>
        <w:rPr>
          <w:rFonts w:ascii="仿宋_GB2312" w:eastAsia="仿宋_GB2312" w:hint="eastAsia"/>
          <w:sz w:val="32"/>
          <w:szCs w:val="32"/>
        </w:rPr>
        <w:t>10、负责经济体制改革工作，负责区政府机关事务管理工作。</w:t>
      </w:r>
    </w:p>
    <w:p>
      <w:pPr>
        <w:spacing w:line="586" w:lineRule="exact"/>
        <w:ind w:firstLine="570"/>
        <w:rPr>
          <w:rFonts w:ascii="仿宋_GB2312" w:eastAsia="仿宋_GB2312"/>
          <w:sz w:val="32"/>
          <w:szCs w:val="32"/>
        </w:rPr>
      </w:pPr>
      <w:r>
        <w:rPr>
          <w:rFonts w:ascii="仿宋_GB2312" w:eastAsia="仿宋_GB2312" w:hint="eastAsia"/>
          <w:sz w:val="32"/>
          <w:szCs w:val="32"/>
        </w:rPr>
        <w:t>11、负责全区民族宗教工作；负责全区法制工作。</w:t>
      </w:r>
    </w:p>
    <w:p>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12、办理区政府领导交办的其他事项。</w:t>
      </w:r>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从决算编报单位构成看，纳入2018 年度本部门决算汇编范围的独立核算单位（以下简称“单位”）共1个，具体情况如下：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trPr>
          <w:trHeight w:val="596"/>
        </w:trPr>
        <w:tc>
          <w:tcPr>
            <w:tcW w:w="985"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Pr>
          <w:p>
            <w:pPr>
              <w:spacing w:after="0" w:line="560" w:lineRule="exact"/>
              <w:rPr>
                <w:rFonts w:ascii="仿宋_GB2312" w:eastAsia="仿宋_GB2312" w:cs="ArialUnicodeMS"/>
                <w:kern w:val="0"/>
                <w:sz w:val="32"/>
                <w:szCs w:val="32"/>
              </w:rPr>
            </w:pPr>
            <w:r>
              <w:rPr>
                <w:rFonts w:eastAsia="仿宋_GB2312" w:hint="eastAsia"/>
                <w:sz w:val="32"/>
                <w:szCs w:val="32"/>
              </w:rPr>
              <w:t>廊坊市广阳区人民政府办公室</w:t>
            </w:r>
            <w:r>
              <w:rPr>
                <w:rFonts w:ascii="仿宋_GB2312" w:eastAsia="仿宋_GB2312" w:cs="ArialUnicodeMS" w:hint="eastAsia"/>
                <w:kern w:val="0"/>
                <w:sz w:val="32"/>
                <w:szCs w:val="32"/>
              </w:rPr>
              <w:t>(本级)</w:t>
            </w:r>
          </w:p>
        </w:tc>
        <w:tc>
          <w:tcPr>
            <w:tcW w:w="2445" w:type="dxa"/>
          </w:tcPr>
          <w:p>
            <w:pPr>
              <w:spacing w:after="0" w:line="560" w:lineRule="exact"/>
              <w:jc w:val="center"/>
              <w:rPr>
                <w:rFonts w:ascii="仿宋_GB2312" w:eastAsia="仿宋_GB2312" w:cs="ArialUnicodeMS"/>
                <w:kern w:val="0"/>
                <w:sz w:val="32"/>
                <w:szCs w:val="32"/>
              </w:rPr>
            </w:pPr>
            <w:r>
              <w:rPr>
                <w:rFonts w:eastAsia="仿宋_GB2312" w:hint="eastAsia"/>
                <w:sz w:val="32"/>
                <w:szCs w:val="32"/>
              </w:rPr>
              <w:t>行政单位</w:t>
            </w:r>
          </w:p>
        </w:tc>
        <w:tc>
          <w:tcPr>
            <w:tcW w:w="2665" w:type="dxa"/>
          </w:tcPr>
          <w:p>
            <w:pPr>
              <w:spacing w:after="0" w:line="560" w:lineRule="exact"/>
              <w:jc w:val="center"/>
              <w:rPr>
                <w:rFonts w:ascii="仿宋_GB2312" w:eastAsia="仿宋_GB2312" w:cs="ArialUnicodeMS"/>
                <w:kern w:val="0"/>
                <w:sz w:val="32"/>
                <w:szCs w:val="32"/>
              </w:rPr>
            </w:pPr>
            <w:r>
              <w:rPr>
                <w:rFonts w:eastAsia="仿宋_GB2312" w:hint="eastAsia"/>
                <w:sz w:val="32"/>
                <w:szCs w:val="32"/>
              </w:rPr>
              <w:t>财政拨款</w:t>
            </w:r>
          </w:p>
        </w:tc>
      </w:tr>
      <w:tr>
        <w:trPr>
          <w:trHeight w:val="606"/>
        </w:trPr>
        <w:tc>
          <w:tcPr>
            <w:tcW w:w="9580" w:type="dxa"/>
            <w:gridSpan w:val="4"/>
            <w:tcBorders>
              <w:top w:val="single" w:sz="4" w:space="0" w:color="auto"/>
              <w:left w:val="nil"/>
              <w:bottom w:val="nil"/>
              <w:right w:val="nil"/>
            </w:tcBorders>
          </w:tcPr>
          <w:p>
            <w:pPr>
              <w:spacing w:after="0" w:line="560" w:lineRule="exact"/>
              <w:ind w:firstLineChars="200" w:firstLine="560"/>
              <w:jc w:val="left"/>
              <w:rPr>
                <w:rFonts w:ascii="仿宋_GB2312" w:eastAsia="仿宋_GB2312" w:cs="ArialUnicodeMS"/>
                <w:kern w:val="0"/>
                <w:sz w:val="28"/>
                <w:szCs w:val="28"/>
              </w:rPr>
            </w:pPr>
          </w:p>
        </w:tc>
      </w:tr>
    </w:tbl>
    <w:p>
      <w:pPr>
        <w:widowControl/>
        <w:spacing w:line="560" w:lineRule="exact"/>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pPr>
        <w:widowControl/>
        <w:spacing w:line="1200" w:lineRule="exact"/>
        <w:jc w:val="center"/>
        <w:rPr>
          <w:color w:val="000000"/>
          <w:sz w:val="72"/>
          <w:szCs w:val="96"/>
        </w:rPr>
      </w:pPr>
      <w:r>
        <w:rPr>
          <w:rFonts w:ascii="黑体" w:eastAsia="黑体" w:hint="eastAsia"/>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80" w:lineRule="exact"/>
        <w:ind w:firstLineChars="200" w:firstLine="640"/>
        <w:rPr>
          <w:rFonts w:eastAsia="仿宋_GB2312"/>
          <w:sz w:val="20"/>
          <w:szCs w:val="32"/>
        </w:rPr>
      </w:pPr>
      <w:r>
        <w:rPr>
          <w:rFonts w:eastAsia="黑体"/>
          <w:sz w:val="32"/>
          <w:szCs w:val="32"/>
        </w:rPr>
        <w:t>第二部分   201</w:t>
      </w:r>
      <w:r>
        <w:rPr>
          <w:rFonts w:eastAsia="黑体" w:hint="eastAsia"/>
          <w:sz w:val="32"/>
          <w:szCs w:val="32"/>
        </w:rPr>
        <w:t>8</w:t>
      </w:r>
      <w:r>
        <w:rPr>
          <w:rFonts w:eastAsia="黑体"/>
          <w:sz w:val="32"/>
          <w:szCs w:val="32"/>
        </w:rPr>
        <w:t>年度部门决算报表</w:t>
      </w:r>
    </w:p>
    <w:p>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pPr>
        <w:widowControl/>
        <w:spacing w:line="580" w:lineRule="exact"/>
        <w:ind w:left="640" w:firstLineChars="200" w:firstLine="640"/>
        <w:rPr>
          <w:rFonts w:eastAsia="仿宋_GB2312"/>
          <w:sz w:val="32"/>
          <w:szCs w:val="32"/>
        </w:rPr>
      </w:pPr>
      <w:r>
        <w:rPr>
          <w:rFonts w:eastAsia="仿宋_GB2312"/>
          <w:sz w:val="32"/>
          <w:szCs w:val="32"/>
        </w:rPr>
        <w:t>二、收入决算表</w:t>
      </w:r>
    </w:p>
    <w:p>
      <w:pPr>
        <w:widowControl/>
        <w:spacing w:line="580" w:lineRule="exact"/>
        <w:ind w:left="640" w:firstLineChars="200" w:firstLine="640"/>
        <w:rPr>
          <w:rFonts w:eastAsia="仿宋_GB2312"/>
          <w:sz w:val="32"/>
          <w:szCs w:val="32"/>
        </w:rPr>
      </w:pPr>
      <w:r>
        <w:rPr>
          <w:rFonts w:eastAsia="仿宋_GB2312"/>
          <w:sz w:val="32"/>
          <w:szCs w:val="32"/>
        </w:rPr>
        <w:t>三、支出决算表</w:t>
      </w:r>
    </w:p>
    <w:p>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“三公”经费</w:t>
      </w:r>
      <w:r>
        <w:rPr>
          <w:rFonts w:eastAsia="仿宋_GB2312" w:hint="eastAsia"/>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docGrid w:type="lines" w:linePitch="312" w:charSpace="0"/>
        </w:sectPr>
      </w:pPr>
      <w:r>
        <w:rPr>
          <w:rFonts w:hint="eastAsia"/>
        </w:rP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pPr>
        <w:widowControl/>
        <w:spacing w:line="1200" w:lineRule="exact"/>
        <w:jc w:val="center"/>
        <w:rPr>
          <w:color w:val="000000"/>
          <w:sz w:val="72"/>
          <w:szCs w:val="72"/>
        </w:rPr>
      </w:pPr>
      <w:r>
        <w:rPr>
          <w:rFonts w:ascii="黑体" w:eastAsia="黑体" w:hint="eastAsia"/>
          <w:color w:val="000000"/>
          <w:sz w:val="72"/>
          <w:szCs w:val="72"/>
        </w:rPr>
        <w:t>部门决算情况说明</w:t>
      </w:r>
    </w:p>
    <w:p>
      <w:pPr>
        <w:rPr>
          <w:rFonts w:ascii="宋体" w:cs="ArialUnicodeMS"/>
          <w:color w:val="000000"/>
          <w:kern w:val="0"/>
        </w:rPr>
        <w:sectPr>
          <w:pgSz w:w="11906" w:h="16838"/>
          <w:pgMar w:top="2098" w:right="1474" w:bottom="1984" w:left="1588" w:header="851" w:footer="992" w:gutter="0"/>
          <w:docGrid w:type="lines" w:linePitch="312" w:charSpace="0"/>
        </w:sectPr>
      </w:pPr>
    </w:p>
    <w:p>
      <w:pPr>
        <w:pStyle w:val="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cs="黑体" w:hint="eastAsia"/>
          <w:b w:val="0"/>
          <w:bCs w:val="0"/>
          <w:kern w:val="0"/>
        </w:rPr>
        <w:t>支出</w:t>
      </w:r>
      <w:r>
        <w:rPr>
          <w:rFonts w:ascii="黑体" w:eastAsia="黑体" w:hint="eastAsia"/>
          <w:b w:val="0"/>
          <w:bCs w:val="0"/>
        </w:rPr>
        <w:t>决算总体情况说明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入总计（含结转和结余）2702.12万元，支出总计（含结转和结余）2702.12万元。与2017年度决算相比，收入总计增加730.38万元，增加37.0%。与2017年度决算相比，支出总计增加730.38万元，增加37.0%。主要原因是</w:t>
      </w:r>
      <w:r>
        <w:rPr>
          <w:rFonts w:eastAsia="仿宋_GB2312"/>
          <w:color w:val="000000"/>
          <w:kern w:val="0"/>
          <w:sz w:val="32"/>
          <w:szCs w:val="32"/>
        </w:rPr>
        <w:t>较上年</w:t>
      </w:r>
      <w:r>
        <w:rPr>
          <w:rFonts w:eastAsia="仿宋_GB2312" w:hint="eastAsia"/>
          <w:color w:val="000000"/>
          <w:kern w:val="0"/>
          <w:sz w:val="32"/>
          <w:szCs w:val="32"/>
        </w:rPr>
        <w:t>增加</w:t>
      </w:r>
      <w:r>
        <w:rPr>
          <w:rFonts w:eastAsia="仿宋_GB2312"/>
          <w:color w:val="000000"/>
          <w:kern w:val="0"/>
          <w:sz w:val="32"/>
          <w:szCs w:val="32"/>
        </w:rPr>
        <w:t>了</w:t>
      </w:r>
      <w:r>
        <w:rPr>
          <w:rFonts w:eastAsia="仿宋_GB2312" w:hint="eastAsia"/>
          <w:color w:val="000000"/>
          <w:kern w:val="0"/>
          <w:sz w:val="32"/>
          <w:szCs w:val="32"/>
        </w:rPr>
        <w:t>政务服务、政务管理、上市企业奖励资金、金融处非事务等</w:t>
      </w:r>
      <w:r>
        <w:rPr>
          <w:rFonts w:eastAsia="仿宋_GB2312"/>
          <w:color w:val="000000"/>
          <w:kern w:val="0"/>
          <w:sz w:val="32"/>
          <w:szCs w:val="32"/>
        </w:rPr>
        <w:t>项目</w:t>
      </w:r>
      <w:r>
        <w:rPr>
          <w:rFonts w:eastAsia="仿宋_GB2312" w:hint="eastAsia"/>
          <w:color w:val="000000"/>
          <w:kern w:val="0"/>
          <w:sz w:val="32"/>
          <w:szCs w:val="32"/>
        </w:rPr>
        <w:t>支出。</w:t>
      </w:r>
    </w:p>
    <w:p>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本部门2018年度本年收入合计2581.21万元，其中：财政拨款收入2325.27万元，占90.1%；事业收入0万元，占0%；经营收入0万元，占0%；其他收入255.94万元，占9.9%。</w:t>
      </w:r>
    </w:p>
    <w:p>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本部门2018年度本年支出合计2686.28万元，其中：基本支出2686.28万元，占100%；项目支出0万元，占0%；经营支出0万元，占0%。</w:t>
      </w:r>
    </w:p>
    <w:p>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2325.27万元,比2017年度增加612.47万元，增长35.8%，主要原因是2018年根据实际工作需要列入部门预算专项资金增加；本年支出2686.28万元，增加835.44万元，增长45.1%，主要原因是增加了政务服务、政务管理、上市企业奖励资金、金融处非事务等项目支出。</w:t>
      </w:r>
    </w:p>
    <w:p>
      <w:pPr>
        <w:spacing w:after="0"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2325.27万元，完成年初预算的122.9%,比年初预算增加432.59万元，决算数大于预算数，主要原因2018年根据实际工作需要列入部门预算专项资金增加；本年支出2686.28万元，完成年初预算的141.9%,比年初预算增加793.6万元，决算数大于预算数，主要原因是</w:t>
      </w:r>
      <w:r>
        <w:rPr>
          <w:rFonts w:eastAsia="仿宋_GB2312"/>
          <w:color w:val="000000"/>
          <w:kern w:val="0"/>
          <w:sz w:val="32"/>
          <w:szCs w:val="32"/>
        </w:rPr>
        <w:t>较上年</w:t>
      </w:r>
      <w:r>
        <w:rPr>
          <w:rFonts w:eastAsia="仿宋_GB2312" w:hint="eastAsia"/>
          <w:color w:val="000000"/>
          <w:kern w:val="0"/>
          <w:sz w:val="32"/>
          <w:szCs w:val="32"/>
        </w:rPr>
        <w:t>增加</w:t>
      </w:r>
      <w:r>
        <w:rPr>
          <w:rFonts w:eastAsia="仿宋_GB2312"/>
          <w:color w:val="000000"/>
          <w:kern w:val="0"/>
          <w:sz w:val="32"/>
          <w:szCs w:val="32"/>
        </w:rPr>
        <w:t>了</w:t>
      </w:r>
      <w:r>
        <w:rPr>
          <w:rFonts w:eastAsia="仿宋_GB2312" w:hint="eastAsia"/>
          <w:color w:val="000000"/>
          <w:kern w:val="0"/>
          <w:sz w:val="32"/>
          <w:szCs w:val="32"/>
        </w:rPr>
        <w:t>政务服务、政务管理、上市企业奖励资金、金融处非事务等</w:t>
      </w:r>
      <w:r>
        <w:rPr>
          <w:rFonts w:eastAsia="仿宋_GB2312"/>
          <w:color w:val="000000"/>
          <w:kern w:val="0"/>
          <w:sz w:val="32"/>
          <w:szCs w:val="32"/>
        </w:rPr>
        <w:t>项目</w:t>
      </w:r>
      <w:r>
        <w:rPr>
          <w:rFonts w:eastAsia="仿宋_GB2312" w:hint="eastAsia"/>
          <w:color w:val="000000"/>
          <w:kern w:val="0"/>
          <w:sz w:val="32"/>
          <w:szCs w:val="32"/>
        </w:rPr>
        <w:t>支出。</w:t>
      </w:r>
      <w:r>
        <w:rPr>
          <w:rFonts w:ascii="仿宋_GB2312" w:eastAsia="仿宋_GB2312" w:cs="DengXian-Regular" w:hint="eastAsia"/>
          <w:sz w:val="32"/>
          <w:szCs w:val="32"/>
        </w:rPr>
        <w:t>。</w:t>
      </w:r>
    </w:p>
    <w:p>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2686.28万元，主要用于以下方面：一般公共服务（类）支出2192.92万元，占81.6%；公共安全（类）支出0.45万元，占0.02%；社会保障和就业（类）支出399.14万元，占14.9%；医疗卫生与计划生育支出34.98万元，占1.3%；住房保障（类）支出58.79万元，占2.2%。</w:t>
      </w:r>
    </w:p>
    <w:p>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2318.91万元，其中：人员经费1708.87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610.04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pPr>
        <w:adjustRightInd w:val="0"/>
        <w:snapToGrid w:val="0"/>
        <w:spacing w:line="584"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三公”经费支出共计74.4万元，比年初预算增加74.4万元，增长100%，主要原因是公车日常运行及维修和购置大型客车各项费用及保险；比2017年度决算增加44.4万元，增长148%，主要原因是根据公车管理办法拍卖处置旧车及购置符合国家相关政策规定的新车。具体情况如下：</w:t>
      </w:r>
    </w:p>
    <w:p>
      <w:pPr>
        <w:adjustRightInd w:val="0"/>
        <w:snapToGrid w:val="0"/>
        <w:spacing w:line="584" w:lineRule="exact"/>
        <w:ind w:firstLineChars="200" w:firstLine="640"/>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年度未发生</w:t>
      </w:r>
      <w:r>
        <w:rPr>
          <w:rFonts w:ascii="仿宋_GB2312" w:eastAsia="仿宋_GB2312" w:cs="DengXian-Regular" w:hint="eastAsia"/>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较年初预算无增减变化；较201</w:t>
      </w:r>
      <w:r>
        <w:rPr>
          <w:rFonts w:eastAsia="仿宋_GB2312" w:hint="eastAsia"/>
          <w:sz w:val="32"/>
          <w:szCs w:val="32"/>
        </w:rPr>
        <w:t>7</w:t>
      </w:r>
      <w:r>
        <w:rPr>
          <w:rFonts w:eastAsia="仿宋_GB2312"/>
          <w:sz w:val="32"/>
          <w:szCs w:val="32"/>
        </w:rPr>
        <w:t>年度决算无增减变化</w:t>
      </w:r>
      <w:r>
        <w:rPr>
          <w:rFonts w:eastAsia="仿宋_GB2312" w:hint="eastAsia"/>
          <w:sz w:val="32"/>
          <w:szCs w:val="32"/>
        </w:rPr>
        <w:t>。</w:t>
      </w:r>
    </w:p>
    <w:p>
      <w:pPr>
        <w:adjustRightInd w:val="0"/>
        <w:snapToGrid w:val="0"/>
        <w:spacing w:line="584" w:lineRule="exact"/>
        <w:ind w:firstLineChars="200" w:firstLine="640"/>
        <w:rPr>
          <w:rFonts w:eastAsia="仿宋_GB2312"/>
          <w:sz w:val="32"/>
          <w:szCs w:val="32"/>
        </w:rPr>
      </w:pPr>
      <w:r>
        <w:rPr>
          <w:rFonts w:eastAsia="楷体_GB2312"/>
          <w:b/>
          <w:bCs/>
          <w:sz w:val="32"/>
          <w:szCs w:val="32"/>
        </w:rPr>
        <w:t>（二）公务用车购置及运行维护费支出</w:t>
      </w:r>
      <w:r>
        <w:rPr>
          <w:rFonts w:eastAsia="楷体_GB2312" w:hint="eastAsia"/>
          <w:b/>
          <w:bCs/>
          <w:sz w:val="32"/>
          <w:szCs w:val="32"/>
        </w:rPr>
        <w:t>74.4</w:t>
      </w:r>
      <w:r>
        <w:rPr>
          <w:rFonts w:eastAsia="楷体_GB2312"/>
          <w:b/>
          <w:bCs/>
          <w:sz w:val="32"/>
          <w:szCs w:val="32"/>
        </w:rPr>
        <w:t>万元。</w:t>
      </w:r>
      <w:r>
        <w:rPr>
          <w:rFonts w:eastAsia="仿宋_GB2312" w:hint="eastAsia"/>
          <w:sz w:val="32"/>
          <w:szCs w:val="32"/>
        </w:rPr>
        <w:t xml:space="preserve">本部门2018年度公务用车购置及运行维护费比年初预算增加74.4万元，增长100%,主要原因是公车日常运行及维修和购置大型客车各项费用及保险；比2017年度决算增加44.4万元，增长148%，主要原因是根据公车管理办法拍卖处置旧车及购置符合国家相关政策规定的新车。     </w:t>
      </w:r>
    </w:p>
    <w:p>
      <w:pPr>
        <w:adjustRightInd w:val="0"/>
        <w:snapToGrid w:val="0"/>
        <w:spacing w:line="584" w:lineRule="exact"/>
        <w:ind w:firstLineChars="200" w:firstLine="640"/>
        <w:rPr>
          <w:rFonts w:eastAsia="仿宋_GB2312"/>
          <w:sz w:val="32"/>
          <w:szCs w:val="32"/>
        </w:rPr>
      </w:pPr>
      <w:r>
        <w:rPr>
          <w:rFonts w:eastAsia="仿宋_GB2312"/>
          <w:b/>
          <w:bCs/>
          <w:sz w:val="32"/>
          <w:szCs w:val="32"/>
        </w:rPr>
        <w:t>其中：</w:t>
      </w:r>
      <w:r>
        <w:rPr>
          <w:rFonts w:eastAsia="仿宋_GB2312"/>
          <w:b/>
          <w:sz w:val="32"/>
          <w:szCs w:val="32"/>
        </w:rPr>
        <w:t>公务用车购置费支出</w:t>
      </w:r>
      <w:r>
        <w:rPr>
          <w:rFonts w:eastAsia="仿宋_GB2312" w:hint="eastAsia"/>
          <w:b/>
          <w:sz w:val="32"/>
          <w:szCs w:val="32"/>
        </w:rPr>
        <w:t>48.9</w:t>
      </w:r>
      <w:r>
        <w:rPr>
          <w:rFonts w:eastAsia="仿宋_GB2312"/>
          <w:b/>
          <w:sz w:val="32"/>
          <w:szCs w:val="32"/>
        </w:rPr>
        <w:t>万元。</w:t>
      </w:r>
      <w:r>
        <w:rPr>
          <w:rFonts w:eastAsia="仿宋_GB2312" w:hint="eastAsia"/>
          <w:sz w:val="32"/>
          <w:szCs w:val="32"/>
        </w:rPr>
        <w:t>本部门2018年度公务用车购置数量1辆。公务用车购置费支出比年初预算增加48.9万元，增长100%，主要原因是购置新车；比2017年度决算增加48.9万元，增长100%，主要原因是根据公车管理办法拍卖处置旧车及购置符合国家相关政策规定的新车。</w:t>
      </w:r>
    </w:p>
    <w:p>
      <w:pPr>
        <w:adjustRightInd w:val="0"/>
        <w:snapToGrid w:val="0"/>
        <w:spacing w:line="584" w:lineRule="exact"/>
        <w:ind w:firstLineChars="200" w:firstLine="640"/>
        <w:rPr>
          <w:rFonts w:eastAsia="仿宋_GB2312"/>
          <w:sz w:val="32"/>
          <w:szCs w:val="32"/>
        </w:rPr>
      </w:pPr>
      <w:r>
        <w:rPr>
          <w:rFonts w:eastAsia="仿宋_GB2312"/>
          <w:b/>
          <w:sz w:val="32"/>
          <w:szCs w:val="32"/>
        </w:rPr>
        <w:t>公务用车运行维护费支出</w:t>
      </w:r>
      <w:r>
        <w:rPr>
          <w:rFonts w:eastAsia="仿宋_GB2312" w:hint="eastAsia"/>
          <w:b/>
          <w:sz w:val="32"/>
          <w:szCs w:val="32"/>
        </w:rPr>
        <w:t>25.51</w:t>
      </w:r>
      <w:r>
        <w:rPr>
          <w:rFonts w:eastAsia="仿宋_GB2312"/>
          <w:b/>
          <w:sz w:val="32"/>
          <w:szCs w:val="32"/>
        </w:rPr>
        <w:t>万元。</w:t>
      </w:r>
      <w:r>
        <w:rPr>
          <w:rFonts w:eastAsia="仿宋_GB2312" w:hint="eastAsia"/>
          <w:sz w:val="32"/>
          <w:szCs w:val="32"/>
        </w:rPr>
        <w:t>本部门2018年末单位公务用车保有量7辆。公车运行维护费支出比年初预算增加25.51万元，增长100%，主要原因是车辆使用时间均为10年以上，维修费增加，并且根据社会经济发展状况，调整公车保险保费上限；比2017年度决算减少4.49万元，降低17.6%，主要原因是加强公车管理力度。</w:t>
      </w:r>
    </w:p>
    <w:p>
      <w:pPr>
        <w:adjustRightInd w:val="0"/>
        <w:snapToGrid w:val="0"/>
        <w:spacing w:line="584" w:lineRule="exact"/>
        <w:ind w:firstLineChars="200" w:firstLine="640"/>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年度未发生公务接待经费支出。公务接待费支出较年初预算无增减变化；较201</w:t>
      </w:r>
      <w:r>
        <w:rPr>
          <w:rFonts w:eastAsia="仿宋_GB2312" w:hint="eastAsia"/>
          <w:sz w:val="32"/>
          <w:szCs w:val="32"/>
        </w:rPr>
        <w:t>7</w:t>
      </w:r>
      <w:r>
        <w:rPr>
          <w:rFonts w:eastAsia="仿宋_GB2312"/>
          <w:sz w:val="32"/>
          <w:szCs w:val="32"/>
        </w:rPr>
        <w:t>年度决算无增减变化。</w:t>
      </w:r>
    </w:p>
    <w:p>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pPr>
        <w:widowControl/>
        <w:spacing w:line="580" w:lineRule="exact"/>
        <w:ind w:firstLineChars="200" w:firstLine="640"/>
        <w:rPr>
          <w:rFonts w:eastAsia="仿宋_GB2312"/>
          <w:sz w:val="32"/>
          <w:szCs w:val="32"/>
        </w:rPr>
      </w:pPr>
      <w:r>
        <w:rPr>
          <w:rFonts w:eastAsia="仿宋_GB2312" w:hint="eastAsia"/>
          <w:sz w:val="32"/>
          <w:szCs w:val="32"/>
        </w:rPr>
        <w:t>1、精简会议抓文字，增强辅政能力</w:t>
      </w:r>
    </w:p>
    <w:p>
      <w:pPr>
        <w:widowControl/>
        <w:spacing w:line="580" w:lineRule="exact"/>
        <w:ind w:firstLineChars="200" w:firstLine="640"/>
        <w:rPr>
          <w:rFonts w:eastAsia="仿宋_GB2312"/>
          <w:sz w:val="32"/>
          <w:szCs w:val="32"/>
        </w:rPr>
      </w:pPr>
      <w:r>
        <w:rPr>
          <w:rFonts w:eastAsia="仿宋_GB2312" w:hint="eastAsia"/>
          <w:sz w:val="32"/>
          <w:szCs w:val="32"/>
        </w:rPr>
        <w:t>严格落实中央“八项规定”相关要求，坚决避免“文山会海”。在承办会议方面，在精简会议数量、缩短会议时间的基础上，切实做好会务工作，做到会前周密安排，会中周到服务，会后周详总结。在起草文稿方面，在文稿数量大、质量要求高的情况下，坚持以高度负责的精神，认真对待每一份材料，扎实做好重要文稿的起草工作。</w:t>
      </w:r>
    </w:p>
    <w:p>
      <w:pPr>
        <w:widowControl/>
        <w:spacing w:line="580" w:lineRule="exact"/>
        <w:ind w:firstLineChars="200" w:firstLine="640"/>
        <w:rPr>
          <w:rFonts w:eastAsia="仿宋_GB2312"/>
          <w:sz w:val="32"/>
          <w:szCs w:val="32"/>
        </w:rPr>
      </w:pPr>
      <w:r>
        <w:rPr>
          <w:rFonts w:eastAsia="仿宋_GB2312" w:hint="eastAsia"/>
          <w:sz w:val="32"/>
          <w:szCs w:val="32"/>
        </w:rPr>
        <w:t>2、深入基层搞调研，当好参谋助手</w:t>
      </w:r>
    </w:p>
    <w:p>
      <w:pPr>
        <w:widowControl/>
        <w:spacing w:line="580" w:lineRule="exact"/>
        <w:ind w:firstLineChars="200" w:firstLine="640"/>
        <w:rPr>
          <w:rFonts w:eastAsia="仿宋_GB2312"/>
          <w:sz w:val="32"/>
          <w:szCs w:val="32"/>
        </w:rPr>
      </w:pPr>
      <w:r>
        <w:rPr>
          <w:rFonts w:eastAsia="仿宋_GB2312" w:hint="eastAsia"/>
          <w:sz w:val="32"/>
          <w:szCs w:val="32"/>
        </w:rPr>
        <w:t>紧紧围绕区政府工作思路，紧扣全区经济社会发展重大问题，深入各乡镇、街道办事处、区直各部门和企业开展调查研究，为区政府科学决策提供了充分参考。一是按照区政府领导要求，深入基层，围绕服务经济社会发展，围绕经济和社会宏观战略，开展综合调研出思路；二是围绕领导关注的热点问题，开展个案调研解剖典型；三是围绕区政府重大决策，开展超前调研提供信息，特别对城镇化建设、城市经济、项目建设等方面进行专题调研，为广阳加快发展、跨越发展做出积极贡献。</w:t>
      </w:r>
    </w:p>
    <w:p>
      <w:pPr>
        <w:widowControl/>
        <w:spacing w:line="580" w:lineRule="exact"/>
        <w:ind w:firstLineChars="200" w:firstLine="640"/>
        <w:rPr>
          <w:rFonts w:eastAsia="仿宋_GB2312"/>
          <w:sz w:val="32"/>
          <w:szCs w:val="32"/>
        </w:rPr>
      </w:pPr>
      <w:r>
        <w:rPr>
          <w:rFonts w:eastAsia="仿宋_GB2312" w:hint="eastAsia"/>
          <w:sz w:val="32"/>
          <w:szCs w:val="32"/>
        </w:rPr>
        <w:t>3、综合协调创联动，发挥枢纽作用</w:t>
      </w:r>
    </w:p>
    <w:p>
      <w:pPr>
        <w:widowControl/>
        <w:spacing w:line="580" w:lineRule="exact"/>
        <w:ind w:firstLineChars="200" w:firstLine="640"/>
        <w:rPr>
          <w:rFonts w:eastAsia="仿宋_GB2312"/>
          <w:sz w:val="32"/>
          <w:szCs w:val="32"/>
        </w:rPr>
      </w:pPr>
      <w:r>
        <w:rPr>
          <w:rFonts w:eastAsia="仿宋_GB2312" w:hint="eastAsia"/>
          <w:sz w:val="32"/>
          <w:szCs w:val="32"/>
        </w:rPr>
        <w:t>一是主动协调，快速推进。主动加强与区委办、人大办、政协办等几大班子的联系，及时就区政府的重大决策部署和需要协调的问题进行沟通，取得理解与支持。以化解矛盾、加强协作、凝聚人心、集聚合力为目的，经常与部门交流情况，协调处理好各部门间的关系，推动全区形成团结一致求发展、齐心协力抓落实的良好工作氛围。</w:t>
      </w:r>
    </w:p>
    <w:p>
      <w:pPr>
        <w:widowControl/>
        <w:spacing w:line="580" w:lineRule="exact"/>
        <w:ind w:firstLineChars="200" w:firstLine="640"/>
        <w:rPr>
          <w:rFonts w:eastAsia="仿宋_GB2312"/>
          <w:sz w:val="32"/>
          <w:szCs w:val="32"/>
        </w:rPr>
      </w:pPr>
      <w:r>
        <w:rPr>
          <w:rFonts w:eastAsia="仿宋_GB2312" w:hint="eastAsia"/>
          <w:sz w:val="32"/>
          <w:szCs w:val="32"/>
        </w:rPr>
        <w:t>二是上下联动，充当纽带。对上，明确要求各分管主任加强与上级政府对口部门联系，及时将基层情况向上汇报，为上级领导决策提供充足信息，为更好的开展工作争取更大的支持；对下，利用发文、电话、会议、调研等各种形式，将上级精神指示及时传达，跟踪落实，保证运转协调、政令畅通。</w:t>
      </w:r>
    </w:p>
    <w:p>
      <w:pPr>
        <w:numPr>
          <w:ilvl w:val="0"/>
          <w:numId w:val="2"/>
        </w:numPr>
        <w:adjustRightInd w:val="0"/>
        <w:snapToGrid w:val="0"/>
        <w:spacing w:after="0" w:line="580" w:lineRule="exact"/>
        <w:ind w:left="0" w:firstLineChars="200" w:firstLine="640"/>
        <w:rPr>
          <w:rFonts w:eastAsia="仿宋_GB2312"/>
          <w:sz w:val="32"/>
          <w:szCs w:val="32"/>
        </w:rPr>
      </w:pPr>
      <w:r>
        <w:rPr>
          <w:rFonts w:eastAsia="仿宋_GB2312" w:hint="eastAsia"/>
          <w:sz w:val="32"/>
          <w:szCs w:val="32"/>
        </w:rPr>
        <w:t>项目绩效自评结果。</w:t>
      </w:r>
    </w:p>
    <w:p>
      <w:pPr>
        <w:widowControl/>
        <w:spacing w:line="580" w:lineRule="exact"/>
        <w:ind w:firstLineChars="200" w:firstLine="640"/>
        <w:rPr>
          <w:rFonts w:eastAsia="仿宋_GB2312"/>
          <w:sz w:val="32"/>
          <w:szCs w:val="32"/>
        </w:rPr>
      </w:pPr>
      <w:r>
        <w:rPr>
          <w:rFonts w:eastAsia="仿宋_GB2312" w:hint="eastAsia"/>
          <w:sz w:val="32"/>
          <w:szCs w:val="32"/>
        </w:rPr>
        <w:t>1、政务服务：突出政务、加强事务、提升服务，力求重点工作出精品，难点工作求突破、基础工作有创新、常规工作见特色。以机关干部作风量化指标为依据，增强了工作综合服务</w:t>
      </w:r>
    </w:p>
    <w:p>
      <w:pPr>
        <w:widowControl/>
        <w:spacing w:line="580" w:lineRule="exact"/>
        <w:ind w:firstLineChars="200" w:firstLine="640"/>
        <w:rPr>
          <w:rFonts w:eastAsia="仿宋_GB2312"/>
          <w:sz w:val="32"/>
          <w:szCs w:val="32"/>
        </w:rPr>
      </w:pPr>
      <w:r>
        <w:rPr>
          <w:rFonts w:eastAsia="仿宋_GB2312" w:hint="eastAsia"/>
          <w:sz w:val="32"/>
          <w:szCs w:val="32"/>
        </w:rPr>
        <w:t>2、应急管理：建设运行维护好区政府应急平台，实现各种实用功能，有效保证区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w:t>
      </w:r>
    </w:p>
    <w:p>
      <w:pPr>
        <w:widowControl/>
        <w:spacing w:line="580" w:lineRule="exact"/>
        <w:ind w:firstLineChars="200" w:firstLine="640"/>
        <w:rPr>
          <w:rFonts w:eastAsia="仿宋_GB2312"/>
          <w:sz w:val="32"/>
          <w:szCs w:val="32"/>
        </w:rPr>
      </w:pPr>
      <w:r>
        <w:rPr>
          <w:rFonts w:eastAsia="仿宋_GB2312" w:hint="eastAsia"/>
          <w:sz w:val="32"/>
          <w:szCs w:val="32"/>
        </w:rPr>
        <w:t>3、电子政务管理：确保各类会议顺利进行；保障区政府网络系统安全、稳定运行，技术设备安全可用。严格执行会议技术保障服务流程和电视电话会议室管理制度。切实提高技术保障和服务能力，力争领导满意、群众满意、部门满意。</w:t>
      </w:r>
    </w:p>
    <w:p>
      <w:pPr>
        <w:widowControl/>
        <w:spacing w:line="580" w:lineRule="exact"/>
        <w:ind w:firstLineChars="200" w:firstLine="640"/>
        <w:rPr>
          <w:rFonts w:eastAsia="仿宋_GB2312"/>
          <w:sz w:val="32"/>
          <w:szCs w:val="32"/>
        </w:rPr>
      </w:pPr>
      <w:r>
        <w:rPr>
          <w:rFonts w:eastAsia="仿宋_GB2312" w:hint="eastAsia"/>
          <w:sz w:val="32"/>
          <w:szCs w:val="32"/>
        </w:rPr>
        <w:t>4、综合服务保障：确保机关办公内网使用（全区共40根光纤）及中心办公网络使用正常。</w:t>
      </w:r>
    </w:p>
    <w:p>
      <w:pPr>
        <w:widowControl/>
        <w:spacing w:line="580" w:lineRule="exact"/>
        <w:ind w:firstLineChars="200" w:firstLine="640"/>
        <w:rPr>
          <w:rFonts w:eastAsia="仿宋_GB2312"/>
          <w:sz w:val="32"/>
          <w:szCs w:val="32"/>
        </w:rPr>
      </w:pPr>
      <w:r>
        <w:rPr>
          <w:rFonts w:eastAsia="仿宋_GB2312" w:hint="eastAsia"/>
          <w:sz w:val="32"/>
          <w:szCs w:val="32"/>
        </w:rPr>
        <w:t>5、政务管理：保障机关后勤工作；加强门卫人员的管理；加强对机关进出车辆的管理；及时维修维护水、电管线；加强各楼层楼道、厕所卫生管理。一招人员生活保障。负责整个大院的电费、水费、暖气费的交缴工作；绿化维护及冬季防寒防护；中心临时工作人员工资；中心大厅保洁；中心新增设备费用：叫号机、办公桌椅、微机、打印机、床等；中心办公耗材费用：纸、打印机硒鼓注粉、换硒鼓、微机损坏配件更换；其他用品：锁芯、垃圾桶、插座等；垃圾清运费；食堂补贴；各楼层热水器维修；室外监控、楼道监控及中心办公设置维护；中心窗口工作人员午餐补助；行政服务中心三证合一服务人员聘用经费。</w:t>
      </w:r>
    </w:p>
    <w:p>
      <w:pPr>
        <w:widowControl/>
        <w:spacing w:line="580" w:lineRule="exact"/>
        <w:ind w:firstLineChars="200" w:firstLine="640"/>
        <w:rPr>
          <w:rFonts w:eastAsia="仿宋_GB2312"/>
          <w:sz w:val="32"/>
          <w:szCs w:val="32"/>
        </w:rPr>
      </w:pPr>
      <w:r>
        <w:rPr>
          <w:rFonts w:eastAsia="仿宋_GB2312" w:hint="eastAsia"/>
          <w:sz w:val="32"/>
          <w:szCs w:val="32"/>
        </w:rPr>
        <w:t>6、组织推进依法行政：加强对行政执法人员培训及证件管理、执法行为监督检查，办理行政复议案件，不断提高行政执法人员素质和执法水平，做好依法行政考核工作，全面推进依法行政。</w:t>
      </w:r>
    </w:p>
    <w:p>
      <w:pPr>
        <w:widowControl/>
        <w:spacing w:line="580" w:lineRule="exact"/>
        <w:ind w:firstLineChars="200" w:firstLine="640"/>
        <w:rPr>
          <w:rFonts w:eastAsia="仿宋_GB2312"/>
          <w:sz w:val="32"/>
          <w:szCs w:val="32"/>
        </w:rPr>
      </w:pPr>
      <w:r>
        <w:rPr>
          <w:rFonts w:eastAsia="仿宋_GB2312" w:hint="eastAsia"/>
          <w:sz w:val="32"/>
          <w:szCs w:val="32"/>
        </w:rPr>
        <w:t>7、政府法制宣传教育：做好领导干部学法及讲座工作，采取多种方式加强依法行政宣传，加强网站建设管理。</w:t>
      </w:r>
    </w:p>
    <w:p>
      <w:pPr>
        <w:widowControl/>
        <w:spacing w:line="580" w:lineRule="exact"/>
        <w:ind w:firstLineChars="200" w:firstLine="640"/>
        <w:rPr>
          <w:rFonts w:eastAsia="仿宋_GB2312"/>
          <w:sz w:val="32"/>
          <w:szCs w:val="32"/>
        </w:rPr>
      </w:pPr>
      <w:r>
        <w:rPr>
          <w:rFonts w:eastAsia="仿宋_GB2312" w:hint="eastAsia"/>
          <w:sz w:val="32"/>
          <w:szCs w:val="32"/>
        </w:rPr>
        <w:t>8、政府法制综合业务管理：开展对外法制业务交流。负责办机关人事、劳资、行政后勤、财务和资产管理等工作。</w:t>
      </w:r>
    </w:p>
    <w:p>
      <w:pPr>
        <w:widowControl/>
        <w:spacing w:line="580" w:lineRule="exact"/>
        <w:ind w:firstLineChars="200" w:firstLine="640"/>
        <w:rPr>
          <w:rFonts w:eastAsia="仿宋_GB2312"/>
          <w:sz w:val="32"/>
          <w:szCs w:val="32"/>
        </w:rPr>
      </w:pPr>
      <w:r>
        <w:rPr>
          <w:rFonts w:eastAsia="仿宋_GB2312" w:hint="eastAsia"/>
          <w:sz w:val="32"/>
          <w:szCs w:val="32"/>
        </w:rPr>
        <w:t>9、金融生态环境建设：地方金融机构建设与协调合作，金融生态环境建设。</w:t>
      </w:r>
    </w:p>
    <w:p>
      <w:pPr>
        <w:widowControl/>
        <w:spacing w:line="580" w:lineRule="exact"/>
        <w:ind w:firstLineChars="200" w:firstLine="640"/>
        <w:rPr>
          <w:rFonts w:eastAsia="仿宋_GB2312"/>
          <w:sz w:val="32"/>
          <w:szCs w:val="32"/>
        </w:rPr>
      </w:pPr>
      <w:r>
        <w:rPr>
          <w:rFonts w:eastAsia="仿宋_GB2312" w:hint="eastAsia"/>
          <w:sz w:val="32"/>
          <w:szCs w:val="32"/>
        </w:rPr>
        <w:t>10、地方金融机构建设和监管：拟定加强地方金融机构建设的指导意见，组织协调新设立的地方法人金融机构的谋划、申报等前期工作，指导新型农村金融机构组建和发展，负责全县农村信用社改革的组织、协调。</w:t>
      </w:r>
    </w:p>
    <w:p>
      <w:pPr>
        <w:widowControl/>
        <w:spacing w:line="580" w:lineRule="exact"/>
        <w:ind w:firstLineChars="200" w:firstLine="640"/>
        <w:rPr>
          <w:rFonts w:eastAsia="仿宋_GB2312"/>
          <w:sz w:val="32"/>
          <w:szCs w:val="32"/>
        </w:rPr>
      </w:pPr>
      <w:r>
        <w:rPr>
          <w:rFonts w:eastAsia="仿宋_GB2312" w:hint="eastAsia"/>
          <w:sz w:val="32"/>
          <w:szCs w:val="32"/>
        </w:rPr>
        <w:t>11、金融协调服务和交流合作：研究制定我区金融协同发展方案，引进金融机构、金融后台等。</w:t>
      </w:r>
    </w:p>
    <w:p>
      <w:pPr>
        <w:widowControl/>
        <w:spacing w:line="580" w:lineRule="exact"/>
        <w:ind w:firstLineChars="200" w:firstLine="640"/>
        <w:rPr>
          <w:rFonts w:eastAsia="仿宋_GB2312"/>
          <w:sz w:val="32"/>
          <w:szCs w:val="32"/>
        </w:rPr>
      </w:pPr>
      <w:r>
        <w:rPr>
          <w:rFonts w:eastAsia="仿宋_GB2312" w:hint="eastAsia"/>
          <w:sz w:val="32"/>
          <w:szCs w:val="32"/>
        </w:rPr>
        <w:t>12、大气污染治理工作：负责大气污染治理领导小组日常工作，制定全区大气污染治理工作规划、工作制度、有关方案和考核办法；研究提出需提交领导小组审议的事项，分解落实有关工作任务；组织对大气污染治理工作进行考核，负责有关信息汇总上报和宣传工作；负责协调推进大气污染治理各项工作；承担领导小组工作会议筹备及会务组织工作；承办领导小组交办的其他事项。</w:t>
      </w:r>
    </w:p>
    <w:p>
      <w:pPr>
        <w:adjustRightInd w:val="0"/>
        <w:snapToGrid w:val="0"/>
        <w:spacing w:after="0" w:line="580" w:lineRule="exact"/>
        <w:ind w:firstLineChars="200" w:firstLine="640"/>
        <w:rPr>
          <w:rFonts w:eastAsia="仿宋_GB2312"/>
          <w:sz w:val="32"/>
          <w:szCs w:val="32"/>
        </w:rPr>
      </w:pPr>
      <w:r>
        <w:rPr>
          <w:rFonts w:eastAsia="仿宋_GB2312" w:hint="eastAsia"/>
          <w:sz w:val="32"/>
          <w:szCs w:val="32"/>
        </w:rPr>
        <w:t>13、数字化城市管理：负责辖区数字化城市管理的协调调度、监督检查、考核评比等工作；负责研究制定辖区数字化城市管理案件办理工作流程、工作制度，以及数字化城管发展规划；负责分指挥中心系统平台管理，接收市级指挥中心派遣的案件，并派遣到辖区终端单位进行处置；配合搞好辖区城市部件数据普查、更新和修测等工作。</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pPr>
        <w:widowControl/>
        <w:spacing w:line="580" w:lineRule="exact"/>
        <w:ind w:firstLineChars="200" w:firstLine="640"/>
        <w:rPr>
          <w:rFonts w:eastAsia="仿宋_GB2312"/>
          <w:sz w:val="32"/>
          <w:szCs w:val="32"/>
        </w:rPr>
      </w:pPr>
      <w:r>
        <w:rPr>
          <w:rFonts w:eastAsia="仿宋_GB2312" w:hint="eastAsia"/>
          <w:sz w:val="32"/>
          <w:szCs w:val="32"/>
        </w:rPr>
        <w:t>政务服务、应急管理、电子政务管理、综合服务保障、政务管理、组织推进依法行政、政府法制宣传教育、政府法制综合业务管理、金融生态环境建设、地方金融机构建设和监管、金融协调服务和交流合作、大气污染治理工作、数字化城市管理公开绩效评价结果为优秀。</w:t>
      </w:r>
    </w:p>
    <w:p>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pPr>
        <w:adjustRightInd w:val="0"/>
        <w:snapToGrid w:val="0"/>
        <w:spacing w:after="0" w:line="580" w:lineRule="exact"/>
        <w:ind w:firstLineChars="200" w:firstLine="640"/>
        <w:rPr>
          <w:rFonts w:eastAsia="仿宋_GB2312"/>
          <w:sz w:val="32"/>
          <w:szCs w:val="32"/>
        </w:rPr>
      </w:pPr>
      <w:r>
        <w:rPr>
          <w:rFonts w:eastAsia="仿宋_GB2312" w:hint="eastAsia"/>
          <w:sz w:val="32"/>
          <w:szCs w:val="32"/>
        </w:rPr>
        <w:t>本部门2018年度机关运行经费支出74.4万元，比年初预算数增加74.4万元，增长100%。主要原因是公车日常运行及维修和购置大型客车各项费用及保险。较2017年度决算增加44.4万元，增长148%，主要原因是公车日常运行及维修和购置大型客车各项费用及保险。</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pPr>
        <w:adjustRightInd w:val="0"/>
        <w:snapToGrid w:val="0"/>
        <w:spacing w:after="0" w:line="580" w:lineRule="exact"/>
        <w:ind w:firstLineChars="200" w:firstLine="640"/>
        <w:rPr>
          <w:rFonts w:eastAsia="仿宋_GB2312"/>
          <w:sz w:val="32"/>
          <w:szCs w:val="32"/>
        </w:rPr>
      </w:pPr>
      <w:r>
        <w:rPr>
          <w:rFonts w:eastAsia="仿宋_GB2312" w:hint="eastAsia"/>
          <w:sz w:val="32"/>
          <w:szCs w:val="32"/>
        </w:rPr>
        <w:t>本部门2018年度政府采购支出总额183.65万元，从采购类型来看，政府采购货物支出70.6 万元、政府采购工程支出0万元、政府采购服务支出113.1万元。授予中小企业合同金183.65万元，占政府采购支出总额的100%，其中授予小微企业合同金额70.6万元，占政府采购支出总额的 38.4%。</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pPr>
        <w:adjustRightInd w:val="0"/>
        <w:snapToGrid w:val="0"/>
        <w:spacing w:after="0" w:line="580" w:lineRule="exact"/>
        <w:ind w:firstLineChars="200" w:firstLine="640"/>
        <w:rPr>
          <w:rFonts w:eastAsia="仿宋_GB2312"/>
          <w:sz w:val="32"/>
          <w:szCs w:val="32"/>
        </w:rPr>
      </w:pPr>
      <w:r>
        <w:rPr>
          <w:rFonts w:eastAsia="仿宋_GB2312" w:hint="eastAsia"/>
          <w:sz w:val="32"/>
          <w:szCs w:val="32"/>
        </w:rPr>
        <w:t>截至2018年12月31日，本部门共有车辆7辆，比上年增加0辆，主要原因是严格按照公车编制执行。其中，副部（省）级及以上领导用车0辆，主要领导干部用车0辆，机要通信用车6辆，应急保障用车0辆，执法执勤用车0辆，特种专业技术用车0辆，离退休干部用车0辆，其他用车1辆，其他用车主要是大型客车；单位价值50万元以上通用设备0台（套），比上年增加0套，主要原因是非专业特种单位 ，单位价值100万元以上专用设备0台（套），比上年增加,0套,主要原因是非专业特种单位。</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w:t>
      </w:r>
      <w:r>
        <w:rPr>
          <w:rFonts w:ascii="仿宋_GB2312" w:eastAsia="仿宋_GB2312" w:cs="DengXian-Regular"/>
          <w:sz w:val="32"/>
          <w:szCs w:val="32"/>
        </w:rPr>
        <w:t>政府性基金预算、国有资本经营预算、</w:t>
      </w:r>
      <w:r>
        <w:rPr>
          <w:rFonts w:ascii="仿宋_GB2312" w:eastAsia="仿宋_GB2312" w:cs="DengXian-Regular" w:hint="eastAsia"/>
          <w:sz w:val="32"/>
          <w:szCs w:val="32"/>
        </w:rPr>
        <w:t>无收支及结转结余情况，故</w:t>
      </w:r>
      <w:r>
        <w:rPr>
          <w:rFonts w:eastAsia="仿宋_GB2312"/>
          <w:sz w:val="32"/>
          <w:szCs w:val="32"/>
        </w:rPr>
        <w:t>政府性基金预算财政拨款收入支出决算表、国有资本经营预算</w:t>
      </w:r>
      <w:r>
        <w:rPr>
          <w:rFonts w:eastAsia="仿宋_GB2312" w:hint="eastAsia"/>
          <w:sz w:val="32"/>
          <w:szCs w:val="32"/>
        </w:rPr>
        <w:t>财政拨款</w:t>
      </w:r>
      <w:r>
        <w:rPr>
          <w:rFonts w:eastAsia="仿宋_GB2312"/>
          <w:sz w:val="32"/>
          <w:szCs w:val="32"/>
        </w:rPr>
        <w:t>支出决算表</w:t>
      </w:r>
      <w:r>
        <w:rPr>
          <w:rFonts w:ascii="仿宋_GB2312" w:eastAsia="仿宋_GB2312" w:cs="DengXian-Regular" w:hint="eastAsia"/>
          <w:sz w:val="32"/>
          <w:szCs w:val="32"/>
        </w:rPr>
        <w:t>以空表列示。</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Chars="200" w:firstLine="880"/>
        <w:jc w:val="left"/>
        <w:rPr>
          <w:rFonts w:ascii="宋体" w:eastAsia="宋体" w:cs="MS-UIGothic,Bold"/>
          <w:b/>
          <w:bCs/>
          <w:kern w:val="0"/>
          <w:sz w:val="44"/>
          <w:szCs w:val="44"/>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pPr>
        <w:widowControl/>
        <w:spacing w:line="1200" w:lineRule="exact"/>
        <w:jc w:val="center"/>
        <w:rPr>
          <w:color w:val="000000"/>
          <w:sz w:val="96"/>
          <w:szCs w:val="96"/>
        </w:rPr>
      </w:pPr>
      <w:r>
        <w:rPr>
          <w:rFonts w:ascii="黑体" w:eastAsia="黑体" w:hint="eastAsia"/>
          <w:color w:val="000000"/>
          <w:sz w:val="96"/>
          <w:szCs w:val="96"/>
        </w:rPr>
        <w:t>名词解释</w:t>
      </w:r>
    </w:p>
    <w:p>
      <w:pPr>
        <w:rPr>
          <w:rFonts w:ascii="宋体" w:cs="ArialUnicodeMS"/>
          <w:color w:val="000000"/>
          <w:kern w:val="0"/>
        </w:rPr>
        <w:sectPr>
          <w:pgSz w:w="11906" w:h="16838"/>
          <w:pgMar w:top="2098" w:right="1474" w:bottom="1984" w:left="1588" w:header="851" w:footer="992" w:gutter="0"/>
          <w:docGrid w:type="lines" w:linePitch="312" w:charSpace="0"/>
        </w:sectPr>
      </w:pP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Chars="200" w:firstLine="64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ArialUnicodeMS">
    <w:altName w:val="Malgun Gothic"/>
    <w:panose1 w:val="00000000000000000000"/>
    <w:charset w:val="81"/>
    <w:family w:val="auto"/>
    <w:pitch w:val="variable"/>
    <w:sig w:usb0="00000000" w:usb1="00000000" w:usb2="00000010" w:usb3="00000000" w:csb0="00080001" w:csb1="00000000"/>
  </w:font>
  <w:font w:name="MS-UIGothic,Bold">
    <w:altName w:val="Malgun Gothic"/>
    <w:panose1 w:val="00000000000000000000"/>
    <w:charset w:val="81"/>
    <w:family w:val="auto"/>
    <w:pitch w:val="variable"/>
    <w:sig w:usb0="00000000" w:usb1="00000000" w:usb2="00000010" w:usb3="00000000" w:csb0="00080000" w:csb1="00000000"/>
  </w:font>
  <w:font w:name="宋体">
    <w:altName w:val="SimSun"/>
    <w:panose1 w:val="02010600030101010101"/>
    <w:charset w:val="86"/>
    <w:family w:val="auto"/>
    <w:pitch w:val="variable"/>
    <w:sig w:usb0="00000003" w:usb1="080E0000" w:usb2="00000010" w:usb3="00000000" w:csb0="00040001" w:csb1="00000000"/>
  </w:font>
  <w:font w:name="DengXian-Regular">
    <w:altName w:val="宋体"/>
    <w:panose1 w:val="00000000000000000000"/>
    <w:charset w:val="86"/>
    <w:family w:val="auto"/>
    <w:pitch w:val="variable"/>
    <w:sig w:usb0="00000000" w:usb1="00000000" w:usb2="00000010" w:usb3="00000000" w:csb0="00040001" w:csb1="00000000"/>
  </w:font>
  <w:font w:name="楷体_GB2312">
    <w:altName w:val="楷体"/>
    <w:panose1 w:val="02010609030101010101"/>
    <w:charset w:val="86"/>
    <w:family w:val="modern"/>
    <w:pitch w:val="variable"/>
    <w:sig w:usb0="00000001" w:usb1="080E0000" w:usb2="00000010" w:usb3="00000000" w:csb0="00040000" w:csb1="00000000"/>
  </w:font>
  <w:font w:name="DengXian-Bold">
    <w:altName w:val="宋体"/>
    <w:panose1 w:val="00000000000000000000"/>
    <w:charset w:val="86"/>
    <w:family w:val="auto"/>
    <w:pitch w:val="variable"/>
    <w:sig w:usb0="00000000" w:usb1="0000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auto"/>
    <w:pitch w:val="variable"/>
    <w:sig w:usb0="00007A87" w:usb1="80000000" w:usb2="00000008" w:usb3="00000000" w:csb0="400001FF" w:csb1="FFFF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hint="eastAsia"/>
      </w:rPr>
    </w:lvl>
  </w:abstractNum>
  <w:abstractNum w:abstractNumId="1">
    <w:nsid w:val="6D89D6DE"/>
    <w:multiLevelType w:val="singleLevel"/>
    <w:tmpl w:val="6D89D6DE"/>
    <w:lvl w:ilvl="0">
      <w:start w:val="2"/>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after="160" w:line="480" w:lineRule="auto"/>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Calibri" w:eastAsia="宋体" w:cs="Arial" w:hAnsi="Calibri"/>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Calibri" w:eastAsia="宋体" w:cs="Arial" w:hAnsi="Calibri"/>
      <w:b/>
      <w:bCs/>
      <w:sz w:val="28"/>
      <w:szCs w:val="28"/>
    </w:rPr>
  </w:style>
  <w:style w:type="character" w:default="1" w:styleId="10">
    <w:name w:val="Default Paragraph Font"/>
  </w:style>
  <w:style w:type="paragraph" w:styleId="15">
    <w:name w:val="Date"/>
    <w:basedOn w:val="0"/>
    <w:next w:val="0"/>
    <w:pPr>
      <w:ind w:leftChars="2500" w:left="2500"/>
    </w:p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rFonts w:ascii="Cambria" w:eastAsia="黑体" w:cs="Times New Roman" w:hAnsi="Cambria"/>
      <w:sz w:val="18"/>
      <w:szCs w:val="18"/>
    </w:rPr>
  </w:style>
  <w:style w:type="paragraph" w:styleId="18">
    <w:name w:val="header"/>
    <w:basedOn w:val="0"/>
    <w:pPr>
      <w:pBdr>
        <w:bottom w:val="single" w:sz="6" w:space="1" w:color="auto"/>
      </w:pBdr>
      <w:tabs>
        <w:tab w:val="center" w:pos="4153"/>
        <w:tab w:val="right" w:pos="8306"/>
      </w:tabs>
      <w:snapToGrid w:val="0"/>
      <w:jc w:val="center"/>
    </w:pPr>
    <w:rPr>
      <w:rFonts w:ascii="Cambria" w:eastAsia="黑体" w:cs="Times New Roman" w:hAnsi="Cambria"/>
      <w:sz w:val="18"/>
      <w:szCs w:val="18"/>
    </w:rPr>
  </w:style>
  <w:style w:type="paragraph" w:styleId="19">
    <w:name w:val="Subtitle"/>
    <w:basedOn w:val="0"/>
    <w:next w:val="0"/>
    <w:pPr>
      <w:widowControl/>
      <w:spacing w:after="200" w:line="276" w:lineRule="auto"/>
      <w:jc w:val="left"/>
    </w:pPr>
    <w:rPr>
      <w:rFonts w:ascii="Calibri" w:eastAsia="宋体" w:cs="Arial" w:hAnsi="Calibri"/>
      <w:i/>
      <w:iCs/>
      <w:color w:val="F0A22E"/>
      <w:spacing w:val="15"/>
      <w:kern w:val="0"/>
      <w:sz w:val="24"/>
    </w:rPr>
  </w:style>
  <w:style w:type="paragraph" w:styleId="20">
    <w:name w:val="Title"/>
    <w:basedOn w:val="0"/>
    <w:next w:val="0"/>
    <w:pPr>
      <w:widowControl/>
      <w:pBdr>
        <w:bottom w:val="single" w:sz="8" w:space="4" w:color="F0A22E"/>
      </w:pBdr>
      <w:spacing w:after="300"/>
      <w:contextualSpacing/>
      <w:jc w:val="left"/>
    </w:pPr>
    <w:rPr>
      <w:rFonts w:ascii="Calibri" w:eastAsia="宋体" w:cs="Arial" w:hAnsi="Calibri"/>
      <w:color w:val="3A2C24"/>
      <w:spacing w:val="5"/>
      <w:kern w:val="28"/>
      <w:sz w:val="52"/>
      <w:szCs w:val="52"/>
    </w:rPr>
  </w:style>
  <w:style w:type="paragraph" w:customStyle="1" w:styleId="21">
    <w:name w:val="No Spacing"/>
    <w:pPr>
      <w:spacing w:after="160" w:line="480" w:lineRule="auto"/>
    </w:pPr>
    <w:rPr>
      <w:rFonts w:ascii="Cambria" w:eastAsia="黑体" w:cs="Times New Roman" w:hAnsi="Cambria"/>
      <w:sz w:val="22"/>
      <w:szCs w:val="22"/>
      <w:lang w:val="en-US" w:eastAsia="zh-CN" w:bidi="ar-SA"/>
    </w:rPr>
  </w:style>
  <w:style w:type="character" w:customStyle="1" w:styleId="22">
    <w:name w:val="Style1"/>
    <w:basedOn w:val="10"/>
    <w:rPr>
      <w:rFonts w:ascii="Cambria" w:eastAsia="黑体" w:cs="Times New Roman" w:hAnsi="Cambria"/>
      <w:sz w:val="22"/>
      <w:szCs w:val="22"/>
      <w:lang w:eastAsia="zh-CN"/>
    </w:rPr>
  </w:style>
  <w:style w:type="character" w:customStyle="1" w:styleId="23">
    <w:name w:val="Style2"/>
    <w:basedOn w:val="10"/>
    <w:rPr>
      <w:rFonts w:ascii="Cambria" w:eastAsia="黑体" w:cs="Times New Roman" w:hAnsi="Cambria"/>
      <w:sz w:val="22"/>
      <w:szCs w:val="22"/>
      <w:lang w:eastAsia="zh-CN"/>
    </w:rPr>
  </w:style>
  <w:style w:type="character" w:customStyle="1" w:styleId="24">
    <w:name w:val="Style3"/>
    <w:basedOn w:val="10"/>
    <w:rPr>
      <w:rFonts w:ascii="Cambria" w:eastAsia="黑体" w:cs="Times New Roman" w:hAnsi="Cambria"/>
      <w:szCs w:val="22"/>
      <w:lang w:eastAsia="zh-CN"/>
    </w:rPr>
  </w:style>
  <w:style w:type="character" w:customStyle="1" w:styleId="25">
    <w:name w:val="Style4"/>
    <w:basedOn w:val="10"/>
    <w:rPr>
      <w:rFonts w:ascii="Cambria" w:eastAsia="黑体" w:cs="Times New Roman" w:hAnsi="Cambria"/>
      <w:szCs w:val="22"/>
      <w:lang w:eastAsia="zh-CN"/>
    </w:rPr>
  </w:style>
  <w:style w:type="character" w:customStyle="1" w:styleId="26">
    <w:name w:val="Style5"/>
    <w:basedOn w:val="10"/>
    <w:rPr>
      <w:rFonts w:ascii="Cambria" w:eastAsia="黑体" w:cs="Times New Roman" w:hAnsi="Cambria"/>
      <w:sz w:val="22"/>
      <w:szCs w:val="22"/>
      <w:lang w:eastAsia="zh-CN"/>
    </w:rPr>
  </w:style>
  <w:style w:type="paragraph" w:customStyle="1" w:styleId="27">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37</TotalTime>
  <Application>Yozo_Office</Application>
  <Pages>22</Pages>
  <Words>6748</Words>
  <Characters>7170</Characters>
  <Lines>371</Lines>
  <Paragraphs>117</Paragraphs>
  <CharactersWithSpaces>7184</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2017年度部门决算</dc:title>
  <dc:subject>石家庄市xxx部门</dc:subject>
  <dc:creator>User</dc:creator>
  <cp:lastModifiedBy>lenovo</cp:lastModifiedBy>
  <cp:revision>42</cp:revision>
  <cp:lastPrinted>2019-09-27T00:42:00Z</cp:lastPrinted>
  <dcterms:created xsi:type="dcterms:W3CDTF">2019-09-26T01:09:00Z</dcterms:created>
  <dcterms:modified xsi:type="dcterms:W3CDTF">2019-11-25T02:43:04Z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2052-11.1.0.9145</vt:lpwstr>
  </property>
</Properties>
</file>