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广阳区人民检察院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Times New Roman"/>
          <w:sz w:val="32"/>
          <w:szCs w:val="32"/>
        </w:rPr>
      </w:pPr>
      <w:r>
        <w:rPr>
          <w:rFonts w:hint="eastAsia" w:ascii="仿宋_GB2312" w:eastAsia="仿宋_GB2312"/>
          <w:sz w:val="32"/>
          <w:szCs w:val="32"/>
        </w:rPr>
        <w:t>1、</w:t>
      </w:r>
      <w:r>
        <w:rPr>
          <w:rFonts w:hint="eastAsia" w:ascii="仿宋_GB2312" w:eastAsia="仿宋_GB2312" w:cs="微软雅黑"/>
          <w:sz w:val="32"/>
          <w:szCs w:val="32"/>
        </w:rPr>
        <w:t>依法向广阳区人民代表大会及其常务委员提出议案</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cs="微软雅黑"/>
          <w:sz w:val="32"/>
          <w:szCs w:val="32"/>
        </w:rPr>
        <w:t>认真贯彻执行上级检察院的工作部署</w:t>
      </w:r>
      <w:r>
        <w:rPr>
          <w:rFonts w:hint="eastAsia" w:ascii="仿宋_GB2312" w:eastAsia="仿宋_GB2312" w:cs="Malgun Gothic Semilight"/>
          <w:sz w:val="32"/>
          <w:szCs w:val="32"/>
        </w:rPr>
        <w:t>，</w:t>
      </w:r>
      <w:r>
        <w:rPr>
          <w:rFonts w:hint="eastAsia" w:ascii="仿宋_GB2312" w:eastAsia="仿宋_GB2312" w:cs="微软雅黑"/>
          <w:sz w:val="32"/>
          <w:szCs w:val="32"/>
        </w:rPr>
        <w:t>结合本区实际</w:t>
      </w:r>
      <w:r>
        <w:rPr>
          <w:rFonts w:hint="eastAsia" w:ascii="仿宋_GB2312" w:eastAsia="仿宋_GB2312" w:cs="Malgun Gothic Semilight"/>
          <w:sz w:val="32"/>
          <w:szCs w:val="32"/>
        </w:rPr>
        <w:t>，</w:t>
      </w:r>
      <w:r>
        <w:rPr>
          <w:rFonts w:hint="eastAsia" w:ascii="仿宋_GB2312" w:eastAsia="仿宋_GB2312" w:cs="微软雅黑"/>
          <w:sz w:val="32"/>
          <w:szCs w:val="32"/>
        </w:rPr>
        <w:t>采取相关措施</w:t>
      </w:r>
      <w:r>
        <w:rPr>
          <w:rFonts w:hint="eastAsia" w:ascii="仿宋_GB2312" w:eastAsia="仿宋_GB2312" w:cs="Malgun Gothic Semilight"/>
          <w:sz w:val="32"/>
          <w:szCs w:val="32"/>
        </w:rPr>
        <w:t>，</w:t>
      </w:r>
      <w:r>
        <w:rPr>
          <w:rFonts w:hint="eastAsia" w:ascii="仿宋_GB2312" w:eastAsia="仿宋_GB2312" w:cs="微软雅黑"/>
          <w:sz w:val="32"/>
          <w:szCs w:val="32"/>
        </w:rPr>
        <w:t>完成本区检察工作任务</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s="微软雅黑"/>
          <w:sz w:val="32"/>
          <w:szCs w:val="32"/>
        </w:rPr>
        <w:t>对辖区内刑事犯罪案件依法审查批捕</w:t>
      </w:r>
      <w:r>
        <w:rPr>
          <w:rFonts w:hint="eastAsia" w:ascii="仿宋_GB2312" w:eastAsia="仿宋_GB2312" w:cs="Malgun Gothic Semilight"/>
          <w:sz w:val="32"/>
          <w:szCs w:val="32"/>
        </w:rPr>
        <w:t>、</w:t>
      </w:r>
      <w:r>
        <w:rPr>
          <w:rFonts w:hint="eastAsia" w:ascii="仿宋_GB2312" w:eastAsia="仿宋_GB2312" w:cs="微软雅黑"/>
          <w:sz w:val="32"/>
          <w:szCs w:val="32"/>
        </w:rPr>
        <w:t>提起公诉</w:t>
      </w:r>
      <w:r>
        <w:rPr>
          <w:rFonts w:hint="eastAsia" w:ascii="仿宋_GB2312" w:eastAsia="仿宋_GB2312" w:cs="Malgun Gothic Semilight"/>
          <w:sz w:val="32"/>
          <w:szCs w:val="32"/>
        </w:rPr>
        <w:t>，</w:t>
      </w:r>
      <w:r>
        <w:rPr>
          <w:rFonts w:hint="eastAsia" w:ascii="仿宋_GB2312" w:eastAsia="仿宋_GB2312" w:cs="微软雅黑"/>
          <w:sz w:val="32"/>
          <w:szCs w:val="32"/>
        </w:rPr>
        <w:t>依法对公安机关的立案侦查活动实行法律监督</w:t>
      </w:r>
      <w:r>
        <w:rPr>
          <w:rFonts w:hint="eastAsia" w:ascii="仿宋_GB2312" w:eastAsia="仿宋_GB2312" w:cs="Malgun Gothic Semilight"/>
          <w:sz w:val="32"/>
          <w:szCs w:val="32"/>
        </w:rPr>
        <w:t>，</w:t>
      </w:r>
      <w:r>
        <w:rPr>
          <w:rFonts w:hint="eastAsia" w:ascii="仿宋_GB2312" w:eastAsia="仿宋_GB2312" w:cs="微软雅黑"/>
          <w:sz w:val="32"/>
          <w:szCs w:val="32"/>
        </w:rPr>
        <w:t>并对本区同级人民法院开庭审理的案件依法派员出席法庭</w:t>
      </w:r>
      <w:r>
        <w:rPr>
          <w:rFonts w:hint="eastAsia" w:ascii="仿宋_GB2312" w:eastAsia="仿宋_GB2312" w:cs="Malgun Gothic Semilight"/>
          <w:sz w:val="32"/>
          <w:szCs w:val="32"/>
        </w:rPr>
        <w:t>，</w:t>
      </w:r>
      <w:r>
        <w:rPr>
          <w:rFonts w:hint="eastAsia" w:ascii="仿宋_GB2312" w:eastAsia="仿宋_GB2312" w:cs="微软雅黑"/>
          <w:sz w:val="32"/>
          <w:szCs w:val="32"/>
        </w:rPr>
        <w:t>履行法律监督职责</w:t>
      </w:r>
      <w:r>
        <w:rPr>
          <w:rFonts w:hint="eastAsia" w:ascii="仿宋_GB2312" w:eastAsia="仿宋_GB2312" w:cs="Malgun Gothic Semilight"/>
          <w:sz w:val="32"/>
          <w:szCs w:val="32"/>
        </w:rPr>
        <w:t>。</w:t>
      </w:r>
      <w:r>
        <w:rPr>
          <w:rFonts w:hint="eastAsia" w:ascii="仿宋_GB2312" w:eastAsia="仿宋_GB2312" w:cs="微软雅黑"/>
          <w:sz w:val="32"/>
          <w:szCs w:val="32"/>
        </w:rPr>
        <w:t>掌握社会治安动态</w:t>
      </w:r>
      <w:r>
        <w:rPr>
          <w:rFonts w:hint="eastAsia" w:ascii="仿宋_GB2312" w:eastAsia="仿宋_GB2312" w:cs="Malgun Gothic Semilight"/>
          <w:sz w:val="32"/>
          <w:szCs w:val="32"/>
        </w:rPr>
        <w:t>，</w:t>
      </w:r>
      <w:r>
        <w:rPr>
          <w:rFonts w:hint="eastAsia" w:ascii="仿宋_GB2312" w:eastAsia="仿宋_GB2312" w:cs="微软雅黑"/>
          <w:sz w:val="32"/>
          <w:szCs w:val="32"/>
        </w:rPr>
        <w:t>参与社会治安综合治理</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cs="微软雅黑"/>
          <w:sz w:val="32"/>
          <w:szCs w:val="32"/>
        </w:rPr>
        <w:t>依法对刑事审判实行法律监督</w:t>
      </w:r>
      <w:r>
        <w:rPr>
          <w:rFonts w:hint="eastAsia" w:ascii="仿宋_GB2312" w:eastAsia="仿宋_GB2312" w:cs="Malgun Gothic Semilight"/>
          <w:sz w:val="32"/>
          <w:szCs w:val="32"/>
        </w:rPr>
        <w:t>，</w:t>
      </w:r>
      <w:r>
        <w:rPr>
          <w:rFonts w:hint="eastAsia" w:ascii="仿宋_GB2312" w:eastAsia="仿宋_GB2312" w:cs="微软雅黑"/>
          <w:sz w:val="32"/>
          <w:szCs w:val="32"/>
        </w:rPr>
        <w:t>对确有错误的刑事判决</w:t>
      </w:r>
      <w:r>
        <w:rPr>
          <w:rFonts w:hint="eastAsia" w:ascii="仿宋_GB2312" w:eastAsia="仿宋_GB2312" w:cs="Malgun Gothic Semilight"/>
          <w:sz w:val="32"/>
          <w:szCs w:val="32"/>
        </w:rPr>
        <w:t>、</w:t>
      </w:r>
      <w:r>
        <w:rPr>
          <w:rFonts w:hint="eastAsia" w:ascii="仿宋_GB2312" w:eastAsia="仿宋_GB2312" w:cs="微软雅黑"/>
          <w:sz w:val="32"/>
          <w:szCs w:val="32"/>
        </w:rPr>
        <w:t>裁定</w:t>
      </w:r>
      <w:r>
        <w:rPr>
          <w:rFonts w:hint="eastAsia" w:ascii="仿宋_GB2312" w:eastAsia="仿宋_GB2312" w:cs="Malgun Gothic Semilight"/>
          <w:sz w:val="32"/>
          <w:szCs w:val="32"/>
        </w:rPr>
        <w:t>，</w:t>
      </w:r>
      <w:r>
        <w:rPr>
          <w:rFonts w:hint="eastAsia" w:ascii="仿宋_GB2312" w:eastAsia="仿宋_GB2312" w:cs="微软雅黑"/>
          <w:sz w:val="32"/>
          <w:szCs w:val="32"/>
        </w:rPr>
        <w:t>依法提请上级人民检察院抗诉</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cs="微软雅黑"/>
          <w:sz w:val="32"/>
          <w:szCs w:val="32"/>
        </w:rPr>
        <w:t>依法对民事</w:t>
      </w:r>
      <w:r>
        <w:rPr>
          <w:rFonts w:hint="eastAsia" w:ascii="仿宋_GB2312" w:eastAsia="仿宋_GB2312" w:cs="Malgun Gothic Semilight"/>
          <w:sz w:val="32"/>
          <w:szCs w:val="32"/>
        </w:rPr>
        <w:t>、</w:t>
      </w:r>
      <w:r>
        <w:rPr>
          <w:rFonts w:hint="eastAsia" w:ascii="仿宋_GB2312" w:eastAsia="仿宋_GB2312" w:cs="微软雅黑"/>
          <w:sz w:val="32"/>
          <w:szCs w:val="32"/>
        </w:rPr>
        <w:t>行政审判实行法律监督</w:t>
      </w:r>
      <w:r>
        <w:rPr>
          <w:rFonts w:hint="eastAsia" w:ascii="仿宋_GB2312" w:eastAsia="仿宋_GB2312" w:cs="Malgun Gothic Semilight"/>
          <w:sz w:val="32"/>
          <w:szCs w:val="32"/>
        </w:rPr>
        <w:t>，</w:t>
      </w:r>
      <w:r>
        <w:rPr>
          <w:rFonts w:hint="eastAsia" w:ascii="仿宋_GB2312" w:eastAsia="仿宋_GB2312" w:cs="微软雅黑"/>
          <w:sz w:val="32"/>
          <w:szCs w:val="32"/>
        </w:rPr>
        <w:t>受理审查单位</w:t>
      </w:r>
      <w:r>
        <w:rPr>
          <w:rFonts w:hint="eastAsia" w:ascii="仿宋_GB2312" w:eastAsia="仿宋_GB2312" w:cs="Malgun Gothic Semilight"/>
          <w:sz w:val="32"/>
          <w:szCs w:val="32"/>
        </w:rPr>
        <w:t>、</w:t>
      </w:r>
      <w:r>
        <w:rPr>
          <w:rFonts w:hint="eastAsia" w:ascii="仿宋_GB2312" w:eastAsia="仿宋_GB2312" w:cs="微软雅黑"/>
          <w:sz w:val="32"/>
          <w:szCs w:val="32"/>
        </w:rPr>
        <w:t>公民不服人民法院已经发生法律效力的民事</w:t>
      </w:r>
      <w:r>
        <w:rPr>
          <w:rFonts w:hint="eastAsia" w:ascii="仿宋_GB2312" w:eastAsia="仿宋_GB2312" w:cs="Malgun Gothic Semilight"/>
          <w:sz w:val="32"/>
          <w:szCs w:val="32"/>
        </w:rPr>
        <w:t>、</w:t>
      </w:r>
      <w:r>
        <w:rPr>
          <w:rFonts w:hint="eastAsia" w:ascii="仿宋_GB2312" w:eastAsia="仿宋_GB2312" w:cs="微软雅黑"/>
          <w:sz w:val="32"/>
          <w:szCs w:val="32"/>
        </w:rPr>
        <w:t>经济</w:t>
      </w:r>
      <w:r>
        <w:rPr>
          <w:rFonts w:hint="eastAsia" w:ascii="仿宋_GB2312" w:eastAsia="仿宋_GB2312" w:cs="Malgun Gothic Semilight"/>
          <w:sz w:val="32"/>
          <w:szCs w:val="32"/>
        </w:rPr>
        <w:t>、</w:t>
      </w:r>
      <w:r>
        <w:rPr>
          <w:rFonts w:hint="eastAsia" w:ascii="仿宋_GB2312" w:eastAsia="仿宋_GB2312" w:cs="微软雅黑"/>
          <w:sz w:val="32"/>
          <w:szCs w:val="32"/>
        </w:rPr>
        <w:t>行政判决</w:t>
      </w:r>
      <w:r>
        <w:rPr>
          <w:rFonts w:hint="eastAsia" w:ascii="仿宋_GB2312" w:eastAsia="仿宋_GB2312" w:cs="Malgun Gothic Semilight"/>
          <w:sz w:val="32"/>
          <w:szCs w:val="32"/>
        </w:rPr>
        <w:t>、</w:t>
      </w:r>
      <w:r>
        <w:rPr>
          <w:rFonts w:hint="eastAsia" w:ascii="仿宋_GB2312" w:eastAsia="仿宋_GB2312" w:cs="微软雅黑"/>
          <w:sz w:val="32"/>
          <w:szCs w:val="32"/>
        </w:rPr>
        <w:t>裁定的案件</w:t>
      </w:r>
      <w:r>
        <w:rPr>
          <w:rFonts w:hint="eastAsia" w:ascii="仿宋_GB2312" w:eastAsia="仿宋_GB2312" w:cs="Malgun Gothic Semilight"/>
          <w:sz w:val="32"/>
          <w:szCs w:val="32"/>
        </w:rPr>
        <w:t>，</w:t>
      </w:r>
      <w:r>
        <w:rPr>
          <w:rFonts w:hint="eastAsia" w:ascii="仿宋_GB2312" w:eastAsia="仿宋_GB2312" w:cs="微软雅黑"/>
          <w:sz w:val="32"/>
          <w:szCs w:val="32"/>
        </w:rPr>
        <w:t>对确错误的判决和裁定</w:t>
      </w:r>
      <w:r>
        <w:rPr>
          <w:rFonts w:hint="eastAsia" w:ascii="仿宋_GB2312" w:eastAsia="仿宋_GB2312" w:cs="Malgun Gothic Semilight"/>
          <w:sz w:val="32"/>
          <w:szCs w:val="32"/>
        </w:rPr>
        <w:t>，</w:t>
      </w:r>
      <w:r>
        <w:rPr>
          <w:rFonts w:hint="eastAsia" w:ascii="仿宋_GB2312" w:eastAsia="仿宋_GB2312" w:cs="微软雅黑"/>
          <w:sz w:val="32"/>
          <w:szCs w:val="32"/>
        </w:rPr>
        <w:t>依法建议</w:t>
      </w:r>
      <w:r>
        <w:rPr>
          <w:rFonts w:hint="eastAsia" w:ascii="仿宋_GB2312" w:eastAsia="仿宋_GB2312" w:cs="Malgun Gothic Semilight"/>
          <w:sz w:val="32"/>
          <w:szCs w:val="32"/>
        </w:rPr>
        <w:t>、</w:t>
      </w:r>
      <w:r>
        <w:rPr>
          <w:rFonts w:hint="eastAsia" w:ascii="仿宋_GB2312" w:eastAsia="仿宋_GB2312" w:cs="微软雅黑"/>
          <w:sz w:val="32"/>
          <w:szCs w:val="32"/>
        </w:rPr>
        <w:t>提请上级院抗诉</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cs="Malgun Gothic Semilight"/>
          <w:sz w:val="32"/>
          <w:szCs w:val="32"/>
        </w:rPr>
        <w:t>、</w:t>
      </w:r>
      <w:r>
        <w:rPr>
          <w:rFonts w:hint="eastAsia" w:ascii="仿宋_GB2312" w:eastAsia="仿宋_GB2312" w:cs="微软雅黑"/>
          <w:sz w:val="32"/>
          <w:szCs w:val="32"/>
        </w:rPr>
        <w:t>依法对执行机关执行刑罚的活动是否合法实行监督</w:t>
      </w:r>
      <w:r>
        <w:rPr>
          <w:rFonts w:hint="eastAsia" w:ascii="仿宋_GB2312" w:eastAsia="仿宋_GB2312" w:cs="Malgun Gothic Semilight"/>
          <w:sz w:val="32"/>
          <w:szCs w:val="32"/>
        </w:rPr>
        <w:t>。</w:t>
      </w:r>
      <w:r>
        <w:rPr>
          <w:rFonts w:hint="eastAsia" w:ascii="仿宋_GB2312" w:eastAsia="仿宋_GB2312" w:cs="微软雅黑"/>
          <w:sz w:val="32"/>
          <w:szCs w:val="32"/>
        </w:rPr>
        <w:t>依法对看守所</w:t>
      </w:r>
      <w:r>
        <w:rPr>
          <w:rFonts w:hint="eastAsia" w:ascii="仿宋_GB2312" w:eastAsia="仿宋_GB2312" w:cs="Malgun Gothic Semilight"/>
          <w:sz w:val="32"/>
          <w:szCs w:val="32"/>
        </w:rPr>
        <w:t>、</w:t>
      </w:r>
      <w:r>
        <w:rPr>
          <w:rFonts w:hint="eastAsia" w:ascii="仿宋_GB2312" w:eastAsia="仿宋_GB2312" w:cs="微软雅黑"/>
          <w:sz w:val="32"/>
          <w:szCs w:val="32"/>
        </w:rPr>
        <w:t>劳教所的监管活动进行监督</w:t>
      </w:r>
      <w:r>
        <w:rPr>
          <w:rFonts w:hint="eastAsia" w:ascii="仿宋_GB2312" w:eastAsia="仿宋_GB2312" w:cs="Malgun Gothic Semilight"/>
          <w:sz w:val="32"/>
          <w:szCs w:val="32"/>
        </w:rPr>
        <w:t>，</w:t>
      </w:r>
      <w:r>
        <w:rPr>
          <w:rFonts w:hint="eastAsia" w:ascii="仿宋_GB2312" w:eastAsia="仿宋_GB2312" w:cs="微软雅黑"/>
          <w:sz w:val="32"/>
          <w:szCs w:val="32"/>
        </w:rPr>
        <w:t>并负责本辖区内监外服刑罪犯的考察工作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cs="微软雅黑"/>
          <w:sz w:val="32"/>
          <w:szCs w:val="32"/>
        </w:rPr>
        <w:t>受理单位和个人的报案</w:t>
      </w:r>
      <w:r>
        <w:rPr>
          <w:rFonts w:hint="eastAsia" w:ascii="仿宋_GB2312" w:eastAsia="仿宋_GB2312" w:cs="Malgun Gothic Semilight"/>
          <w:sz w:val="32"/>
          <w:szCs w:val="32"/>
        </w:rPr>
        <w:t>、</w:t>
      </w:r>
      <w:r>
        <w:rPr>
          <w:rFonts w:hint="eastAsia" w:ascii="仿宋_GB2312" w:eastAsia="仿宋_GB2312" w:cs="微软雅黑"/>
          <w:sz w:val="32"/>
          <w:szCs w:val="32"/>
        </w:rPr>
        <w:t>控告</w:t>
      </w:r>
      <w:r>
        <w:rPr>
          <w:rFonts w:hint="eastAsia" w:ascii="仿宋_GB2312" w:eastAsia="仿宋_GB2312" w:cs="Malgun Gothic Semilight"/>
          <w:sz w:val="32"/>
          <w:szCs w:val="32"/>
        </w:rPr>
        <w:t>、</w:t>
      </w:r>
      <w:r>
        <w:rPr>
          <w:rFonts w:hint="eastAsia" w:ascii="仿宋_GB2312" w:eastAsia="仿宋_GB2312" w:cs="微软雅黑"/>
          <w:sz w:val="32"/>
          <w:szCs w:val="32"/>
        </w:rPr>
        <w:t>申诉和举报以及犯罪嫌疑人的自首</w:t>
      </w:r>
      <w:r>
        <w:rPr>
          <w:rFonts w:hint="eastAsia" w:ascii="仿宋_GB2312" w:eastAsia="仿宋_GB2312" w:cs="Malgun Gothic Semilight"/>
          <w:sz w:val="32"/>
          <w:szCs w:val="32"/>
        </w:rPr>
        <w:t>，</w:t>
      </w:r>
      <w:r>
        <w:rPr>
          <w:rFonts w:hint="eastAsia" w:ascii="仿宋_GB2312" w:eastAsia="仿宋_GB2312" w:cs="微软雅黑"/>
          <w:sz w:val="32"/>
          <w:szCs w:val="32"/>
        </w:rPr>
        <w:t>办理举报案件</w:t>
      </w:r>
      <w:r>
        <w:rPr>
          <w:rFonts w:hint="eastAsia" w:ascii="仿宋_GB2312" w:eastAsia="仿宋_GB2312" w:cs="Malgun Gothic Semilight"/>
          <w:sz w:val="32"/>
          <w:szCs w:val="32"/>
        </w:rPr>
        <w:t>、</w:t>
      </w:r>
      <w:r>
        <w:rPr>
          <w:rFonts w:hint="eastAsia" w:ascii="仿宋_GB2312" w:eastAsia="仿宋_GB2312" w:cs="微软雅黑"/>
          <w:sz w:val="32"/>
          <w:szCs w:val="32"/>
        </w:rPr>
        <w:t>刑事赔偿工作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s="微软雅黑"/>
          <w:sz w:val="32"/>
          <w:szCs w:val="32"/>
        </w:rPr>
        <w:t>办理检察技术工作和物证检验</w:t>
      </w:r>
      <w:r>
        <w:rPr>
          <w:rFonts w:hint="eastAsia" w:ascii="仿宋_GB2312" w:eastAsia="仿宋_GB2312" w:cs="Malgun Gothic Semilight"/>
          <w:sz w:val="32"/>
          <w:szCs w:val="32"/>
        </w:rPr>
        <w:t>、</w:t>
      </w:r>
      <w:r>
        <w:rPr>
          <w:rFonts w:hint="eastAsia" w:ascii="仿宋_GB2312" w:eastAsia="仿宋_GB2312" w:cs="微软雅黑"/>
          <w:sz w:val="32"/>
          <w:szCs w:val="32"/>
        </w:rPr>
        <w:t>鉴定</w:t>
      </w:r>
      <w:r>
        <w:rPr>
          <w:rFonts w:hint="eastAsia" w:ascii="仿宋_GB2312" w:eastAsia="仿宋_GB2312" w:cs="Malgun Gothic Semilight"/>
          <w:sz w:val="32"/>
          <w:szCs w:val="32"/>
        </w:rPr>
        <w:t>、</w:t>
      </w:r>
      <w:r>
        <w:rPr>
          <w:rFonts w:hint="eastAsia" w:ascii="仿宋_GB2312" w:eastAsia="仿宋_GB2312" w:cs="微软雅黑"/>
          <w:sz w:val="32"/>
          <w:szCs w:val="32"/>
        </w:rPr>
        <w:t>审核工作</w:t>
      </w:r>
      <w:r>
        <w:rPr>
          <w:rFonts w:hint="eastAsia" w:ascii="仿宋_GB2312" w:eastAsia="仿宋_GB2312" w:cs="Malgun Gothic Semilight"/>
          <w:sz w:val="32"/>
          <w:szCs w:val="32"/>
        </w:rPr>
        <w:t>；</w:t>
      </w:r>
      <w:r>
        <w:rPr>
          <w:rFonts w:hint="eastAsia" w:ascii="仿宋_GB2312" w:eastAsia="仿宋_GB2312" w:cs="微软雅黑"/>
          <w:sz w:val="32"/>
          <w:szCs w:val="32"/>
        </w:rPr>
        <w:t>负责本院计算机网络的建设和管理</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cs="微软雅黑"/>
          <w:sz w:val="32"/>
          <w:szCs w:val="32"/>
        </w:rPr>
        <w:t>对检察工作中具体应用法律的问题进行研究</w:t>
      </w:r>
      <w:r>
        <w:rPr>
          <w:rFonts w:hint="eastAsia" w:ascii="仿宋_GB2312" w:eastAsia="仿宋_GB2312" w:cs="Malgun Gothic Semilight"/>
          <w:sz w:val="32"/>
          <w:szCs w:val="32"/>
        </w:rPr>
        <w:t>，</w:t>
      </w:r>
      <w:r>
        <w:rPr>
          <w:rFonts w:hint="eastAsia" w:ascii="仿宋_GB2312" w:eastAsia="仿宋_GB2312" w:cs="微软雅黑"/>
          <w:sz w:val="32"/>
          <w:szCs w:val="32"/>
        </w:rPr>
        <w:t>适时提出立法和司法建议</w:t>
      </w:r>
      <w:r>
        <w:rPr>
          <w:rFonts w:hint="eastAsia" w:ascii="仿宋_GB2312" w:eastAsia="仿宋_GB2312" w:cs="Malgun Gothic Semilight"/>
          <w:sz w:val="32"/>
          <w:szCs w:val="32"/>
        </w:rPr>
        <w:t>，</w:t>
      </w:r>
      <w:r>
        <w:rPr>
          <w:rFonts w:hint="eastAsia" w:ascii="仿宋_GB2312" w:eastAsia="仿宋_GB2312" w:cs="微软雅黑"/>
          <w:sz w:val="32"/>
          <w:szCs w:val="32"/>
        </w:rPr>
        <w:t>为领导机关决策提供科学依据</w:t>
      </w:r>
      <w:r>
        <w:rPr>
          <w:rFonts w:hint="eastAsia" w:ascii="仿宋_GB2312" w:eastAsia="仿宋_GB2312" w:cs="Malgun Gothic Semilight"/>
          <w:sz w:val="32"/>
          <w:szCs w:val="32"/>
        </w:rPr>
        <w:t>。</w:t>
      </w:r>
      <w:r>
        <w:rPr>
          <w:rFonts w:hint="eastAsia" w:ascii="仿宋_GB2312" w:eastAsia="仿宋_GB2312" w:cs="微软雅黑"/>
          <w:sz w:val="32"/>
          <w:szCs w:val="32"/>
        </w:rPr>
        <w:t>制定本院检察工作的规定</w:t>
      </w:r>
      <w:r>
        <w:rPr>
          <w:rFonts w:hint="eastAsia" w:ascii="仿宋_GB2312" w:eastAsia="仿宋_GB2312" w:cs="Malgun Gothic Semilight"/>
          <w:sz w:val="32"/>
          <w:szCs w:val="32"/>
        </w:rPr>
        <w:t>、</w:t>
      </w:r>
      <w:r>
        <w:rPr>
          <w:rFonts w:hint="eastAsia" w:ascii="仿宋_GB2312" w:eastAsia="仿宋_GB2312" w:cs="微软雅黑"/>
          <w:sz w:val="32"/>
          <w:szCs w:val="32"/>
        </w:rPr>
        <w:t>办法和实施细则</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eastAsia="仿宋_GB2312" w:cs="微软雅黑"/>
          <w:sz w:val="32"/>
          <w:szCs w:val="32"/>
        </w:rPr>
        <w:t>负责队伍建设和思想政治工作</w:t>
      </w:r>
      <w:r>
        <w:rPr>
          <w:rFonts w:hint="eastAsia" w:ascii="仿宋_GB2312" w:eastAsia="仿宋_GB2312" w:cs="Malgun Gothic Semilight"/>
          <w:sz w:val="32"/>
          <w:szCs w:val="32"/>
        </w:rPr>
        <w:t>，</w:t>
      </w:r>
      <w:r>
        <w:rPr>
          <w:rFonts w:hint="eastAsia" w:ascii="仿宋_GB2312" w:eastAsia="仿宋_GB2312" w:cs="微软雅黑"/>
          <w:sz w:val="32"/>
          <w:szCs w:val="32"/>
        </w:rPr>
        <w:t>依法管理检察官和其他检察人员</w:t>
      </w:r>
      <w:r>
        <w:rPr>
          <w:rFonts w:hint="eastAsia" w:ascii="仿宋_GB2312" w:eastAsia="仿宋_GB2312" w:cs="Malgun Gothic Semilight"/>
          <w:sz w:val="32"/>
          <w:szCs w:val="32"/>
        </w:rPr>
        <w:t>，</w:t>
      </w:r>
      <w:r>
        <w:rPr>
          <w:rFonts w:hint="eastAsia" w:ascii="仿宋_GB2312" w:eastAsia="仿宋_GB2312" w:cs="微软雅黑"/>
          <w:sz w:val="32"/>
          <w:szCs w:val="32"/>
        </w:rPr>
        <w:t>提请广阳区人民代表大会常务委员会决定任免本院的副检察长</w:t>
      </w:r>
      <w:r>
        <w:rPr>
          <w:rFonts w:hint="eastAsia" w:ascii="仿宋_GB2312" w:eastAsia="仿宋_GB2312" w:cs="Malgun Gothic Semilight"/>
          <w:sz w:val="32"/>
          <w:szCs w:val="32"/>
        </w:rPr>
        <w:t>、</w:t>
      </w:r>
      <w:r>
        <w:rPr>
          <w:rFonts w:hint="eastAsia" w:ascii="仿宋_GB2312" w:eastAsia="仿宋_GB2312" w:cs="微软雅黑"/>
          <w:sz w:val="32"/>
          <w:szCs w:val="32"/>
        </w:rPr>
        <w:t>检察委员会委员</w:t>
      </w:r>
      <w:r>
        <w:rPr>
          <w:rFonts w:hint="eastAsia" w:ascii="仿宋_GB2312" w:eastAsia="仿宋_GB2312" w:cs="Malgun Gothic Semilight"/>
          <w:sz w:val="32"/>
          <w:szCs w:val="32"/>
        </w:rPr>
        <w:t>、</w:t>
      </w:r>
      <w:r>
        <w:rPr>
          <w:rFonts w:hint="eastAsia" w:ascii="仿宋_GB2312" w:eastAsia="仿宋_GB2312" w:cs="微软雅黑"/>
          <w:sz w:val="32"/>
          <w:szCs w:val="32"/>
        </w:rPr>
        <w:t>检察员</w:t>
      </w:r>
      <w:r>
        <w:rPr>
          <w:rFonts w:hint="eastAsia" w:ascii="仿宋_GB2312" w:eastAsia="仿宋_GB2312" w:cs="Malgun Gothic Semilight"/>
          <w:sz w:val="32"/>
          <w:szCs w:val="32"/>
        </w:rPr>
        <w:t>，</w:t>
      </w:r>
      <w:r>
        <w:rPr>
          <w:rFonts w:hint="eastAsia" w:ascii="仿宋_GB2312" w:eastAsia="仿宋_GB2312" w:cs="微软雅黑"/>
          <w:sz w:val="32"/>
          <w:szCs w:val="32"/>
        </w:rPr>
        <w:t>依法任免助理检察员</w:t>
      </w:r>
      <w:r>
        <w:rPr>
          <w:rFonts w:hint="eastAsia" w:ascii="仿宋_GB2312" w:eastAsia="仿宋_GB2312" w:cs="Malgun Gothic Semilight"/>
          <w:sz w:val="32"/>
          <w:szCs w:val="32"/>
        </w:rPr>
        <w:t>、</w:t>
      </w:r>
      <w:r>
        <w:rPr>
          <w:rFonts w:hint="eastAsia" w:ascii="仿宋_GB2312" w:eastAsia="仿宋_GB2312" w:cs="微软雅黑"/>
          <w:sz w:val="32"/>
          <w:szCs w:val="32"/>
        </w:rPr>
        <w:t>书记员和司法警察</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11、</w:t>
      </w:r>
      <w:r>
        <w:rPr>
          <w:rFonts w:hint="eastAsia" w:ascii="仿宋_GB2312" w:eastAsia="仿宋_GB2312" w:cs="微软雅黑"/>
          <w:sz w:val="32"/>
          <w:szCs w:val="32"/>
        </w:rPr>
        <w:t>协助区主管部门办理本院的机构设置</w:t>
      </w:r>
      <w:r>
        <w:rPr>
          <w:rFonts w:hint="eastAsia" w:ascii="仿宋_GB2312" w:eastAsia="仿宋_GB2312" w:cs="Malgun Gothic Semilight"/>
          <w:sz w:val="32"/>
          <w:szCs w:val="32"/>
        </w:rPr>
        <w:t>、</w:t>
      </w:r>
      <w:r>
        <w:rPr>
          <w:rFonts w:hint="eastAsia" w:ascii="仿宋_GB2312" w:eastAsia="仿宋_GB2312" w:cs="微软雅黑"/>
          <w:sz w:val="32"/>
          <w:szCs w:val="32"/>
        </w:rPr>
        <w:t>人员编制工作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12、</w:t>
      </w:r>
      <w:r>
        <w:rPr>
          <w:rFonts w:hint="eastAsia" w:ascii="仿宋_GB2312" w:eastAsia="仿宋_GB2312" w:cs="微软雅黑"/>
          <w:sz w:val="32"/>
          <w:szCs w:val="32"/>
        </w:rPr>
        <w:t>办理本院检察人员的教育培训工作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13、</w:t>
      </w:r>
      <w:r>
        <w:rPr>
          <w:rFonts w:hint="eastAsia" w:ascii="仿宋_GB2312" w:eastAsia="仿宋_GB2312" w:cs="微软雅黑"/>
          <w:sz w:val="32"/>
          <w:szCs w:val="32"/>
        </w:rPr>
        <w:t>办理本院的计划财务装备工作</w:t>
      </w:r>
      <w:r>
        <w:rPr>
          <w:rFonts w:hint="eastAsia" w:ascii="仿宋_GB2312" w:eastAsia="仿宋_GB2312" w:cs="Malgun Gothic Semilight"/>
          <w:sz w:val="32"/>
          <w:szCs w:val="32"/>
        </w:rPr>
        <w:t>。</w:t>
      </w:r>
    </w:p>
    <w:p>
      <w:pPr>
        <w:spacing w:line="570" w:lineRule="exact"/>
        <w:ind w:firstLine="640" w:firstLineChars="200"/>
        <w:rPr>
          <w:rFonts w:ascii="仿宋_GB2312" w:eastAsia="仿宋_GB2312" w:cs="Malgun Gothic Semilight"/>
          <w:sz w:val="32"/>
          <w:szCs w:val="32"/>
        </w:rPr>
      </w:pPr>
      <w:r>
        <w:rPr>
          <w:rFonts w:hint="eastAsia" w:ascii="仿宋_GB2312" w:eastAsia="仿宋_GB2312"/>
          <w:sz w:val="32"/>
          <w:szCs w:val="32"/>
        </w:rPr>
        <w:t>14、</w:t>
      </w:r>
      <w:r>
        <w:rPr>
          <w:rFonts w:hint="eastAsia" w:ascii="仿宋_GB2312" w:eastAsia="仿宋_GB2312" w:cs="微软雅黑"/>
          <w:sz w:val="32"/>
          <w:szCs w:val="32"/>
        </w:rPr>
        <w:t>负责其他应当由广阳区人民检察院承办的事项</w:t>
      </w:r>
      <w:r>
        <w:rPr>
          <w:rFonts w:hint="eastAsia" w:ascii="仿宋_GB2312" w:eastAsia="仿宋_GB2312" w:cs="Malgun Gothic Semilight"/>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廊坊市广阳区人民检察院</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hint="eastAsia" w:ascii="仿宋" w:hAnsi="仿宋" w:eastAsia="仿宋" w:cs="仿宋"/>
          <w:sz w:val="32"/>
          <w:szCs w:val="32"/>
        </w:rPr>
        <w:t>反映本部门当年全部收入。2020年预算收入1614.57万元，其中：一般公共预算收入1614.57万元，基金预算收入0万元，财政专户核拨收入0万元，其他来源收入0万元。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廊坊市广阳区人民检察院年度部门预算中支出预算的总体情况。2020年支出预算1614.57万元，其中基本支出1402.37万元，包括人员经费1188.91万元和日常公用经费213.46万元；项目支出212.2万元，主要为业务办案经费及业务装备费支出；其他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仿宋" w:hAnsi="仿宋" w:eastAsia="仿宋" w:cs="仿宋"/>
          <w:sz w:val="32"/>
          <w:szCs w:val="32"/>
        </w:rPr>
        <w:t>2020年预算收支安排1614.57万元，较2019年预算增加102.18万元，其中：基本支出增加5.18万元，主要为增加人员经费和日常公用经费支出；项目支出增加97万元，主要为办案业务经费及业务装备费项目支出；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仿宋" w:hAnsi="仿宋" w:eastAsia="仿宋" w:cs="仿宋"/>
          <w:sz w:val="32"/>
          <w:szCs w:val="32"/>
        </w:rPr>
        <w:t>2020年，我部门机关运行</w:t>
      </w:r>
      <w:r>
        <w:rPr>
          <w:rFonts w:ascii="Times New Roman" w:hAnsi="Times New Roman" w:eastAsia="仿宋_GB2312" w:cs="Times New Roman"/>
          <w:sz w:val="32"/>
          <w:szCs w:val="32"/>
        </w:rPr>
        <w:t>经费共计安排</w:t>
      </w:r>
      <w:r>
        <w:rPr>
          <w:rFonts w:hint="eastAsia" w:ascii="Times New Roman" w:hAnsi="Times New Roman" w:eastAsia="仿宋_GB2312" w:cs="Times New Roman"/>
          <w:sz w:val="32"/>
          <w:szCs w:val="32"/>
        </w:rPr>
        <w:t>213.46</w:t>
      </w:r>
      <w:r>
        <w:rPr>
          <w:rFonts w:ascii="Times New Roman" w:hAnsi="Times New Roman" w:eastAsia="仿宋_GB2312" w:cs="Times New Roman"/>
          <w:sz w:val="32"/>
          <w:szCs w:val="32"/>
        </w:rPr>
        <w:t>万元，主要用于日常维修、水电费、取暖费</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物业管理费等</w:t>
      </w:r>
      <w:r>
        <w:rPr>
          <w:rFonts w:hint="eastAsia" w:ascii="Times New Roman" w:hAnsi="Times New Roman" w:eastAsia="仿宋_GB2312" w:cs="Times New Roman"/>
          <w:sz w:val="32"/>
          <w:szCs w:val="32"/>
        </w:rPr>
        <w:t>维持机关</w:t>
      </w:r>
      <w:r>
        <w:rPr>
          <w:rFonts w:ascii="Times New Roman" w:hAnsi="Times New Roman" w:eastAsia="仿宋_GB2312" w:cs="Times New Roman"/>
          <w:sz w:val="32"/>
          <w:szCs w:val="32"/>
        </w:rPr>
        <w:t>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仿宋" w:hAnsi="仿宋" w:eastAsia="仿宋" w:cs="仿宋"/>
          <w:sz w:val="32"/>
          <w:szCs w:val="32"/>
        </w:rPr>
        <w:t>2020年，我部门财政拨款“三公”经费预算安排28.41万元。其中，因公出国（境）费0万元；公务用车购置及运维费28.41万元（其中：公务用车购置费为0万元，公务用车运维费28.41万元)；公务接待费0万元。与2019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widowControl/>
        <w:tabs>
          <w:tab w:val="left" w:pos="198"/>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adjustRightInd w:val="0"/>
        <w:ind w:left="198" w:firstLine="640"/>
        <w:jc w:val="left"/>
        <w:rPr>
          <w:rFonts w:cs="Times New Roman" w:asciiTheme="minorEastAsia" w:hAnsiTheme="minorEastAsia"/>
          <w:kern w:val="0"/>
          <w:sz w:val="32"/>
          <w:szCs w:val="32"/>
        </w:rPr>
      </w:pPr>
      <w:r>
        <w:rPr>
          <w:rFonts w:hint="eastAsia" w:ascii="仿宋" w:hAnsi="仿宋" w:eastAsia="仿宋" w:cs="仿宋"/>
          <w:kern w:val="0"/>
          <w:sz w:val="32"/>
          <w:szCs w:val="32"/>
        </w:rPr>
        <w:t>高举习近平新时代中国特色社会</w:t>
      </w:r>
      <w:r>
        <w:rPr>
          <w:rFonts w:hint="eastAsia" w:ascii="仿宋" w:hAnsi="仿宋" w:eastAsia="仿宋" w:cs="仿宋"/>
          <w:kern w:val="0"/>
          <w:sz w:val="32"/>
          <w:szCs w:val="32"/>
          <w:lang w:eastAsia="zh-CN"/>
        </w:rPr>
        <w:t>主</w:t>
      </w:r>
      <w:bookmarkStart w:id="3" w:name="_GoBack"/>
      <w:bookmarkEnd w:id="3"/>
      <w:r>
        <w:rPr>
          <w:rFonts w:hint="eastAsia" w:ascii="仿宋" w:hAnsi="仿宋" w:eastAsia="仿宋" w:cs="仿宋"/>
          <w:kern w:val="0"/>
          <w:sz w:val="32"/>
          <w:szCs w:val="32"/>
        </w:rPr>
        <w:t>义思想伟大旗帜，深入贯彻落实十九届四中全会精神和省委九届九次全会精神，全面履行法律监督职责。围绕服务保障“三件大事”、打好“三大攻坚战”、保障民营经济、积极参与反腐败斗争等重点工作，切实增强服务大局的针对性和实效性；推进平安河北建设，妥善做好检察环节各项工作，切实当好首都政治“护城河”，积极为推动国家治理体系和治理能力现代化作出检察贡献；切实转变司法理念，推动“四大检察”工作全面协调充分发展；坚持从严治检，压实“两个责任”，大力推进检察队伍革命化正规化专业化职业化建设。</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1、加强普通刑事犯罪检察工作</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目标：依法严肃打击侵犯公民财产权、人身权、扰乱社会秩序等各类刑事犯罪；深入推进扫黑除恶专项斗争工作；持续做好认罪认罚从宽工作，不断提升办案质效；以规范化、专业化为导向，加强普通刑事犯罪检察人才队伍和工作机制建设。</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指标：依法履行审查逮捕、审查起诉职责，加强立案监督、侦查监督和审判监督，坚决打击“法轮功”、“全能神”等邪教组织破坏法律实施犯罪等各类犯罪；关注民生，挂牌督办一批危害环境资源类的犯罪案件，全力推进扫黑除恶专项斗争，对涉黑和重大涉恶案件统一严格把关，加强扫黑除恶典型案件评比宣传工作，适时推出典型案例；坚决完成高检院提出的认罪认罚从宽案件适用率70%以上的目标，同时坚持稳中求升，不断提升监督质效。</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2、进一步提升重大刑事犯罪办案质效</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绩效目标：充分发挥重罪检察职能，坚持以司法办案为中心，依法严厉打击危害国家安全、危害公共安全、故意杀人、抢劫、毒品等重大刑事犯罪，进一步提升办案质效，维护社会和谐稳定。</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绩效指标：规范案件办理，在法定期限内依法结案。提升办案效率，减少发回案件数量，降低案件比。自觉履行法律监督职能，强化侦查监督、审判监督，依法制发纠正违法通知书、检察建议。</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3、为反腐败深入发展提供有力司法保障</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绩效目标：充分履行职务犯罪检察职能，着力提高案件办理质效。与监察机关、审判机关、公安机关的协调配合，形成反腐败的工作合力。</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绩效指标：有针对性地展开调研不少于一次，提出解决问题的建议；进一步加强案件分析工作，每季度形成的分析报告定期向同级监委进行通报。</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4、全面履行民事检察职能</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绩效指标：提高办案效率，办案人员所办理的案件法定期限内结案率提升至70%；提高案件监督质量，尤其是抗诉和再审检察建议案件的质量；加大审判违法监督、执行监督和虚假诉讼监督规模和力度。</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5、有效履行新时期未检职能</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 xml:space="preserve">绩效目标：严格落实各项未成年人特殊检察制度，切实保护涉罪未成年人及未成年被害人各项诉讼权利，将未成年人特殊司法理念、特殊司法任务落实到未检工作的每一个环节；加强未成年人检察社会支持体系建设，建立健全相关工作机制和制度，解决制约未成年人司法保护社会支持体系建设的难题；落实“谁执法谁普法”普法责任制要求，积极参与青少年法治教育工作，继续深入推进法治进校园等各类法治宣传活动。 </w:t>
      </w:r>
    </w:p>
    <w:p>
      <w:pPr>
        <w:ind w:firstLine="640" w:firstLineChars="200"/>
        <w:outlineLvl w:val="0"/>
        <w:rPr>
          <w:rFonts w:ascii="仿宋" w:hAnsi="仿宋" w:eastAsia="仿宋" w:cs="仿宋"/>
          <w:kern w:val="0"/>
          <w:sz w:val="32"/>
          <w:szCs w:val="32"/>
        </w:rPr>
      </w:pPr>
      <w:r>
        <w:rPr>
          <w:rFonts w:hint="eastAsia" w:ascii="仿宋" w:hAnsi="仿宋" w:eastAsia="仿宋" w:cs="Times New Roman"/>
          <w:sz w:val="32"/>
          <w:szCs w:val="32"/>
        </w:rPr>
        <w:t>绩效指标：审查逮捕案件、审查起诉案件中法律援助、社会调查、亲职教育、帮教等特殊制度适用率20%以上；在全区持续推动未成年人检察社会支持体系建设工作。</w:t>
      </w:r>
      <w:r>
        <w:rPr>
          <w:rFonts w:ascii="Times New Roman" w:eastAsia="方正仿宋_GBK"/>
          <w:sz w:val="28"/>
        </w:rPr>
        <w:t xml:space="preserve"> </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 xml:space="preserve">部门职责1：检察监督   </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批准立案错误率为0，批延准确率达到100%，侦查监督完成率达到80%及以上，批捕错误率为0，公诉案件有罪判决率率达到99%及以上，公诉抗诉案件再审改变率达到75%及以上，公诉案件审结率达到100%，出庭意见采纳率达到96%及以上，提起公诉完成率达到100%，检察建议采纳率达到85%及以上，抗诉案件再审改变率达到89%及以上，刑事执行工作全市排名达到第7名及以上，未成年人刑事检察工作出庭意见采纳率达到95%及以上，未成年人刑事检察工作未成年人刑事检察工作达到70%及以上，未成年人刑事检察工作批准立案错误率为0，未成年人刑事检察工作侦查监督完成率达到95%及以上，未成年人刑事检察工作批捕错误率为0，司法辅助工作完成率达到90%及以上。</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 xml:space="preserve">部门职责2：控告和刑事申诉检察   </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有效化解涉检信访矛盾率达到99%及以上，涉检信访案件办结率达到100%，国家赔偿案件办结率达到100%，息诉罢访率达到99%及以上，举报线索处置率达到99%及以上。</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部门职责3：检察事务监督</w:t>
      </w:r>
    </w:p>
    <w:p>
      <w:pPr>
        <w:ind w:firstLine="640" w:firstLineChars="200"/>
        <w:outlineLvl w:val="0"/>
        <w:rPr>
          <w:rFonts w:ascii="仿宋" w:hAnsi="仿宋" w:eastAsia="仿宋"/>
        </w:rPr>
      </w:pPr>
      <w:r>
        <w:rPr>
          <w:rFonts w:hint="eastAsia" w:ascii="仿宋" w:hAnsi="仿宋" w:eastAsia="仿宋" w:cs="Times New Roman"/>
          <w:sz w:val="32"/>
          <w:szCs w:val="32"/>
        </w:rPr>
        <w:t>各项检察事务管理工作完成率达到95%及以上，各项检务保障工作完成率达到95%及以上。</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spacing w:line="584" w:lineRule="exact"/>
        <w:ind w:firstLine="562" w:firstLineChars="200"/>
        <w:jc w:val="left"/>
        <w:rPr>
          <w:rFonts w:hint="eastAsia" w:ascii="方正仿宋_GBK"/>
          <w:b/>
          <w:sz w:val="28"/>
        </w:rPr>
      </w:pPr>
      <w:r>
        <w:rPr>
          <w:rFonts w:hint="eastAsia" w:ascii="方正仿宋_GBK" w:eastAsia="方正仿宋_GBK"/>
          <w:b/>
          <w:sz w:val="28"/>
        </w:rPr>
        <w:t>1、专项临时人员经费绩效目标表</w:t>
      </w:r>
    </w:p>
    <w:p>
      <w:pPr>
        <w:spacing w:line="584" w:lineRule="exact"/>
        <w:ind w:firstLine="562" w:firstLineChars="200"/>
        <w:jc w:val="left"/>
        <w:rPr>
          <w:rFonts w:ascii="方正仿宋_GBK"/>
          <w:b/>
          <w:sz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、落实中央司法体制改革精神，不断完善检察人员分类管理，打造数量充足、素质优良、队伍稳定、充满活力的聘用制书记员队伍。</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、更好地适应检察工作需要，为检察事业服务。</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及时发放率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及时发放临时人员工资占应发放人员工资的比例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廊广检请字</w:t>
            </w:r>
            <w:r>
              <w:rPr>
                <w:rFonts w:ascii="方正书宋_GBK" w:hAnsi="Calibri" w:eastAsia="方正书宋_GBK" w:cs="Times New Roman"/>
              </w:rPr>
              <w:t>[2018]11</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覆盖率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实际发放工资人数占应发放人数的比例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廊广检请字</w:t>
            </w:r>
            <w:r>
              <w:rPr>
                <w:rFonts w:ascii="方正书宋_GBK" w:hAnsi="Calibri" w:eastAsia="方正书宋_GBK" w:cs="Times New Roman"/>
              </w:rPr>
              <w:t>[2018]11</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促进社会稳定</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促进社会稳定</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基本保障</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廊广检请字</w:t>
            </w:r>
            <w:r>
              <w:rPr>
                <w:rFonts w:ascii="方正书宋_GBK" w:hAnsi="Calibri" w:eastAsia="方正书宋_GBK" w:cs="Times New Roman"/>
              </w:rPr>
              <w:t>[2018]11</w:t>
            </w:r>
            <w:r>
              <w:rPr>
                <w:rFonts w:hint="eastAsia" w:ascii="方正书宋_GBK" w:hAnsi="Calibri" w:eastAsia="方正书宋_GBK" w:cs="Times New Roman"/>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临时人员满意人数占全部人员的比例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廊广检请字</w:t>
            </w:r>
            <w:r>
              <w:rPr>
                <w:rFonts w:ascii="方正书宋_GBK" w:hAnsi="Calibri" w:eastAsia="方正书宋_GBK" w:cs="Times New Roman"/>
              </w:rPr>
              <w:t>[2018]11</w:t>
            </w:r>
            <w:r>
              <w:rPr>
                <w:rFonts w:hint="eastAsia" w:ascii="方正书宋_GBK" w:hAnsi="Calibri" w:eastAsia="方正书宋_GBK" w:cs="Times New Roman"/>
              </w:rPr>
              <w:t>号</w:t>
            </w:r>
          </w:p>
        </w:tc>
      </w:tr>
    </w:tbl>
    <w:p>
      <w:pPr>
        <w:jc w:val="left"/>
        <w:outlineLvl w:val="1"/>
        <w:rPr>
          <w:rFonts w:hint="eastAsia" w:ascii="方正仿宋_GBK"/>
          <w:b/>
          <w:sz w:val="28"/>
        </w:rPr>
      </w:pPr>
    </w:p>
    <w:p>
      <w:pPr>
        <w:jc w:val="left"/>
        <w:outlineLvl w:val="1"/>
        <w:rPr>
          <w:rFonts w:hint="eastAsia" w:ascii="方正仿宋_GBK"/>
          <w:b/>
          <w:sz w:val="28"/>
        </w:rPr>
      </w:pPr>
    </w:p>
    <w:p>
      <w:pPr>
        <w:jc w:val="left"/>
        <w:outlineLvl w:val="1"/>
        <w:rPr>
          <w:rFonts w:hint="eastAsia" w:ascii="方正仿宋_GBK"/>
          <w:b/>
          <w:sz w:val="28"/>
        </w:rPr>
      </w:pPr>
    </w:p>
    <w:p>
      <w:pPr>
        <w:jc w:val="left"/>
        <w:outlineLvl w:val="1"/>
        <w:rPr>
          <w:rFonts w:hint="eastAsia" w:ascii="方正仿宋_GBK"/>
          <w:b/>
          <w:sz w:val="28"/>
        </w:rPr>
      </w:pPr>
    </w:p>
    <w:p>
      <w:pPr>
        <w:jc w:val="left"/>
        <w:outlineLvl w:val="1"/>
        <w:rPr>
          <w:rFonts w:hint="eastAsia" w:ascii="方正仿宋_GBK"/>
          <w:b/>
          <w:sz w:val="28"/>
        </w:rPr>
      </w:pPr>
    </w:p>
    <w:p>
      <w:pPr>
        <w:ind w:firstLine="1105" w:firstLineChars="393"/>
        <w:jc w:val="left"/>
        <w:outlineLvl w:val="1"/>
        <w:rPr>
          <w:rFonts w:hint="eastAsia" w:ascii="方正仿宋_GBK"/>
          <w:b/>
          <w:sz w:val="28"/>
        </w:rPr>
      </w:pPr>
      <w:r>
        <w:rPr>
          <w:rFonts w:hint="eastAsia" w:ascii="方正仿宋_GBK"/>
          <w:b/>
          <w:sz w:val="28"/>
        </w:rPr>
        <w:t>2、</w:t>
      </w:r>
      <w:r>
        <w:rPr>
          <w:rFonts w:hint="eastAsia" w:ascii="方正仿宋_GBK" w:eastAsia="方正仿宋_GBK"/>
          <w:b/>
          <w:sz w:val="28"/>
        </w:rPr>
        <w:t>关于提前下达2020年中央政法纪检监察转移支付资金绩效目标表</w:t>
      </w:r>
    </w:p>
    <w:p>
      <w:pPr>
        <w:ind w:firstLine="1105" w:firstLineChars="393"/>
        <w:jc w:val="left"/>
        <w:outlineLvl w:val="1"/>
        <w:rPr>
          <w:rFonts w:ascii="方正仿宋_GBK"/>
          <w:b/>
          <w:sz w:val="28"/>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绩效目标</w:t>
            </w:r>
          </w:p>
        </w:tc>
        <w:tc>
          <w:tcPr>
            <w:tcW w:w="8278" w:type="dxa"/>
            <w:tcBorders>
              <w:top w:val="single" w:color="000000" w:sz="6" w:space="0"/>
              <w:left w:val="nil"/>
              <w:bottom w:val="nil"/>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1、确保2020年办案和业务工作正常开展</w:t>
            </w:r>
          </w:p>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2、完成2020年业务装备采购计划</w:t>
            </w:r>
          </w:p>
        </w:tc>
      </w:tr>
    </w:tbl>
    <w:p>
      <w:pPr>
        <w:spacing w:line="14" w:lineRule="exact"/>
        <w:ind w:firstLine="420" w:firstLineChars="200"/>
        <w:jc w:val="center"/>
        <w:rPr>
          <w:rFonts w:ascii="Times New Roman" w:hAnsi="宋体" w:cs="Times New Roman"/>
          <w:szCs w:val="21"/>
        </w:rPr>
      </w:pPr>
      <w:r>
        <w:rPr>
          <w:rFonts w:ascii="方正书宋_GBK" w:hAnsi="方正书宋_GBK" w:eastAsia="方正书宋_GBK" w:cs="方正书宋_GBK"/>
          <w:szCs w:val="21"/>
          <w:lang w:bidi="ar"/>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一级指标</w:t>
            </w: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二级指标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三级指标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绩效指标描述</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指标值</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szCs w:val="21"/>
              </w:rPr>
            </w:pPr>
            <w:r>
              <w:rPr>
                <w:rFonts w:ascii="方正书宋_GBK" w:hAnsi="方正书宋_GBK" w:eastAsia="方正书宋_GBK" w:cs="方正书宋_GBK"/>
                <w:b/>
                <w:szCs w:val="21"/>
                <w:lang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nil"/>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szCs w:val="21"/>
              </w:rPr>
            </w:pPr>
            <w:r>
              <w:rPr>
                <w:rFonts w:ascii="方正书宋_GBK" w:hAnsi="方正书宋_GBK" w:eastAsia="方正书宋_GBK" w:cs="方正书宋_GBK"/>
                <w:szCs w:val="21"/>
                <w:lang w:bidi="ar"/>
              </w:rPr>
              <w:t>产出指标</w:t>
            </w: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数量指标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工作完成率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工作完成数量占总案件数的比例</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≥95比例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成本指标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侦查监督完成率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侦查监督案件完成数量占总侦查监督案件数量的比例</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≥95比例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质量指标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提起公诉完成率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提起公诉案件数量占公诉案件数量的比例</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100比例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op w:val="nil"/>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szCs w:val="21"/>
              </w:rPr>
            </w:pPr>
            <w:r>
              <w:rPr>
                <w:rFonts w:ascii="方正书宋_GBK" w:hAnsi="方正书宋_GBK" w:eastAsia="方正书宋_GBK" w:cs="方正书宋_GBK"/>
                <w:szCs w:val="21"/>
                <w:lang w:bidi="ar"/>
              </w:rPr>
              <w:t>效果指标</w:t>
            </w: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经济效益指标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国家赔偿案件办结率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国家赔偿案件办结占国家赔偿案件数量比例</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≥99比例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社会效益指标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出庭意见采纳率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出庭意见被采纳占出庭意见比例</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≥98比例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ascii="Times New Roman" w:hAnsi="Times New Roman" w:cs="Times New Roman"/>
                <w:sz w:val="20"/>
                <w:szCs w:val="20"/>
              </w:rPr>
            </w:pP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可持续影响指标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提高执法办案效率</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执法办案提高程度</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≥99比例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szCs w:val="21"/>
              </w:rPr>
            </w:pPr>
            <w:r>
              <w:rPr>
                <w:rFonts w:ascii="方正书宋_GBK" w:hAnsi="方正书宋_GBK" w:eastAsia="方正书宋_GBK" w:cs="方正书宋_GBK"/>
                <w:szCs w:val="21"/>
                <w:lang w:bidi="ar"/>
              </w:rPr>
              <w:t>满意度指标</w:t>
            </w:r>
          </w:p>
        </w:tc>
        <w:tc>
          <w:tcPr>
            <w:tcW w:w="1134"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服务对象满意度指标</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 xml:space="preserve">  当事人对民事行政申请监督案件满意度</w:t>
            </w:r>
          </w:p>
        </w:tc>
        <w:tc>
          <w:tcPr>
            <w:tcW w:w="289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当事人对民事行政监督案件满意程度</w:t>
            </w:r>
          </w:p>
        </w:tc>
        <w:tc>
          <w:tcPr>
            <w:tcW w:w="1276"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≥97比例</w:t>
            </w:r>
          </w:p>
        </w:tc>
        <w:tc>
          <w:tcPr>
            <w:tcW w:w="1701" w:type="dxa"/>
            <w:tcBorders>
              <w:top w:val="single" w:color="000000" w:sz="6" w:space="0"/>
              <w:left w:val="nil"/>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szCs w:val="21"/>
              </w:rPr>
            </w:pPr>
            <w:r>
              <w:rPr>
                <w:rFonts w:ascii="方正书宋_GBK" w:hAnsi="方正书宋_GBK" w:eastAsia="方正书宋_GBK" w:cs="方正书宋_GBK"/>
                <w:szCs w:val="21"/>
                <w:lang w:bidi="ar"/>
              </w:rPr>
              <w:t>廊财行[2019]44号</w:t>
            </w:r>
          </w:p>
        </w:tc>
      </w:tr>
      <w:bookmarkEnd w:id="0"/>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bookmarkStart w:id="1" w:name="_Toc471398468"/>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仿宋" w:hAnsi="仿宋" w:eastAsia="仿宋" w:cs="仿宋"/>
          <w:sz w:val="32"/>
          <w:szCs w:val="24"/>
        </w:rPr>
      </w:pPr>
      <w:r>
        <w:rPr>
          <w:rFonts w:hint="eastAsia" w:ascii="仿宋" w:hAnsi="仿宋" w:eastAsia="仿宋" w:cs="仿宋"/>
          <w:sz w:val="32"/>
          <w:szCs w:val="24"/>
        </w:rPr>
        <w:t>2020年，我部门安排政府采购预算0万元。具体内容见下表。</w:t>
      </w:r>
    </w:p>
    <w:bookmarkEnd w:id="1"/>
    <w:p>
      <w:pPr>
        <w:spacing w:line="584" w:lineRule="exact"/>
        <w:jc w:val="center"/>
        <w:outlineLvl w:val="0"/>
        <w:rPr>
          <w:rFonts w:ascii="仿宋" w:hAnsi="仿宋" w:eastAsia="仿宋" w:cs="仿宋"/>
          <w:sz w:val="32"/>
        </w:rPr>
      </w:pPr>
      <w:bookmarkStart w:id="2" w:name="_Toc504489153"/>
      <w:r>
        <w:rPr>
          <w:rFonts w:hint="eastAsia" w:ascii="仿宋" w:hAnsi="仿宋" w:eastAsia="仿宋" w:cs="仿宋"/>
          <w:sz w:val="32"/>
        </w:rPr>
        <w:t>部门政府采购预算</w:t>
      </w:r>
      <w:bookmarkEnd w:id="2"/>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8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360002廊坊市广阳区人民门检察院</w:t>
            </w:r>
          </w:p>
        </w:tc>
        <w:tc>
          <w:tcPr>
            <w:tcW w:w="6387" w:type="dxa"/>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7"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87" w:type="dxa"/>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1061" w:type="dxa"/>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1238" w:type="dxa"/>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991" w:type="dxa"/>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1136" w:type="dxa"/>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1189" w:type="dxa"/>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877" w:type="dxa"/>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61"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1238" w:type="dxa"/>
            <w:shd w:val="clear" w:color="auto" w:fill="auto"/>
            <w:vAlign w:val="center"/>
          </w:tcPr>
          <w:p>
            <w:pPr>
              <w:spacing w:line="584" w:lineRule="exact"/>
              <w:jc w:val="right"/>
              <w:rPr>
                <w:rFonts w:ascii="Times New Roman" w:hAnsi="Times New Roman" w:eastAsia="仿宋_GB2312" w:cs="Times New Roman"/>
                <w:b/>
              </w:rPr>
            </w:pPr>
          </w:p>
        </w:tc>
        <w:tc>
          <w:tcPr>
            <w:tcW w:w="991" w:type="dxa"/>
            <w:shd w:val="clear" w:color="auto" w:fill="auto"/>
            <w:vAlign w:val="center"/>
          </w:tcPr>
          <w:p>
            <w:pPr>
              <w:spacing w:line="584" w:lineRule="exact"/>
              <w:jc w:val="right"/>
              <w:rPr>
                <w:rFonts w:ascii="Times New Roman" w:hAnsi="Times New Roman" w:eastAsia="仿宋_GB2312" w:cs="Times New Roman"/>
                <w:b/>
              </w:rPr>
            </w:pPr>
          </w:p>
        </w:tc>
        <w:tc>
          <w:tcPr>
            <w:tcW w:w="1136" w:type="dxa"/>
            <w:shd w:val="clear" w:color="auto" w:fill="auto"/>
            <w:vAlign w:val="center"/>
          </w:tcPr>
          <w:p>
            <w:pPr>
              <w:spacing w:line="584" w:lineRule="exact"/>
              <w:jc w:val="right"/>
              <w:rPr>
                <w:rFonts w:ascii="Times New Roman" w:hAnsi="Times New Roman" w:eastAsia="仿宋_GB2312" w:cs="Times New Roman"/>
                <w:b/>
              </w:rPr>
            </w:pPr>
          </w:p>
        </w:tc>
        <w:tc>
          <w:tcPr>
            <w:tcW w:w="1189" w:type="dxa"/>
            <w:shd w:val="clear" w:color="auto" w:fill="auto"/>
            <w:vAlign w:val="center"/>
          </w:tcPr>
          <w:p>
            <w:pPr>
              <w:spacing w:line="584" w:lineRule="exact"/>
              <w:jc w:val="right"/>
              <w:rPr>
                <w:rFonts w:ascii="Times New Roman" w:hAnsi="Times New Roman" w:eastAsia="仿宋_GB2312" w:cs="Times New Roman"/>
                <w:b/>
              </w:rPr>
            </w:pPr>
          </w:p>
        </w:tc>
        <w:tc>
          <w:tcPr>
            <w:tcW w:w="877"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highlight w:val="yellow"/>
              </w:rPr>
            </w:pPr>
          </w:p>
        </w:tc>
        <w:tc>
          <w:tcPr>
            <w:tcW w:w="1061" w:type="dxa"/>
            <w:shd w:val="clear" w:color="auto" w:fill="auto"/>
            <w:vAlign w:val="center"/>
          </w:tcPr>
          <w:p>
            <w:pPr>
              <w:spacing w:line="584" w:lineRule="exact"/>
              <w:jc w:val="right"/>
              <w:rPr>
                <w:rFonts w:ascii="Times New Roman" w:hAnsi="Times New Roman" w:eastAsia="仿宋_GB2312" w:cs="Times New Roman"/>
                <w:b/>
                <w:highlight w:val="yellow"/>
              </w:rPr>
            </w:pPr>
          </w:p>
        </w:tc>
        <w:tc>
          <w:tcPr>
            <w:tcW w:w="932" w:type="dxa"/>
            <w:shd w:val="clear" w:color="auto" w:fill="auto"/>
            <w:vAlign w:val="center"/>
          </w:tcPr>
          <w:p>
            <w:pPr>
              <w:spacing w:line="584" w:lineRule="exact"/>
              <w:jc w:val="left"/>
              <w:rPr>
                <w:rFonts w:ascii="Times New Roman" w:hAnsi="Times New Roman" w:eastAsia="仿宋_GB2312" w:cs="Times New Roman"/>
                <w:b/>
                <w:highlight w:val="yellow"/>
              </w:rPr>
            </w:pPr>
          </w:p>
        </w:tc>
        <w:tc>
          <w:tcPr>
            <w:tcW w:w="1372" w:type="dxa"/>
            <w:shd w:val="clear" w:color="auto" w:fill="auto"/>
            <w:vAlign w:val="center"/>
          </w:tcPr>
          <w:p>
            <w:pPr>
              <w:spacing w:line="584" w:lineRule="exact"/>
              <w:jc w:val="left"/>
              <w:rPr>
                <w:rFonts w:ascii="Times New Roman" w:hAnsi="Times New Roman" w:eastAsia="仿宋_GB2312" w:cs="Times New Roman"/>
                <w:b/>
                <w:highlight w:val="yellow"/>
              </w:rPr>
            </w:pPr>
          </w:p>
        </w:tc>
        <w:tc>
          <w:tcPr>
            <w:tcW w:w="720" w:type="dxa"/>
            <w:shd w:val="clear" w:color="auto" w:fill="auto"/>
            <w:vAlign w:val="center"/>
          </w:tcPr>
          <w:p>
            <w:pPr>
              <w:spacing w:line="584" w:lineRule="exact"/>
              <w:jc w:val="left"/>
              <w:rPr>
                <w:rFonts w:ascii="Times New Roman" w:hAnsi="Times New Roman" w:eastAsia="仿宋_GB2312" w:cs="Times New Roman"/>
                <w:b/>
                <w:highlight w:val="yellow"/>
              </w:rPr>
            </w:pPr>
          </w:p>
        </w:tc>
        <w:tc>
          <w:tcPr>
            <w:tcW w:w="740" w:type="dxa"/>
            <w:shd w:val="clear" w:color="auto" w:fill="auto"/>
            <w:vAlign w:val="center"/>
          </w:tcPr>
          <w:p>
            <w:pPr>
              <w:spacing w:line="584" w:lineRule="exact"/>
              <w:jc w:val="left"/>
              <w:rPr>
                <w:rFonts w:ascii="Times New Roman" w:hAnsi="Times New Roman" w:eastAsia="仿宋_GB2312" w:cs="Times New Roman"/>
                <w:b/>
                <w:highlight w:val="yellow"/>
              </w:rPr>
            </w:pPr>
          </w:p>
        </w:tc>
        <w:tc>
          <w:tcPr>
            <w:tcW w:w="950" w:type="dxa"/>
            <w:shd w:val="clear" w:color="auto" w:fill="auto"/>
            <w:vAlign w:val="center"/>
          </w:tcPr>
          <w:p>
            <w:pPr>
              <w:spacing w:line="584" w:lineRule="exact"/>
              <w:jc w:val="right"/>
              <w:rPr>
                <w:rFonts w:ascii="Times New Roman" w:hAnsi="Times New Roman" w:eastAsia="仿宋_GB2312" w:cs="Times New Roman"/>
                <w:b/>
                <w:highlight w:val="yellow"/>
              </w:rPr>
            </w:pPr>
          </w:p>
        </w:tc>
        <w:tc>
          <w:tcPr>
            <w:tcW w:w="956" w:type="dxa"/>
            <w:shd w:val="clear" w:color="auto" w:fill="auto"/>
            <w:vAlign w:val="center"/>
          </w:tcPr>
          <w:p>
            <w:pPr>
              <w:spacing w:line="584" w:lineRule="exact"/>
              <w:jc w:val="right"/>
              <w:rPr>
                <w:rFonts w:ascii="Times New Roman" w:hAnsi="Times New Roman" w:eastAsia="仿宋_GB2312" w:cs="Times New Roman"/>
                <w:b/>
                <w:highlight w:val="yellow"/>
              </w:rPr>
            </w:pPr>
          </w:p>
        </w:tc>
        <w:tc>
          <w:tcPr>
            <w:tcW w:w="1238" w:type="dxa"/>
            <w:shd w:val="clear" w:color="auto" w:fill="auto"/>
            <w:vAlign w:val="center"/>
          </w:tcPr>
          <w:p>
            <w:pPr>
              <w:spacing w:line="584" w:lineRule="exact"/>
              <w:jc w:val="right"/>
              <w:rPr>
                <w:rFonts w:ascii="Times New Roman" w:hAnsi="Times New Roman" w:eastAsia="仿宋_GB2312" w:cs="Times New Roman"/>
                <w:b/>
                <w:highlight w:val="yellow"/>
              </w:rPr>
            </w:pPr>
          </w:p>
        </w:tc>
        <w:tc>
          <w:tcPr>
            <w:tcW w:w="991" w:type="dxa"/>
            <w:shd w:val="clear" w:color="auto" w:fill="auto"/>
            <w:vAlign w:val="center"/>
          </w:tcPr>
          <w:p>
            <w:pPr>
              <w:spacing w:line="584" w:lineRule="exact"/>
              <w:jc w:val="right"/>
              <w:rPr>
                <w:rFonts w:ascii="Times New Roman" w:hAnsi="Times New Roman" w:eastAsia="仿宋_GB2312" w:cs="Times New Roman"/>
                <w:b/>
                <w:highlight w:val="yellow"/>
              </w:rPr>
            </w:pPr>
          </w:p>
        </w:tc>
        <w:tc>
          <w:tcPr>
            <w:tcW w:w="1136" w:type="dxa"/>
            <w:shd w:val="clear" w:color="auto" w:fill="auto"/>
            <w:vAlign w:val="center"/>
          </w:tcPr>
          <w:p>
            <w:pPr>
              <w:spacing w:line="584" w:lineRule="exact"/>
              <w:jc w:val="right"/>
              <w:rPr>
                <w:rFonts w:ascii="Times New Roman" w:hAnsi="Times New Roman" w:eastAsia="仿宋_GB2312" w:cs="Times New Roman"/>
                <w:b/>
              </w:rPr>
            </w:pPr>
          </w:p>
        </w:tc>
        <w:tc>
          <w:tcPr>
            <w:tcW w:w="1189" w:type="dxa"/>
            <w:shd w:val="clear" w:color="auto" w:fill="auto"/>
            <w:vAlign w:val="center"/>
          </w:tcPr>
          <w:p>
            <w:pPr>
              <w:spacing w:line="584" w:lineRule="exact"/>
              <w:jc w:val="right"/>
              <w:rPr>
                <w:rFonts w:ascii="Times New Roman" w:hAnsi="Times New Roman" w:eastAsia="仿宋_GB2312" w:cs="Times New Roman"/>
                <w:b/>
              </w:rPr>
            </w:pPr>
          </w:p>
        </w:tc>
        <w:tc>
          <w:tcPr>
            <w:tcW w:w="877"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ind w:firstLine="420" w:firstLineChars="200"/>
              <w:jc w:val="left"/>
              <w:rPr>
                <w:rFonts w:ascii="Times New Roman" w:hAnsi="Times New Roman" w:eastAsia="仿宋_GB2312" w:cs="Times New Roman"/>
                <w:highlight w:val="yellow"/>
              </w:rPr>
            </w:pPr>
          </w:p>
        </w:tc>
        <w:tc>
          <w:tcPr>
            <w:tcW w:w="1061"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932" w:type="dxa"/>
            <w:shd w:val="clear" w:color="auto" w:fill="auto"/>
            <w:vAlign w:val="center"/>
          </w:tcPr>
          <w:p>
            <w:pPr>
              <w:spacing w:line="584" w:lineRule="exact"/>
              <w:jc w:val="left"/>
              <w:rPr>
                <w:rFonts w:ascii="Times New Roman" w:hAnsi="Times New Roman" w:eastAsia="仿宋_GB2312" w:cs="Times New Roman"/>
                <w:b/>
                <w:highlight w:val="yellow"/>
              </w:rPr>
            </w:pPr>
          </w:p>
        </w:tc>
        <w:tc>
          <w:tcPr>
            <w:tcW w:w="1372" w:type="dxa"/>
            <w:shd w:val="clear" w:color="auto" w:fill="auto"/>
            <w:vAlign w:val="center"/>
          </w:tcPr>
          <w:p>
            <w:pPr>
              <w:spacing w:line="584" w:lineRule="exact"/>
              <w:jc w:val="left"/>
              <w:rPr>
                <w:rFonts w:ascii="Times New Roman" w:hAnsi="Times New Roman" w:eastAsia="仿宋_GB2312" w:cs="Times New Roman"/>
                <w:b/>
                <w:highlight w:val="yellow"/>
              </w:rPr>
            </w:pPr>
          </w:p>
        </w:tc>
        <w:tc>
          <w:tcPr>
            <w:tcW w:w="720" w:type="dxa"/>
            <w:shd w:val="clear" w:color="auto" w:fill="auto"/>
            <w:vAlign w:val="center"/>
          </w:tcPr>
          <w:p>
            <w:pPr>
              <w:spacing w:line="584" w:lineRule="exact"/>
              <w:jc w:val="left"/>
              <w:rPr>
                <w:rFonts w:ascii="Times New Roman" w:hAnsi="Times New Roman" w:eastAsia="仿宋_GB2312" w:cs="Times New Roman"/>
                <w:highlight w:val="yellow"/>
              </w:rPr>
            </w:pPr>
          </w:p>
        </w:tc>
        <w:tc>
          <w:tcPr>
            <w:tcW w:w="740" w:type="dxa"/>
            <w:shd w:val="clear" w:color="auto" w:fill="auto"/>
            <w:vAlign w:val="center"/>
          </w:tcPr>
          <w:p>
            <w:pPr>
              <w:spacing w:line="584" w:lineRule="exact"/>
              <w:jc w:val="left"/>
              <w:rPr>
                <w:rFonts w:ascii="Times New Roman" w:hAnsi="Times New Roman" w:eastAsia="仿宋_GB2312" w:cs="Times New Roman"/>
                <w:highlight w:val="yellow"/>
              </w:rPr>
            </w:pPr>
          </w:p>
        </w:tc>
        <w:tc>
          <w:tcPr>
            <w:tcW w:w="950"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956"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1238"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991"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ind w:firstLine="315" w:firstLineChars="150"/>
              <w:jc w:val="left"/>
              <w:rPr>
                <w:rFonts w:ascii="Times New Roman" w:hAnsi="Times New Roman" w:eastAsia="仿宋_GB2312" w:cs="Times New Roman"/>
                <w:highlight w:val="yellow"/>
              </w:rPr>
            </w:pPr>
          </w:p>
        </w:tc>
        <w:tc>
          <w:tcPr>
            <w:tcW w:w="1061"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932" w:type="dxa"/>
            <w:shd w:val="clear" w:color="auto" w:fill="auto"/>
            <w:vAlign w:val="center"/>
          </w:tcPr>
          <w:p>
            <w:pPr>
              <w:spacing w:line="584" w:lineRule="exact"/>
              <w:jc w:val="left"/>
              <w:rPr>
                <w:rFonts w:ascii="Times New Roman" w:hAnsi="Times New Roman" w:eastAsia="仿宋_GB2312" w:cs="Times New Roman"/>
                <w:highlight w:val="yellow"/>
              </w:rPr>
            </w:pPr>
          </w:p>
        </w:tc>
        <w:tc>
          <w:tcPr>
            <w:tcW w:w="1372" w:type="dxa"/>
            <w:shd w:val="clear" w:color="auto" w:fill="auto"/>
            <w:vAlign w:val="center"/>
          </w:tcPr>
          <w:p>
            <w:pPr>
              <w:spacing w:line="584" w:lineRule="exact"/>
              <w:jc w:val="left"/>
              <w:rPr>
                <w:rFonts w:ascii="Times New Roman" w:hAnsi="Times New Roman" w:eastAsia="仿宋_GB2312" w:cs="Times New Roman"/>
                <w:highlight w:val="yellow"/>
              </w:rPr>
            </w:pPr>
          </w:p>
        </w:tc>
        <w:tc>
          <w:tcPr>
            <w:tcW w:w="720" w:type="dxa"/>
            <w:shd w:val="clear" w:color="auto" w:fill="auto"/>
            <w:vAlign w:val="center"/>
          </w:tcPr>
          <w:p>
            <w:pPr>
              <w:spacing w:line="584" w:lineRule="exact"/>
              <w:jc w:val="left"/>
              <w:rPr>
                <w:rFonts w:ascii="Times New Roman" w:hAnsi="Times New Roman" w:eastAsia="仿宋_GB2312" w:cs="Times New Roman"/>
                <w:highlight w:val="yellow"/>
              </w:rPr>
            </w:pPr>
          </w:p>
        </w:tc>
        <w:tc>
          <w:tcPr>
            <w:tcW w:w="740" w:type="dxa"/>
            <w:shd w:val="clear" w:color="auto" w:fill="auto"/>
            <w:vAlign w:val="center"/>
          </w:tcPr>
          <w:p>
            <w:pPr>
              <w:spacing w:line="584" w:lineRule="exact"/>
              <w:jc w:val="left"/>
              <w:rPr>
                <w:rFonts w:ascii="Times New Roman" w:hAnsi="Times New Roman" w:eastAsia="仿宋_GB2312" w:cs="Times New Roman"/>
                <w:highlight w:val="yellow"/>
              </w:rPr>
            </w:pPr>
          </w:p>
        </w:tc>
        <w:tc>
          <w:tcPr>
            <w:tcW w:w="950"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956"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1238"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991" w:type="dxa"/>
            <w:shd w:val="clear" w:color="auto" w:fill="auto"/>
            <w:vAlign w:val="center"/>
          </w:tcPr>
          <w:p>
            <w:pPr>
              <w:spacing w:line="584" w:lineRule="exact"/>
              <w:jc w:val="right"/>
              <w:rPr>
                <w:rFonts w:ascii="Times New Roman" w:hAnsi="Times New Roman" w:eastAsia="仿宋_GB2312" w:cs="Times New Roman"/>
                <w:highlight w:val="yellow"/>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61"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1238" w:type="dxa"/>
            <w:shd w:val="clear" w:color="auto" w:fill="auto"/>
            <w:vAlign w:val="center"/>
          </w:tcPr>
          <w:p>
            <w:pPr>
              <w:spacing w:line="584" w:lineRule="exact"/>
              <w:jc w:val="right"/>
              <w:rPr>
                <w:rFonts w:ascii="Times New Roman" w:hAnsi="Times New Roman" w:eastAsia="仿宋_GB2312" w:cs="Times New Roman"/>
              </w:rPr>
            </w:pPr>
          </w:p>
        </w:tc>
        <w:tc>
          <w:tcPr>
            <w:tcW w:w="991" w:type="dxa"/>
            <w:shd w:val="clear" w:color="auto" w:fill="auto"/>
            <w:vAlign w:val="center"/>
          </w:tcPr>
          <w:p>
            <w:pPr>
              <w:spacing w:line="584" w:lineRule="exact"/>
              <w:jc w:val="right"/>
              <w:rPr>
                <w:rFonts w:ascii="Times New Roman" w:hAnsi="Times New Roman" w:eastAsia="仿宋_GB2312" w:cs="Times New Roman"/>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61"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1238" w:type="dxa"/>
            <w:shd w:val="clear" w:color="auto" w:fill="auto"/>
            <w:vAlign w:val="center"/>
          </w:tcPr>
          <w:p>
            <w:pPr>
              <w:spacing w:line="584" w:lineRule="exact"/>
              <w:jc w:val="right"/>
              <w:rPr>
                <w:rFonts w:ascii="Times New Roman" w:hAnsi="Times New Roman" w:eastAsia="仿宋_GB2312" w:cs="Times New Roman"/>
              </w:rPr>
            </w:pPr>
          </w:p>
        </w:tc>
        <w:tc>
          <w:tcPr>
            <w:tcW w:w="991" w:type="dxa"/>
            <w:shd w:val="clear" w:color="auto" w:fill="auto"/>
            <w:vAlign w:val="center"/>
          </w:tcPr>
          <w:p>
            <w:pPr>
              <w:spacing w:line="584" w:lineRule="exact"/>
              <w:jc w:val="right"/>
              <w:rPr>
                <w:rFonts w:ascii="Times New Roman" w:hAnsi="Times New Roman" w:eastAsia="仿宋_GB2312" w:cs="Times New Roman"/>
              </w:rPr>
            </w:pPr>
          </w:p>
        </w:tc>
        <w:tc>
          <w:tcPr>
            <w:tcW w:w="1136" w:type="dxa"/>
            <w:shd w:val="clear" w:color="auto" w:fill="auto"/>
            <w:vAlign w:val="center"/>
          </w:tcPr>
          <w:p>
            <w:pPr>
              <w:spacing w:line="584" w:lineRule="exact"/>
              <w:jc w:val="right"/>
              <w:rPr>
                <w:rFonts w:ascii="Times New Roman" w:hAnsi="Times New Roman" w:eastAsia="仿宋_GB2312" w:cs="Times New Roman"/>
              </w:rPr>
            </w:pPr>
          </w:p>
        </w:tc>
        <w:tc>
          <w:tcPr>
            <w:tcW w:w="1189" w:type="dxa"/>
            <w:shd w:val="clear" w:color="auto" w:fill="auto"/>
            <w:vAlign w:val="center"/>
          </w:tcPr>
          <w:p>
            <w:pPr>
              <w:spacing w:line="584" w:lineRule="exact"/>
              <w:jc w:val="right"/>
              <w:rPr>
                <w:rFonts w:ascii="Times New Roman" w:hAnsi="Times New Roman" w:eastAsia="仿宋_GB2312" w:cs="Times New Roman"/>
              </w:rPr>
            </w:pPr>
          </w:p>
        </w:tc>
        <w:tc>
          <w:tcPr>
            <w:tcW w:w="877" w:type="dxa"/>
            <w:shd w:val="clear" w:color="auto" w:fill="auto"/>
            <w:vAlign w:val="center"/>
          </w:tcPr>
          <w:p>
            <w:pPr>
              <w:spacing w:line="584" w:lineRule="exact"/>
              <w:jc w:val="right"/>
              <w:rPr>
                <w:rFonts w:ascii="Times New Roman" w:hAnsi="Times New Roman" w:eastAsia="仿宋_GB2312"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广阳区人民检察院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1876.96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广阳区人民检察院</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1876.96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234.03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468.74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1149.61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tabs>
          <w:tab w:val="left" w:pos="11490"/>
        </w:tabs>
        <w:spacing w:line="584" w:lineRule="exact"/>
        <w:ind w:firstLine="640" w:firstLineChars="200"/>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0000000000000000000"/>
    <w:charset w:val="86"/>
    <w:family w:val="swiss"/>
    <w:pitch w:val="default"/>
    <w:sig w:usb0="00000000" w:usb1="00000000" w:usb2="00000012" w:usb3="00000000" w:csb0="003E01BD"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53CC"/>
    <w:rsid w:val="00007743"/>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D6A78"/>
    <w:rsid w:val="001E0757"/>
    <w:rsid w:val="001E6DDC"/>
    <w:rsid w:val="001E70E9"/>
    <w:rsid w:val="001F5C92"/>
    <w:rsid w:val="001F7873"/>
    <w:rsid w:val="002220E8"/>
    <w:rsid w:val="00230E48"/>
    <w:rsid w:val="002317A2"/>
    <w:rsid w:val="00241FD4"/>
    <w:rsid w:val="00242208"/>
    <w:rsid w:val="00246317"/>
    <w:rsid w:val="00251B12"/>
    <w:rsid w:val="00265318"/>
    <w:rsid w:val="00265F39"/>
    <w:rsid w:val="002817CA"/>
    <w:rsid w:val="002835D7"/>
    <w:rsid w:val="00290FD6"/>
    <w:rsid w:val="00292821"/>
    <w:rsid w:val="00296113"/>
    <w:rsid w:val="002A673A"/>
    <w:rsid w:val="002C5E13"/>
    <w:rsid w:val="002C62BC"/>
    <w:rsid w:val="002D45D1"/>
    <w:rsid w:val="002E0EB8"/>
    <w:rsid w:val="002F3896"/>
    <w:rsid w:val="002F3904"/>
    <w:rsid w:val="002F3E58"/>
    <w:rsid w:val="0030542C"/>
    <w:rsid w:val="00311B7A"/>
    <w:rsid w:val="003126B6"/>
    <w:rsid w:val="00313D9C"/>
    <w:rsid w:val="00325215"/>
    <w:rsid w:val="0033339C"/>
    <w:rsid w:val="00335660"/>
    <w:rsid w:val="00360C05"/>
    <w:rsid w:val="003A05EE"/>
    <w:rsid w:val="003B6D37"/>
    <w:rsid w:val="004132D7"/>
    <w:rsid w:val="00414BD3"/>
    <w:rsid w:val="00424943"/>
    <w:rsid w:val="0042727E"/>
    <w:rsid w:val="0043175C"/>
    <w:rsid w:val="00437296"/>
    <w:rsid w:val="00451590"/>
    <w:rsid w:val="00451871"/>
    <w:rsid w:val="00455103"/>
    <w:rsid w:val="00466B04"/>
    <w:rsid w:val="004706DE"/>
    <w:rsid w:val="00472923"/>
    <w:rsid w:val="00486DCD"/>
    <w:rsid w:val="0049120C"/>
    <w:rsid w:val="004B0C3A"/>
    <w:rsid w:val="004C12EF"/>
    <w:rsid w:val="004C49A8"/>
    <w:rsid w:val="004C58D3"/>
    <w:rsid w:val="004D5788"/>
    <w:rsid w:val="004E3066"/>
    <w:rsid w:val="004E419C"/>
    <w:rsid w:val="004E74CD"/>
    <w:rsid w:val="004F2F5A"/>
    <w:rsid w:val="00516676"/>
    <w:rsid w:val="00524EFD"/>
    <w:rsid w:val="0054011E"/>
    <w:rsid w:val="00547BF7"/>
    <w:rsid w:val="00572067"/>
    <w:rsid w:val="00573562"/>
    <w:rsid w:val="00574904"/>
    <w:rsid w:val="00590ECE"/>
    <w:rsid w:val="005C0E90"/>
    <w:rsid w:val="005D0C27"/>
    <w:rsid w:val="005D37CA"/>
    <w:rsid w:val="005D4FD5"/>
    <w:rsid w:val="005F5714"/>
    <w:rsid w:val="005F7AE1"/>
    <w:rsid w:val="00611D03"/>
    <w:rsid w:val="00614A29"/>
    <w:rsid w:val="00617E7D"/>
    <w:rsid w:val="006265B5"/>
    <w:rsid w:val="00651BA2"/>
    <w:rsid w:val="00654FB9"/>
    <w:rsid w:val="00673D76"/>
    <w:rsid w:val="006854F0"/>
    <w:rsid w:val="006B1C4A"/>
    <w:rsid w:val="006B610D"/>
    <w:rsid w:val="006C206A"/>
    <w:rsid w:val="006E49F5"/>
    <w:rsid w:val="007013C8"/>
    <w:rsid w:val="00714DE1"/>
    <w:rsid w:val="00727C84"/>
    <w:rsid w:val="00741AF5"/>
    <w:rsid w:val="0074338E"/>
    <w:rsid w:val="00753836"/>
    <w:rsid w:val="0075393C"/>
    <w:rsid w:val="00754592"/>
    <w:rsid w:val="00776C08"/>
    <w:rsid w:val="00790ABF"/>
    <w:rsid w:val="007B49AA"/>
    <w:rsid w:val="007C219A"/>
    <w:rsid w:val="007E1DA8"/>
    <w:rsid w:val="007E4AD2"/>
    <w:rsid w:val="007E4B05"/>
    <w:rsid w:val="007F1335"/>
    <w:rsid w:val="007F6C26"/>
    <w:rsid w:val="00800F72"/>
    <w:rsid w:val="0080762B"/>
    <w:rsid w:val="00811795"/>
    <w:rsid w:val="00813208"/>
    <w:rsid w:val="00814DF4"/>
    <w:rsid w:val="00815157"/>
    <w:rsid w:val="00832FAF"/>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0131"/>
    <w:rsid w:val="009425F4"/>
    <w:rsid w:val="00943BD8"/>
    <w:rsid w:val="00954B2C"/>
    <w:rsid w:val="00966C5C"/>
    <w:rsid w:val="009676A1"/>
    <w:rsid w:val="00973104"/>
    <w:rsid w:val="00983958"/>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AD7F0E"/>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27E5"/>
    <w:rsid w:val="00B9490F"/>
    <w:rsid w:val="00BA1ACD"/>
    <w:rsid w:val="00BD09F8"/>
    <w:rsid w:val="00BE356A"/>
    <w:rsid w:val="00C005B2"/>
    <w:rsid w:val="00C1565C"/>
    <w:rsid w:val="00C21E0F"/>
    <w:rsid w:val="00C362CA"/>
    <w:rsid w:val="00C37A99"/>
    <w:rsid w:val="00C772C1"/>
    <w:rsid w:val="00C8650B"/>
    <w:rsid w:val="00C93D22"/>
    <w:rsid w:val="00CA7176"/>
    <w:rsid w:val="00CA747D"/>
    <w:rsid w:val="00CB51D7"/>
    <w:rsid w:val="00CC75B0"/>
    <w:rsid w:val="00CD2773"/>
    <w:rsid w:val="00CD428F"/>
    <w:rsid w:val="00CE01BA"/>
    <w:rsid w:val="00CE143B"/>
    <w:rsid w:val="00CE3A91"/>
    <w:rsid w:val="00D07DBA"/>
    <w:rsid w:val="00D10F93"/>
    <w:rsid w:val="00D23C16"/>
    <w:rsid w:val="00D27003"/>
    <w:rsid w:val="00D324AD"/>
    <w:rsid w:val="00D9307A"/>
    <w:rsid w:val="00DB064D"/>
    <w:rsid w:val="00DB4322"/>
    <w:rsid w:val="00DD1D0C"/>
    <w:rsid w:val="00DE186D"/>
    <w:rsid w:val="00DE32DA"/>
    <w:rsid w:val="00E137DC"/>
    <w:rsid w:val="00E167C7"/>
    <w:rsid w:val="00E440CF"/>
    <w:rsid w:val="00E55B78"/>
    <w:rsid w:val="00E75582"/>
    <w:rsid w:val="00E76361"/>
    <w:rsid w:val="00E84020"/>
    <w:rsid w:val="00E90916"/>
    <w:rsid w:val="00EB4DFF"/>
    <w:rsid w:val="00EB7A80"/>
    <w:rsid w:val="00EC47F6"/>
    <w:rsid w:val="00EE6D6D"/>
    <w:rsid w:val="00EF08C9"/>
    <w:rsid w:val="00EF535E"/>
    <w:rsid w:val="00F15CF0"/>
    <w:rsid w:val="00F471F7"/>
    <w:rsid w:val="00F66032"/>
    <w:rsid w:val="00F81EAE"/>
    <w:rsid w:val="00F83B96"/>
    <w:rsid w:val="00F8441D"/>
    <w:rsid w:val="00F87C1E"/>
    <w:rsid w:val="00F958C2"/>
    <w:rsid w:val="00FA3F4A"/>
    <w:rsid w:val="00FA740E"/>
    <w:rsid w:val="00FB02FC"/>
    <w:rsid w:val="00FB1148"/>
    <w:rsid w:val="00FC06C7"/>
    <w:rsid w:val="00FD5DB4"/>
    <w:rsid w:val="00FD7FCC"/>
    <w:rsid w:val="00FE1724"/>
    <w:rsid w:val="00FE753C"/>
    <w:rsid w:val="00FF2346"/>
    <w:rsid w:val="01BE367D"/>
    <w:rsid w:val="0B4E4759"/>
    <w:rsid w:val="0B5F4340"/>
    <w:rsid w:val="19452CA1"/>
    <w:rsid w:val="33A627EE"/>
    <w:rsid w:val="397801D5"/>
    <w:rsid w:val="3FB06FFA"/>
    <w:rsid w:val="49896F8B"/>
    <w:rsid w:val="56190D1D"/>
    <w:rsid w:val="5A14484F"/>
    <w:rsid w:val="63747021"/>
    <w:rsid w:val="64EB1602"/>
    <w:rsid w:val="6BC566D3"/>
    <w:rsid w:val="75CA131A"/>
    <w:rsid w:val="7B775869"/>
    <w:rsid w:val="7C1D647C"/>
    <w:rsid w:val="7C61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4B210-05E1-4F35-8C85-B6DFCBE581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843</Words>
  <Characters>4806</Characters>
  <Lines>40</Lines>
  <Paragraphs>11</Paragraphs>
  <TotalTime>6</TotalTime>
  <ScaleCrop>false</ScaleCrop>
  <LinksUpToDate>false</LinksUpToDate>
  <CharactersWithSpaces>5638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2020-02-07T02:46:00Z</dcterms:created>
  <dc:creator>guest</dc:creator>
  <cp:lastModifiedBy>lenovo</cp:lastModifiedBy>
  <cp:lastPrinted>2019-02-18T02:45:00Z</cp:lastPrinted>
  <dcterms:modified xsi:type="dcterms:W3CDTF">2022-06-17T02:59:38Z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D18B035C60DB422DAA81750D87EE85F1</vt:lpwstr>
  </property>
</Properties>
</file>