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Times New Roman"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廊坊市广阳区工业和信息化局</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ind w:firstLine="1280" w:firstLineChars="400"/>
        <w:jc w:val="left"/>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Times New Roman" w:hAnsi="Times New Roman" w:eastAsia="仿宋_GB2312" w:cs="Times New Roman"/>
          <w:sz w:val="32"/>
          <w:szCs w:val="32"/>
        </w:rPr>
        <w:t>现将廊坊市广阳区工业和信息化局2021年部门预算公开如下：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宋体"/>
        </w:rPr>
      </w:pPr>
      <w:r>
        <w:rPr>
          <w:rFonts w:hint="eastAsia" w:ascii="Times New Roman" w:hAnsi="Times New Roman" w:eastAsia="楷体_GB2312" w:cs="Times New Roman"/>
          <w:b/>
          <w:sz w:val="32"/>
          <w:szCs w:val="32"/>
        </w:rPr>
        <w:t>部门职责：</w:t>
      </w:r>
    </w:p>
    <w:p>
      <w:pPr>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（一）办公室。</w:t>
      </w:r>
      <w:r>
        <w:rPr>
          <w:rFonts w:hint="eastAsia" w:ascii="Times New Roman" w:hAnsi="Times New Roman" w:eastAsia="仿宋_GB2312" w:cs="Times New Roman"/>
          <w:sz w:val="32"/>
          <w:szCs w:val="32"/>
        </w:rPr>
        <w:t>协调局机关政务工作；负责文电、会务、档案等机关日常运转工作；承担信息、安全保密、督查督办、信访、安全、后勤保障等工作；承办人大代表建议、政协提案；承担政务公开、宣传报道、新闻发布等工作；负责与民主党派对口联系。</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局机关机构编制、人事管理、队伍建设等工作；组织开展局机关培训教育工作;负责局机关离退休干部工作；负责局机关的党群工作和党风廉政建设工作。负责机关共青团、妇女工作和机关工会工作。负责机关规范性文件以及重大决策</w:t>
      </w:r>
      <w:bookmarkStart w:id="4" w:name="_GoBack"/>
      <w:bookmarkEnd w:id="4"/>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合法性审核和备案工作；依法对工业项目招标投标活动实施监督；承担重要文件和综合性文稿起草工作。负责机关财务、资产管理等相关工作，组织实施内部审计、专项资金检查和预算绩效评价。</w:t>
      </w:r>
    </w:p>
    <w:p>
      <w:pPr>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（二）综合业务股。</w:t>
      </w:r>
      <w:r>
        <w:rPr>
          <w:rFonts w:hint="eastAsia" w:ascii="Times New Roman" w:hAnsi="Times New Roman" w:eastAsia="仿宋_GB2312" w:cs="Times New Roman"/>
          <w:sz w:val="32"/>
          <w:szCs w:val="32"/>
        </w:rPr>
        <w:t>组织拟订全区工业发展战略、规划；负责组织全区工业企业技术改造投资项目核准、备案工作；推进全区现代产业体系建设;提出全区工业固定资产投资规模和方向（含利用外资和境外投资）、国家和省、市、区级财政性资金安排的建议，经区政府批准后组织实施；拟订和修订全区产业结构调整目录的相关内容，参与工业投资项目的审核。指导全区工业技改引导股权投资基金管理工作。</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监测分析工业日常运行,统计并发布相关信息,进行预测预警和信息引导;协调解决行业运行发展中的有关问题；负责全区工业用电运行监测协调，指导工业用电需求侧管理工作；</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全区民营经济的宏观指导、综合协调，会同有关部门拟订促进民营经济的发展规划并组织实施，协调解决相关问题，推动中小企业聚集发展；提出中小企业发展专项资金年度使用计划建议，指导区中小企业发展基金管理工作；负责中小企业统计网络建设、运行监测和统计分析；负责指导中小企业促进工作，推进中小企业公共服务体系建设；指导中小企业人才队伍建设，有计划组织实施中小企业管理人员培训；支持中小企业创业创新，推进中小企业“专精特新”发展。提出中小微企业融资建议，拓宽中小微企业融资渠道。</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拟订并组织实施全区工业的能源节约和资源综合利用；促进政策，组织和指导工业节能装备（产品）制造、企业节能管理；组织协调相关重大示范工程和新产品、新技术、新设备、新材料的推广应用；研究制定并组织实施工业“三废”资源的综合利用政策及项目推广；指导推进工业绿色发展和绿色制造工作。拟订并组织实施原材料工业、装备工业、消费品工业发展战略、规划；提出原材料工业、装备工业、消费品工业结构调整目标、产业布局和重点技术改造项目贴息资金意见；协调发展中的重大问题和重大事项；负责组织申报国家和省市工业相关专项；组织实施首台（套）重大技术装备应用工作；推进智能制造发展；组织实施相关行业的技术规范和标准；承担全区钢铁、有色、黄金、稀土、石化（不含炼油）、化工（不含煤制燃料和燃料乙醇）、建材等行业管理工作；承担轻工、纺织、食品、医药、家电等行业管理工作；按职责分工承担区新能源汽车发展和推广应用、药品储备管理、减轻企业负担、淘汰落后产能等相关工作，承担除食盐以外的其他盐业行政管理工作。</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导全区工业加强安全生产管理,指导工业安全生产标准体系建设和科技成果推广；参与重特大安全生产事故的调查、处理；负责工业安全生产宣传教育工作；负责拟订民爆行业生产流通的发展规划；负责民爆行业生产流通的监督管理和安全生产工作；承担履行禁止化学武器公约日常工作。</w:t>
      </w:r>
    </w:p>
    <w:p>
      <w:pPr>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（三）科技电子信息产业股。</w:t>
      </w:r>
      <w:r>
        <w:rPr>
          <w:rFonts w:hint="eastAsia" w:ascii="Times New Roman" w:hAnsi="Times New Roman" w:eastAsia="仿宋_GB2312" w:cs="Times New Roman"/>
          <w:sz w:val="32"/>
          <w:szCs w:val="32"/>
        </w:rPr>
        <w:t>承担电子信息产品制造业行业管理工作；指导软件业发展；研究拟订电子信息产品制造业、软件和信息服务业发展战略、规划和重点专项规划；编制行业投资指南，承办需国家和省、市平衡建设条件的电子信息产品制造业、软件与信息服务业固定资产投资前期项目（含利用外资项目）的报批工作;提出电子信息产品制造业、软件与信息服务业专项资金安排建议；组织实施信息技术服务、系统集成及服务的技术规范和标准;指导、协调信息安全技术开发。</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实施国家工业行业技术规范和标准,指导行业质量管理工作，推进实施有关国家和省、市、区科技重大专项,推动技术创新和产学研相结合；协调指导与制造业相关的生产性服务业发展，推进制造业商业模式创新和业态创新。承担促进全区工业设计发展相关工作，负责拟订并组织实施工业设计发展规划及相关政策措施；提出工业文化遗产保护与利用、工业旅游的政策建议，促进工业文化发展。</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统筹推进全区工业领域信息化发展；研究拟订信息化和工业化融合发展、规划、标准和政策措施；指导推进工业领域数字化、网络化、智能化；推动建立信息化和工业化融合绩效评估制度；统筹指导工业领域信息安全；研究拟订工业信息安全发展战略、规划、政策和标准；指导做好重要工业领域工控系统信息安全保障工作。</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担对外经济交流与合作、技术引进有关事宜的综合协调工作;指导和推动工业企业、民营企业开展国际化经营和海外资；按规定协调解决外商投资工业企业运行过程中的有关问题；组织企业参加各类展洽会；负责机关外事工作。</w:t>
      </w:r>
    </w:p>
    <w:p>
      <w:pPr>
        <w:autoSpaceDE w:val="0"/>
        <w:autoSpaceDN w:val="0"/>
        <w:adjustRightInd w:val="0"/>
        <w:spacing w:line="584" w:lineRule="exact"/>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10"/>
        <w:tblW w:w="10146" w:type="dxa"/>
        <w:tblInd w:w="8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46"/>
        <w:gridCol w:w="1770"/>
        <w:gridCol w:w="1530"/>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blHeader/>
        </w:trPr>
        <w:tc>
          <w:tcPr>
            <w:tcW w:w="4146" w:type="dxa"/>
            <w:vMerge w:val="restart"/>
            <w:vAlign w:val="center"/>
          </w:tcPr>
          <w:p>
            <w:pPr>
              <w:spacing w:line="584" w:lineRule="exact"/>
              <w:jc w:val="center"/>
              <w:rPr>
                <w:rFonts w:ascii="Times New Roman" w:hAnsi="Times New Roman" w:eastAsia="Times New Roman" w:cs="Times New Roman"/>
                <w:b/>
                <w:szCs w:val="24"/>
              </w:rPr>
            </w:pPr>
            <w:r>
              <w:rPr>
                <w:rFonts w:hint="eastAsia" w:ascii="宋体" w:hAnsi="宋体" w:cs="宋体"/>
                <w:b/>
                <w:szCs w:val="24"/>
              </w:rPr>
              <w:t>单位名称</w:t>
            </w:r>
          </w:p>
        </w:tc>
        <w:tc>
          <w:tcPr>
            <w:tcW w:w="1770" w:type="dxa"/>
            <w:vMerge w:val="restart"/>
            <w:vAlign w:val="center"/>
          </w:tcPr>
          <w:p>
            <w:pPr>
              <w:spacing w:line="584" w:lineRule="exact"/>
              <w:jc w:val="center"/>
              <w:rPr>
                <w:rFonts w:ascii="Times New Roman" w:hAnsi="Times New Roman" w:eastAsia="Times New Roman" w:cs="Times New Roman"/>
                <w:b/>
                <w:szCs w:val="24"/>
              </w:rPr>
            </w:pPr>
            <w:r>
              <w:rPr>
                <w:rFonts w:hint="eastAsia" w:ascii="宋体" w:hAnsi="宋体" w:cs="宋体"/>
                <w:b/>
                <w:szCs w:val="24"/>
              </w:rPr>
              <w:t>单位性质</w:t>
            </w:r>
          </w:p>
        </w:tc>
        <w:tc>
          <w:tcPr>
            <w:tcW w:w="1530" w:type="dxa"/>
            <w:vMerge w:val="restart"/>
            <w:vAlign w:val="center"/>
          </w:tcPr>
          <w:p>
            <w:pPr>
              <w:spacing w:line="584" w:lineRule="exact"/>
              <w:jc w:val="center"/>
              <w:rPr>
                <w:rFonts w:ascii="Times New Roman" w:hAnsi="Times New Roman" w:eastAsia="Times New Roman" w:cs="Times New Roman"/>
                <w:b/>
                <w:szCs w:val="24"/>
              </w:rPr>
            </w:pPr>
            <w:r>
              <w:rPr>
                <w:rFonts w:hint="eastAsia" w:ascii="宋体" w:hAnsi="宋体" w:cs="宋体"/>
                <w:b/>
                <w:szCs w:val="24"/>
              </w:rPr>
              <w:t>单位规格</w:t>
            </w:r>
          </w:p>
        </w:tc>
        <w:tc>
          <w:tcPr>
            <w:tcW w:w="2700" w:type="dxa"/>
            <w:vMerge w:val="restart"/>
            <w:vAlign w:val="center"/>
          </w:tcPr>
          <w:p>
            <w:pPr>
              <w:spacing w:line="584" w:lineRule="exact"/>
              <w:jc w:val="center"/>
              <w:rPr>
                <w:rFonts w:ascii="Times New Roman" w:hAnsi="Times New Roman" w:eastAsia="Times New Roman" w:cs="Times New Roman"/>
                <w:b/>
                <w:szCs w:val="24"/>
              </w:rPr>
            </w:pPr>
            <w:r>
              <w:rPr>
                <w:rFonts w:hint="eastAsia" w:ascii="宋体" w:hAnsi="宋体" w:cs="宋体"/>
                <w:b/>
                <w:szCs w:val="24"/>
              </w:rPr>
              <w:t>经费保障形式</w:t>
            </w:r>
          </w:p>
          <w:p>
            <w:pPr>
              <w:spacing w:line="584" w:lineRule="exact"/>
              <w:jc w:val="center"/>
              <w:rPr>
                <w:rFonts w:ascii="Times New Roman" w:hAnsi="Times New Roman" w:eastAsia="Times New Roman"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tblHeader/>
        </w:trPr>
        <w:tc>
          <w:tcPr>
            <w:tcW w:w="4146" w:type="dxa"/>
            <w:vMerge w:val="continue"/>
            <w:vAlign w:val="center"/>
          </w:tcPr>
          <w:p/>
        </w:tc>
        <w:tc>
          <w:tcPr>
            <w:tcW w:w="1770" w:type="dxa"/>
            <w:vMerge w:val="continue"/>
            <w:vAlign w:val="center"/>
          </w:tcPr>
          <w:p/>
        </w:tc>
        <w:tc>
          <w:tcPr>
            <w:tcW w:w="1530" w:type="dxa"/>
            <w:vMerge w:val="continue"/>
            <w:vAlign w:val="center"/>
          </w:tcPr>
          <w:p/>
        </w:tc>
        <w:tc>
          <w:tcPr>
            <w:tcW w:w="2700"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trPr>
        <w:tc>
          <w:tcPr>
            <w:tcW w:w="4146" w:type="dxa"/>
            <w:vAlign w:val="center"/>
          </w:tcPr>
          <w:p>
            <w:pPr>
              <w:spacing w:line="584" w:lineRule="exact"/>
              <w:jc w:val="center"/>
              <w:rPr>
                <w:rFonts w:ascii="Times New Roman" w:hAnsi="Times New Roman" w:cs="Times New Roman"/>
                <w:b/>
              </w:rPr>
            </w:pPr>
            <w:r>
              <w:rPr>
                <w:rFonts w:hint="eastAsia" w:ascii="宋体" w:hAnsi="宋体" w:cs="宋体"/>
                <w:b/>
              </w:rPr>
              <w:t>廊坊市广阳区工业和信息化局</w:t>
            </w:r>
          </w:p>
        </w:tc>
        <w:tc>
          <w:tcPr>
            <w:tcW w:w="1770" w:type="dxa"/>
            <w:vAlign w:val="center"/>
          </w:tcPr>
          <w:p>
            <w:pPr>
              <w:spacing w:line="584" w:lineRule="exact"/>
              <w:jc w:val="center"/>
              <w:rPr>
                <w:rFonts w:ascii="Times New Roman" w:hAnsi="Times New Roman" w:eastAsia="Times New Roman" w:cs="Times New Roman"/>
                <w:b/>
              </w:rPr>
            </w:pPr>
            <w:r>
              <w:rPr>
                <w:rFonts w:hint="eastAsia" w:ascii="宋体" w:hAnsi="宋体" w:cs="宋体"/>
                <w:b/>
              </w:rPr>
              <w:t>行政</w:t>
            </w:r>
          </w:p>
        </w:tc>
        <w:tc>
          <w:tcPr>
            <w:tcW w:w="1530" w:type="dxa"/>
            <w:vAlign w:val="center"/>
          </w:tcPr>
          <w:p>
            <w:pPr>
              <w:spacing w:line="584" w:lineRule="exact"/>
              <w:jc w:val="center"/>
              <w:rPr>
                <w:rFonts w:ascii="Times New Roman" w:hAnsi="Times New Roman" w:eastAsia="Times New Roman" w:cs="Times New Roman"/>
                <w:b/>
              </w:rPr>
            </w:pPr>
            <w:r>
              <w:rPr>
                <w:rFonts w:hint="eastAsia" w:ascii="宋体" w:hAnsi="宋体" w:cs="宋体"/>
                <w:b/>
              </w:rPr>
              <w:t>正科级</w:t>
            </w:r>
          </w:p>
        </w:tc>
        <w:tc>
          <w:tcPr>
            <w:tcW w:w="2700" w:type="dxa"/>
            <w:vAlign w:val="center"/>
          </w:tcPr>
          <w:p>
            <w:pPr>
              <w:spacing w:line="584" w:lineRule="exact"/>
              <w:jc w:val="center"/>
              <w:rPr>
                <w:rFonts w:ascii="Times New Roman" w:hAnsi="Times New Roman" w:eastAsia="Times New Roman" w:cs="Times New Roman"/>
                <w:b/>
              </w:rPr>
            </w:pPr>
            <w:r>
              <w:rPr>
                <w:rFonts w:hint="eastAsia" w:ascii="宋体" w:hAnsi="宋体" w:cs="宋体"/>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trPr>
        <w:tc>
          <w:tcPr>
            <w:tcW w:w="4146" w:type="dxa"/>
            <w:vAlign w:val="center"/>
          </w:tcPr>
          <w:p>
            <w:pPr>
              <w:spacing w:line="584" w:lineRule="exact"/>
              <w:jc w:val="left"/>
              <w:rPr>
                <w:rFonts w:ascii="Times New Roman" w:hAnsi="Times New Roman" w:eastAsia="Times New Roman" w:cs="Times New Roman"/>
              </w:rPr>
            </w:pPr>
          </w:p>
        </w:tc>
        <w:tc>
          <w:tcPr>
            <w:tcW w:w="1770" w:type="dxa"/>
            <w:vAlign w:val="center"/>
          </w:tcPr>
          <w:p>
            <w:pPr>
              <w:spacing w:line="584" w:lineRule="exact"/>
              <w:jc w:val="center"/>
              <w:rPr>
                <w:rFonts w:ascii="Times New Roman" w:hAnsi="Times New Roman" w:eastAsia="Times New Roman" w:cs="Times New Roman"/>
              </w:rPr>
            </w:pPr>
          </w:p>
        </w:tc>
        <w:tc>
          <w:tcPr>
            <w:tcW w:w="1530" w:type="dxa"/>
            <w:vAlign w:val="center"/>
          </w:tcPr>
          <w:p>
            <w:pPr>
              <w:spacing w:line="584" w:lineRule="exact"/>
              <w:jc w:val="center"/>
              <w:rPr>
                <w:rFonts w:ascii="Times New Roman" w:hAnsi="Times New Roman" w:eastAsia="Times New Roman" w:cs="Times New Roman"/>
              </w:rPr>
            </w:pPr>
          </w:p>
        </w:tc>
        <w:tc>
          <w:tcPr>
            <w:tcW w:w="2700" w:type="dxa"/>
            <w:vAlign w:val="center"/>
          </w:tcPr>
          <w:p>
            <w:pPr>
              <w:spacing w:line="584" w:lineRule="exact"/>
              <w:jc w:val="center"/>
              <w:rPr>
                <w:rFonts w:ascii="Times New Roman" w:hAnsi="Times New Roman" w:eastAsia="Times New Roman" w:cs="Times New Roman"/>
              </w:rPr>
            </w:pP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按照预算管理有关规定，目前我区部门预算的编制实行综合预算制度，即全部收入和支出都反映在预算中。廊坊市广阳区工业和信息化局的收支包含在部门预算中。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反映本部门当年全部收入。2021年预算收入207.35万元，其中：一般公共预算收入207.35万元，基金预算收入0万元，财政专户核拨收入0万元，其他来源收入0万元，上年结转0万元。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广阳区2021年度部门预算中支出预算的总体情况。2021年支出预算207.35元，其中基本支出207.35万元，包括人员类项目经费192.76万元和运转类公用项目经费14.59万元；运转类其他及特定目标类项目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2021年预算收支安排207.35万元，较2020年预算减少95.45万元，其中：基本支出减少35.45万元，主要为人员调整；项目支出减少60万元，主要为项目调整。</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2021年，我机关运行经费共计安排14.59万元，主要用于广阳区工信局办公区的日常维修、办公用房水电费、办公用房取暖费、办公用房物业管理费等日常运行支出。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我单位财政拨款“三公”经费预算安排2.19万元。其中，因公出国（境）费0万元；公务用车购置及运维费2.19万元（其中：公务用车购置费为0万元，公务用车运维费2.19万元)；公务接待费0万元。与2020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（一）总体绩效目标</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1.继续开展领导包联企业行动，进一步优化营商环境。</w:t>
      </w:r>
    </w:p>
    <w:p>
      <w:pPr>
        <w:pStyle w:val="1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通过定期走访企业，及时了解企业生产生活中存在的问题，尽快帮助企业解决发展中的困难，探索企业加快发展的路径，促进企业创新发展，实现转型升级。</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2.开展企业家素质提升培训工程，提高企业管理水平</w:t>
      </w:r>
    </w:p>
    <w:p>
      <w:pPr>
        <w:pStyle w:val="18"/>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采取“请进来，走出去”的形式，组织企业经营管理者进高校培训考察活动，感知国内国际最新经济形势和前沿理念，提升企业家经营理念，从而推动我区企业先进化、国际化发展。</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3.认真开展企业巡诊，落实企业“一厂一策”制度。</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聘请经济专家，深入企业开展问诊活动，针对企业不同情况，找准症结，制定切实可行的发展路径，全方位、多角度引导企业上档升级，做大做强，提高我区企业整体实力。</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4.深入企业宣传惠企政策，积极争取上级资金扶持。</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深入企业搞好调研，及时宣传国家省市惠企政策，鼓励企业技术创新，升级改造，积极帮助企业申报省市扶持项目，推动企业发展壮大。</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5.持续推动“大智移云”产业发展</w:t>
      </w:r>
    </w:p>
    <w:p>
      <w:pPr>
        <w:pStyle w:val="18"/>
        <w:ind w:left="420" w:leftChars="200"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打造智能制造、电子商务、文化创意等现代产业集群,着力打造经济发展新动能。推动“互联网+”领域的重点建设,继续支持辖区电子信息产业龙头企业在我区加快发展,力促广阳区工信、科技、人社、教育等部门与相关企业、相关高校联合打造的广阳区软件与信息化产业人才培育基地项目尽快落地。组织企业积极参加“廊坊企业进高校”及国家、省市部门组织的培训学习会议，拓宽企业家视野。</w:t>
      </w:r>
      <w:bookmarkStart w:id="0" w:name="_Toc67212910"/>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bookmarkEnd w:id="0"/>
      <w:r>
        <w:rPr>
          <w:rFonts w:hint="eastAsia" w:ascii="楷体_GB2312" w:eastAsia="楷体_GB2312" w:cs="Times New Roman"/>
          <w:b/>
          <w:sz w:val="32"/>
          <w:szCs w:val="32"/>
        </w:rPr>
        <w:fldChar w:fldCharType="begin"/>
      </w:r>
      <w:r>
        <w:rPr>
          <w:rFonts w:hint="eastAsia" w:ascii="楷体_GB2312" w:eastAsia="楷体_GB2312" w:cs="Times New Roman"/>
          <w:b/>
          <w:sz w:val="32"/>
          <w:szCs w:val="32"/>
        </w:rPr>
        <w:instrText xml:space="preserve"> TC 分项绩效目标 \f A \l 1 </w:instrText>
      </w:r>
      <w:r>
        <w:rPr>
          <w:rFonts w:hint="eastAsia" w:ascii="楷体_GB2312" w:eastAsia="楷体_GB2312" w:cs="Times New Roman"/>
          <w:b/>
          <w:sz w:val="32"/>
          <w:szCs w:val="32"/>
        </w:rPr>
        <w:fldChar w:fldCharType="end"/>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1.大力推进项目建设。</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抓住京津冀协同发展的战略机遇，紧紧围绕工业实体经济上项目、育产业，大力抓好高端装备制造、电子信息等战略性新兴产业项目。全面落实领导联系重点项目制度，加强跟踪调度，强化服务管理，积极协调解决项目建设过程中的各种困难，督促项目单位加快建设进度，力争保证项目快开工、快投产、快验收、快见效。 </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2.做大做强优势产业。</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电子信息、装备制造、生物医药、现代物流、农副产品深加工等主导产业为重点发展目标，积极引项争资，提供优越发展平台。积极落实好国家省市支持工业企业发展的各项优惠政策，在技术创新、品牌建设等方面予以重奖，大力支持企业发展。</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3.加强工业经济运行调控。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进一步强化工业经济形势分析和预测预警工作，及时掌握了解全区工业发展现状和经济运行态势，指导全区经济形势走势。扎实做好服务保障工作，坚持每季度召开工业经济运行分析会，提高工业经济运行调节的及时性和有效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4.大力培育规上企业。</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按照“个转企，小升规”的思路，大力培育规上企业，抓好规上企业入统工作。以广阳经开区为载体，积极承接产业转移，重点孵化电子信息、智能制造、生物医药类成长型小微企业。</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5.促转产、抓升级。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大力引进高精尖的大项目、好项目，千方百计增强工业实体经济的总体实力；积极推动企业技术创新，促进企业转型升级。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6.强化措施，落实责任。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认真开展好领导包联企业行动，深入企业调研，帮助企业解决实际困难。提高工作质量和办事效率，切实解决不作为、慢作为、乱作为等问题，进一步减轻企业负担，推动企业更好更快发展。</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7.电子信息产业发展目标和路径</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重点培养企业发展方向。到2025年，在农业、医疗、电力、家具、建材、装备制造等行业ERP软件、工业软件、社会管理应用软件领域培育10家以上在国内具有核心竞争力的应用软件企业。在数字内容领域，游戏、动漫、数字出版等细分领域形成具有行业顶尖竞争力的技术和产品，数字内容产业链趋于完善。</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发展路径。大力扶持行业软件与信息技术服务嵌入式软件产品。立足我区现有机械装备工业基础，加速传统产业改造提升，推动软件与自动化技术、制造技术、管理技术的相互渗透，加大软件在工业产品设计制造、企业管理信息化、生产过程控制智能化等领域的应用，重点加强在网络通信、消费电子、金融、交通、医疗、工业装备、能源、环保、物流、安防、汽车等领域的嵌入式软件产品开发，支持电子产品制造业的升级，进而推动工业软件应用与云计算、物联网、5G技术应用、移动互联网发展相结合。鼓励在市政服务、仓储物流、公共事业等领域研发和应用基于云计算、物联网的应用解决方案，提升社会智能化水平。</w:t>
      </w:r>
    </w:p>
    <w:p>
      <w:pPr>
        <w:spacing w:line="500" w:lineRule="exact"/>
        <w:ind w:firstLine="640" w:firstLineChars="200"/>
        <w:jc w:val="left"/>
        <w:rPr>
          <w:rFonts w:ascii="楷体_GB2312" w:eastAsia="楷体_GB2312" w:cs="Times New Roman"/>
          <w:b/>
          <w:sz w:val="32"/>
          <w:szCs w:val="32"/>
          <w:highlight w:val="red"/>
        </w:rPr>
      </w:pPr>
      <w:r>
        <w:rPr>
          <w:rFonts w:hint="eastAsia" w:ascii="Times New Roman" w:hAnsi="Times New Roman" w:eastAsia="仿宋_GB2312" w:cs="Times New Roman"/>
          <w:sz w:val="32"/>
          <w:szCs w:val="32"/>
        </w:rPr>
        <w:t>（3）加强企业项目建设的指导服务，争取上级政策支持。一是建立辖区企业项目库。对有发展前景，符合国家产业政策的项目纳入项目库，掌握项目建设动态。二是及时调研走访，进行指导服务，使项目更加符合国家政策导向和要求。三是指导企业编写项目申报书，申请国家资金支持。</w:t>
      </w:r>
      <w:bookmarkStart w:id="1" w:name="_Toc67212911"/>
      <w:r>
        <w:rPr>
          <w:rFonts w:hint="eastAsia" w:ascii="Times New Roman" w:hAnsi="Times New Roman" w:eastAsia="仿宋_GB2312" w:cs="Times New Roman"/>
          <w:sz w:val="32"/>
          <w:szCs w:val="32"/>
        </w:rPr>
        <w:t xml:space="preserve">              </w:t>
      </w:r>
      <w:bookmarkEnd w:id="1"/>
      <w:r>
        <w:rPr>
          <w:rFonts w:hint="eastAsia" w:ascii="楷体_GB2312" w:eastAsia="楷体_GB2312" w:cs="Times New Roman"/>
          <w:b/>
          <w:sz w:val="32"/>
          <w:szCs w:val="32"/>
          <w:highlight w:val="red"/>
        </w:rPr>
        <w:fldChar w:fldCharType="begin"/>
      </w:r>
      <w:r>
        <w:rPr>
          <w:rFonts w:hint="eastAsia" w:ascii="楷体_GB2312" w:eastAsia="楷体_GB2312" w:cs="Times New Roman"/>
          <w:b/>
          <w:sz w:val="32"/>
          <w:szCs w:val="32"/>
          <w:highlight w:val="red"/>
        </w:rPr>
        <w:instrText xml:space="preserve"> TC 工作保障措施 \f A \l 1 </w:instrText>
      </w:r>
      <w:r>
        <w:rPr>
          <w:rFonts w:hint="eastAsia" w:ascii="楷体_GB2312" w:eastAsia="楷体_GB2312" w:cs="Times New Roman"/>
          <w:b/>
          <w:sz w:val="32"/>
          <w:szCs w:val="32"/>
          <w:highlight w:val="red"/>
        </w:rPr>
        <w:fldChar w:fldCharType="end"/>
      </w:r>
    </w:p>
    <w:p>
      <w:pPr>
        <w:spacing w:line="560" w:lineRule="exact"/>
        <w:ind w:firstLine="643" w:firstLineChars="200"/>
        <w:rPr>
          <w:rFonts w:ascii="仿宋" w:hAnsi="仿宋" w:eastAsia="仿宋" w:cs="仿宋"/>
          <w:sz w:val="32"/>
          <w:szCs w:val="32"/>
        </w:rPr>
      </w:pPr>
      <w:r>
        <w:rPr>
          <w:rFonts w:hint="eastAsia" w:ascii="楷体_GB2312" w:eastAsia="楷体_GB2312" w:cs="Times New Roman"/>
          <w:b/>
          <w:sz w:val="32"/>
          <w:szCs w:val="32"/>
        </w:rPr>
        <w:t>（三）工作保障措施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1.积极开展“双创双服”工作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细化工作机制，完善工作台账。为保证活动顺利开展，区工信局牵头制定了《2020年广阳区领导包联重点企业方案》，区领导对辖区内的38家规上工业企业全部分包到位，为进一步做区领导包联服务企业工作，区工信局成立了区领导包联重点企业工作专班。局长刘铭同志为组长，其他班子成员为副组长，对应科室负责人为成员的工作专班，对区领导包联的重点企业进行全程跟踪服务，及时了解企业发展中遇到的困难和问题。充分发挥责任部门的工作职责，加强与区领导包联企业的协调配合，帮助企业解决困难，统计汇总区领导包联走访企业情况，建立工作台账，确保包联取得实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充分利用政务通服务平台，为企业提供高效便捷的服务。充分发挥政企服务直通信息化平台作用，鼓励企业及时提出诉求，线下线上问题齐头并进，统筹推进“双创双服”活动各项工作顺利开展。鼓励、引导企业运用平台提交问题的同时，积极宣传平台和政策信息，真正发挥了平台的“桥梁”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建立机关干部包联企业联络服务制度，推进企业复工复产。建立了广阳区机关干部包联企业联络服务总协调人制度，全区各乡镇、街道确定一名包联工作组协调人，协调所在乡镇、街道的各区直包联工作组的工作，协助所在乡镇、街道统筹做好对企业的“四帮”工作。包联服务组每天汇总收集企业复工复产问题，及时协调解决，坚持以检查促落实，以指导促提升原则，广阳区各个复工企业能够做到执行落实疫情防控措施到位，包联服务组执行了“一企一策”服务原则，有效推进了企业复工复产。</w:t>
      </w:r>
    </w:p>
    <w:p>
      <w:pPr>
        <w:spacing w:line="560" w:lineRule="exact"/>
        <w:ind w:firstLine="627" w:firstLineChars="196"/>
        <w:rPr>
          <w:rFonts w:ascii="仿宋" w:hAnsi="仿宋" w:eastAsia="仿宋" w:cs="仿宋"/>
          <w:sz w:val="32"/>
          <w:szCs w:val="32"/>
        </w:rPr>
      </w:pPr>
      <w:r>
        <w:rPr>
          <w:rFonts w:hint="eastAsia" w:ascii="仿宋" w:hAnsi="仿宋" w:eastAsia="仿宋" w:cs="仿宋"/>
          <w:sz w:val="32"/>
          <w:szCs w:val="32"/>
        </w:rPr>
        <w:t>（4）送政策入企业，助力企业复产达效。充分利用广阳工信公众号、入企走访调研等多种形式，及时宣传国家、省、市、区出台的应对疫情、支持企业共渡难关的政策措施，大力开展“送政策入企”活动，促进企业平稳快速复工复产。发放《扶持工业和民营经济高质量发展政策措施汇编》、《国家、省、市、应对疫情支持政策汇编》等政策汇编到每一个复工企业，全面扶持企业渡过难关，切实解决企业发展面临的难题。</w:t>
      </w:r>
    </w:p>
    <w:p>
      <w:pPr>
        <w:spacing w:line="560" w:lineRule="exact"/>
        <w:ind w:firstLine="627" w:firstLineChars="196"/>
        <w:rPr>
          <w:rFonts w:ascii="仿宋" w:hAnsi="仿宋" w:eastAsia="仿宋" w:cs="仿宋"/>
          <w:sz w:val="32"/>
          <w:szCs w:val="32"/>
        </w:rPr>
      </w:pPr>
      <w:r>
        <w:rPr>
          <w:rFonts w:hint="eastAsia" w:ascii="仿宋" w:hAnsi="仿宋" w:eastAsia="仿宋" w:cs="仿宋"/>
          <w:sz w:val="32"/>
          <w:szCs w:val="32"/>
        </w:rPr>
        <w:t>（5）开展“融资对接服务”专项行动，为企业解决资金难题。3月17日，按照区政府安排部署，区工信局会同区金融办在碧海宾馆大会议室组织召开疫情期间首场政银企对接会。建行、农行、工行等10家驻广阳区金融机构负责人、16家规上工业企业代表及区工信局、区金融办主要负责同志参加会议。政银企对接会后，与会的10家银行与16家企业进行了充分对接。4月23日，区工信局协助政府办组织在九州镇召开政银企对接会（九州专场）。会上共提供各类金融产品36款，帮助企业解决融资难问题，加快推进企业复工达产。</w:t>
      </w:r>
    </w:p>
    <w:p>
      <w:pPr>
        <w:spacing w:line="560" w:lineRule="exact"/>
        <w:ind w:firstLine="640" w:firstLineChars="200"/>
        <w:rPr>
          <w:rFonts w:ascii="仿宋" w:hAnsi="仿宋" w:eastAsia="仿宋" w:cs="仿宋"/>
        </w:rPr>
      </w:pPr>
      <w:r>
        <w:rPr>
          <w:rFonts w:hint="eastAsia" w:ascii="仿宋" w:hAnsi="仿宋" w:eastAsia="仿宋" w:cs="仿宋"/>
          <w:sz w:val="32"/>
          <w:szCs w:val="32"/>
        </w:rPr>
        <w:t>（6）大力推广政金企平台，充分发挥平台作用，破解企业资金难题。</w:t>
      </w:r>
      <w:r>
        <w:rPr>
          <w:rFonts w:hint="eastAsia" w:ascii="仿宋" w:hAnsi="仿宋" w:eastAsia="仿宋" w:cs="仿宋"/>
          <w:color w:val="000000"/>
          <w:sz w:val="32"/>
          <w:szCs w:val="32"/>
        </w:rPr>
        <w:t>8月12日广阳政金企服务平台正式上线运行，企业在平台上随时发布资金需求信息，金融机构第一时间推送金融产品，实现了企业与银行的无缝对接。我们大力推广政金企平台，充分发挥平台作用，为企业融资提供方便快捷高效的服务，助推企业加快发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组织企业参加网络培训，大力宣传惠企政策。为有效应对疫情冲击，组织开展我辖区内工业企业视频培训暨“政策面对面”解读活动。助力企业复工复产，省工信厅、省税务局、省财政厅、省市场监督管理局围绕相关会企政策扶持举措等召开网络培训会，自4月20日至6月30日每周开展一期，有不同的培训内容，我局积极组织企业开展线上观看，参与互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开展工业问诊活动。发挥志晟、智恒机器人等“工业诊所”作用，深入京南食品、东方富达、永旺机械、北方天宇等规上企业把脉问诊，分析企业制约发展的瓶颈，帮助企业转型升级，探索企业发展路径，宣传惠企政策，积极为企业申报省市级资金扶持。</w:t>
      </w:r>
    </w:p>
    <w:p>
      <w:pPr>
        <w:spacing w:line="560" w:lineRule="exact"/>
        <w:ind w:firstLine="640" w:firstLineChars="200"/>
        <w:rPr>
          <w:rFonts w:ascii="仿宋" w:hAnsi="仿宋" w:eastAsia="仿宋" w:cs="仿宋"/>
        </w:rPr>
      </w:pPr>
      <w:r>
        <w:rPr>
          <w:rFonts w:hint="eastAsia" w:ascii="仿宋" w:hAnsi="仿宋" w:eastAsia="仿宋" w:cs="仿宋"/>
          <w:sz w:val="32"/>
          <w:szCs w:val="32"/>
        </w:rPr>
        <w:t>（9）组织政府部门联席会议，集中解决企业困难。落实“六保六稳”精神。8月20日，区政府陶俊强区长组织召开广阳区“六稳六保”座谈会。邀请农标普瑞纳、东方富达、中保绿农作物、凯通混凝土等26家规模以上工业企业负责人，以及农业银行、廊坊银行2家银行机构负责人，共同商讨、研究企业经营发展形势，推动企业尽快摆脱疫情带来的不利影响，实实在在地帮助企业解决用工难、用钱难、运输难、上下游企业打通关节难等诸多问题，把脉开方拿药，使企业尽快步入良好循环轨道，为全区经济又快又好发展积极建言献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2.加快推进电子信息产业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指导电子信息行业企业项目入库。为使企业获得更多国家专项资金支持，区工信局先期谋划，未雨绸缪，对全区企业项目建设情况进行摸排，共摸排汇总了具有推广价值，前景发展广阔的拟建、在建项目12个，全部纳入项目库，并上报省市工信部门备案。力求项目建设过程中符合国家产业政策要求，达到精准申报项目，获取更多上级资金支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（2）加快推进新一代信息技术项目。2020年，区工信局组织辖区企业申报了省新一代信息技术典型示范项目。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争创省级信息消费试点城市，培育信息消费新动能。2020年，为贯彻落实省《关于进一步扩大和升级信息消费持续释放内需潜力的实施方案》，争创省级信息消费试点城市，培育信息消费新动能，按照廊坊市工信局关于征集信息消费示范项目的通知（廊工信明传〔2020〕28号）要求，我有亿创未来（廊坊）科技发展有限公司、廊坊市乐聪网络科技有限公司、廊坊市履超网络科技公司等五家公司申报了省工信厅2020年新型信息消费示范项目，争创省级信息消费试点城市，培育信息消费新动能</w:t>
      </w:r>
    </w:p>
    <w:p>
      <w:pPr>
        <w:spacing w:line="560" w:lineRule="exact"/>
        <w:ind w:firstLine="640" w:firstLineChars="200"/>
        <w:rPr>
          <w:rFonts w:ascii="仿宋" w:hAnsi="仿宋" w:eastAsia="仿宋" w:cs="仿宋"/>
        </w:rPr>
      </w:pPr>
      <w:r>
        <w:rPr>
          <w:rFonts w:hint="eastAsia" w:ascii="仿宋" w:hAnsi="仿宋" w:eastAsia="仿宋" w:cs="仿宋"/>
          <w:sz w:val="32"/>
          <w:szCs w:val="32"/>
        </w:rPr>
        <w:t>（4）进一步壮大“专精特新”中小企业。为进一步促进我区中小企业专业化、精细化、特色化、新颖化发展，提升中小企业发展质量，按照廊坊市工信局《关于组织申报2020年度廊坊市“专精特新”中小企业的通知》（廊工信明传〔2020〕34号）要求，我局积极指导企业申报。</w:t>
      </w:r>
    </w:p>
    <w:p>
      <w:pPr>
        <w:spacing w:line="560" w:lineRule="exact"/>
        <w:ind w:firstLine="640" w:firstLineChars="200"/>
        <w:rPr>
          <w:rFonts w:ascii="仿宋" w:hAnsi="仿宋" w:eastAsia="仿宋" w:cs="仿宋"/>
          <w:color w:val="000000"/>
          <w:sz w:val="32"/>
          <w:szCs w:val="32"/>
          <w:highlight w:val="yellow"/>
        </w:rPr>
      </w:pPr>
      <w:r>
        <w:rPr>
          <w:rFonts w:hint="eastAsia" w:ascii="仿宋" w:hAnsi="仿宋" w:eastAsia="仿宋" w:cs="仿宋"/>
          <w:sz w:val="32"/>
          <w:szCs w:val="32"/>
        </w:rPr>
        <w:t>（5）为贯彻落实省《关于进一步扩大和升级信息消费持续释放内需潜力的实施方案》，争创省级信息消费试点城市，培育信息消费新动能，按照廊坊市工信局关于征集信息消费示范项目的通知（廊工信明传〔2020〕28号）要求，我局在辖区广泛征集此类项目，现在已经有五家公司申报了省工信厅2020年新型信息消费示范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3.围绕中心，积极履职尽责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（1）积极做好北京大兴机场征迁工作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2020年区委、区政府对北京大兴机场周边村庄开展征迁工作，我局作为成员单位积极投入征迁任务当中，攻坚克难圆满完成各项任务。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（2）积极落实新能源汽车推广应用各项工作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全面贯彻落实国家、省市新能源汽车推广应用系列政策要求，推进节能减排，减轻大气污染，区工信局全力做好新能源汽车推广应用各项工作。一是成立组织，分工推进。广阳区作为廊坊市主城区，新能源汽车推广责任大，任务重。广阳区新能源汽车推发办设在区工信局，具体负责全区新能源汽车推广应用及牵头负责补贴资金兑付政策的制定及落实等一系列工作。为保证各项工作有效落实，成立了以一把手局长为组长、主管副局长为副组长、科室骨干成员为组员</w:t>
      </w:r>
      <w:r>
        <w:rPr>
          <w:rFonts w:hint="eastAsia" w:ascii="仿宋" w:hAnsi="仿宋" w:eastAsia="仿宋" w:cs="仿宋"/>
          <w:sz w:val="32"/>
          <w:szCs w:val="32"/>
          <w:lang w:eastAsia="zh-CN"/>
        </w:rPr>
        <w:t>的</w:t>
      </w:r>
      <w:r>
        <w:rPr>
          <w:rFonts w:hint="eastAsia" w:ascii="仿宋" w:hAnsi="仿宋" w:eastAsia="仿宋" w:cs="仿宋"/>
          <w:sz w:val="32"/>
          <w:szCs w:val="32"/>
        </w:rPr>
        <w:t>新能源汽车推广应用领导小组。小组成立后，多次召开专题会议，研究解决新能源汽车推广应用过程中的新情况新问题，出台了一些卓有成效的政策措施，大大提高了工作效率，受到市区主管领导的充分肯定。二是大力推广、应补尽补，确保补贴资金科学精准兑付到位。</w:t>
      </w:r>
    </w:p>
    <w:p>
      <w:pPr>
        <w:pStyle w:val="19"/>
        <w:spacing w:line="560" w:lineRule="exact"/>
        <w:ind w:firstLine="640"/>
        <w:rPr>
          <w:rFonts w:ascii="仿宋" w:hAnsi="仿宋" w:eastAsia="仿宋" w:cs="仿宋"/>
          <w:sz w:val="32"/>
          <w:szCs w:val="32"/>
        </w:rPr>
      </w:pPr>
      <w:r>
        <w:rPr>
          <w:rFonts w:hint="eastAsia" w:ascii="仿宋" w:hAnsi="仿宋" w:eastAsia="仿宋" w:cs="仿宋"/>
          <w:sz w:val="32"/>
          <w:szCs w:val="32"/>
        </w:rPr>
        <w:t>（3）加强企业安全生产巡查工作。</w:t>
      </w:r>
      <w:r>
        <w:rPr>
          <w:rFonts w:hint="eastAsia" w:ascii="仿宋" w:hAnsi="仿宋" w:eastAsia="仿宋" w:cs="仿宋"/>
          <w:kern w:val="0"/>
          <w:sz w:val="32"/>
          <w:szCs w:val="32"/>
        </w:rPr>
        <w:t>积极落实广阳区安委会成员单位职责，每周定期对重点工业企业进行安全生产巡查，向企业传达安全生产工作的重要性，在做好日常防控工作的同时一并加强安全生产工作，时刻把安全生产放在重要的位置，一刻不能放松。组织开展“安全生产月”宣传活动。按照区安委办“打非治违”工作要求，严格落实安全生产责任，建立打非治违工作台账，全面开展督导检查工作。加强对辖区内的工业企业安全生产工作进行检查督导，并加强对辖区内工业企业的监管，实行周排查，周报告制度。</w:t>
      </w:r>
      <w:r>
        <w:rPr>
          <w:rFonts w:hint="eastAsia" w:ascii="仿宋" w:hAnsi="仿宋" w:eastAsia="仿宋" w:cs="仿宋"/>
          <w:sz w:val="32"/>
          <w:szCs w:val="32"/>
        </w:rPr>
        <w:t>由局班子成员分别带队到辖区内的企业开展常规安全生产巡查，在巡查过程中要求企业在加大生产的同时要注意加强安全生产隐患的排查，把隐患消灭在苗头状态，确保不出现安全生产问题和消防问题。</w:t>
      </w:r>
    </w:p>
    <w:p>
      <w:pPr>
        <w:spacing w:line="560" w:lineRule="exact"/>
        <w:ind w:firstLine="659"/>
        <w:rPr>
          <w:rFonts w:ascii="仿宋" w:hAnsi="仿宋" w:eastAsia="仿宋" w:cs="仿宋"/>
          <w:kern w:val="0"/>
          <w:sz w:val="32"/>
          <w:szCs w:val="32"/>
        </w:rPr>
      </w:pPr>
      <w:r>
        <w:rPr>
          <w:rFonts w:hint="eastAsia" w:ascii="仿宋" w:hAnsi="仿宋" w:eastAsia="仿宋" w:cs="仿宋"/>
          <w:kern w:val="0"/>
          <w:sz w:val="32"/>
          <w:szCs w:val="32"/>
        </w:rPr>
        <w:t>（4）“散乱污”企业综合治理</w:t>
      </w:r>
    </w:p>
    <w:p>
      <w:pPr>
        <w:spacing w:line="560" w:lineRule="exact"/>
        <w:ind w:firstLine="659"/>
        <w:rPr>
          <w:rFonts w:ascii="仿宋" w:hAnsi="仿宋" w:eastAsia="仿宋" w:cs="仿宋"/>
          <w:kern w:val="0"/>
          <w:sz w:val="32"/>
          <w:szCs w:val="32"/>
        </w:rPr>
      </w:pPr>
      <w:r>
        <w:rPr>
          <w:rFonts w:hint="eastAsia" w:ascii="仿宋" w:hAnsi="仿宋" w:eastAsia="仿宋" w:cs="仿宋"/>
          <w:kern w:val="0"/>
          <w:sz w:val="32"/>
          <w:szCs w:val="32"/>
        </w:rPr>
        <w:t>工信局作为“散乱污”企业整治的牵头单位，一直把此项工作作为我局的重点工作去抓。一是高度重视、摸底排查常态化。“散乱污”企业整治专班要求各乡镇（办事处）、街办处党政主要负责同志，把 “散乱污”企业整治纳入重点工作，深度排查过来发现取缔的所有“散乱污”企业，防止新的“散乱污”企业滋生。今年区“散乱污”企业整治专班配合各乡镇、街道加大巡查整治力度，对台账内的“散乱污”企业进行大范围抽查，发现未达到“两断三清”标准的，责令基层重新整改，采取轮查方式进行核查，并对上级生态环境督导部门下发的督办件进行全面核查。二是分工负责、加大巡查力度。鉴于“散乱污”企业隐蔽性和反弹成本低的特点，区专班积极组织人员以台账内企业为巡查线索，以举报案件为巡查重点，对企业周边和沿线重点巡查。督导各乡镇针对自己辖区内“散乱污”企业现状开展不同规模的集中行动，各乡镇动员机关干部、生态环境、供电等执法部门参与，对“散乱污”企业进行集中清理。通过多种措施的集中行动，有效的保证“散乱污”企业治理的全力攻坚。同时以空白工业大院、遗弃厂房、闲置房屋为检查重点，创造氛围，打击隐患苗头，实现动态清零。</w:t>
      </w:r>
    </w:p>
    <w:p>
      <w:pPr>
        <w:spacing w:line="560" w:lineRule="exact"/>
        <w:ind w:firstLine="659"/>
        <w:rPr>
          <w:rFonts w:ascii="仿宋" w:hAnsi="仿宋" w:eastAsia="仿宋" w:cs="仿宋"/>
          <w:kern w:val="0"/>
          <w:sz w:val="32"/>
          <w:szCs w:val="32"/>
        </w:rPr>
      </w:pPr>
      <w:r>
        <w:rPr>
          <w:rFonts w:hint="eastAsia" w:ascii="仿宋" w:hAnsi="仿宋" w:eastAsia="仿宋" w:cs="仿宋"/>
          <w:kern w:val="0"/>
          <w:sz w:val="32"/>
          <w:szCs w:val="32"/>
        </w:rPr>
        <w:t xml:space="preserve">（5）严格落实企业新冠肺炎疫情防控常态化工作 </w:t>
      </w:r>
    </w:p>
    <w:p>
      <w:pPr>
        <w:spacing w:line="560" w:lineRule="exact"/>
        <w:ind w:firstLine="659"/>
        <w:rPr>
          <w:rFonts w:ascii="楷体_GB2312" w:eastAsia="楷体_GB2312" w:cs="Times New Roman"/>
          <w:b/>
          <w:sz w:val="32"/>
          <w:szCs w:val="32"/>
        </w:rPr>
      </w:pPr>
      <w:r>
        <w:rPr>
          <w:rFonts w:hint="eastAsia" w:ascii="仿宋" w:hAnsi="仿宋" w:eastAsia="仿宋" w:cs="仿宋"/>
          <w:kern w:val="0"/>
          <w:sz w:val="32"/>
          <w:szCs w:val="32"/>
        </w:rPr>
        <w:t>采取企业巡查和企业微信群，及时宣传落实区疫情防控指挥部文件精神，并要求企业按照文件要求，严格落实各项防控措施，做好员工排查，建立返岗人员登记制度，全面了解返岗人员信息，做好企业内部日常消毒、防护培训等相关工作，对出入厂区人员一律进行体温监测，对发现问题及出现发热、咳嗽、乏力等症状员工或来厂人员一律禁止进入厂区，并第一时间上报至我局及属地部门。</w:t>
      </w: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pPr w:leftFromText="180" w:rightFromText="180" w:vertAnchor="text" w:horzAnchor="page" w:tblpX="2039" w:tblpY="839"/>
        <w:tblOverlap w:val="never"/>
        <w:tblW w:w="10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0"/>
        <w:gridCol w:w="1560"/>
        <w:gridCol w:w="1830"/>
        <w:gridCol w:w="1230"/>
        <w:gridCol w:w="1380"/>
        <w:gridCol w:w="675"/>
        <w:gridCol w:w="495"/>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3" w:hRule="atLeast"/>
          <w:tblHeader/>
        </w:trPr>
        <w:tc>
          <w:tcPr>
            <w:tcW w:w="850"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一级指标</w:t>
            </w:r>
          </w:p>
        </w:tc>
        <w:tc>
          <w:tcPr>
            <w:tcW w:w="1560"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二级指标</w:t>
            </w:r>
          </w:p>
        </w:tc>
        <w:tc>
          <w:tcPr>
            <w:tcW w:w="1830"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三级指标</w:t>
            </w:r>
          </w:p>
        </w:tc>
        <w:tc>
          <w:tcPr>
            <w:tcW w:w="1230"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绩效指标描述</w:t>
            </w:r>
          </w:p>
        </w:tc>
        <w:tc>
          <w:tcPr>
            <w:tcW w:w="1380"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评（扣）分标准</w:t>
            </w:r>
          </w:p>
        </w:tc>
        <w:tc>
          <w:tcPr>
            <w:tcW w:w="2430" w:type="dxa"/>
            <w:gridSpan w:val="3"/>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指标值</w:t>
            </w:r>
          </w:p>
        </w:tc>
        <w:tc>
          <w:tcPr>
            <w:tcW w:w="1125" w:type="dxa"/>
            <w:vMerge w:val="restart"/>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9" w:hRule="atLeast"/>
          <w:tblHeader/>
        </w:trPr>
        <w:tc>
          <w:tcPr>
            <w:tcW w:w="850" w:type="dxa"/>
            <w:vMerge w:val="continue"/>
            <w:vAlign w:val="center"/>
          </w:tcPr>
          <w:p>
            <w:pPr>
              <w:jc w:val="center"/>
            </w:pPr>
          </w:p>
        </w:tc>
        <w:tc>
          <w:tcPr>
            <w:tcW w:w="1560" w:type="dxa"/>
            <w:vMerge w:val="continue"/>
            <w:vAlign w:val="center"/>
          </w:tcPr>
          <w:p>
            <w:pPr>
              <w:jc w:val="center"/>
            </w:pPr>
          </w:p>
        </w:tc>
        <w:tc>
          <w:tcPr>
            <w:tcW w:w="1830" w:type="dxa"/>
            <w:vMerge w:val="continue"/>
            <w:vAlign w:val="center"/>
          </w:tcPr>
          <w:p>
            <w:pPr>
              <w:jc w:val="center"/>
            </w:pPr>
          </w:p>
        </w:tc>
        <w:tc>
          <w:tcPr>
            <w:tcW w:w="1230" w:type="dxa"/>
            <w:vMerge w:val="continue"/>
            <w:vAlign w:val="center"/>
          </w:tcPr>
          <w:p>
            <w:pPr>
              <w:jc w:val="center"/>
            </w:pPr>
          </w:p>
        </w:tc>
        <w:tc>
          <w:tcPr>
            <w:tcW w:w="1380" w:type="dxa"/>
            <w:vMerge w:val="continue"/>
            <w:vAlign w:val="center"/>
          </w:tcPr>
          <w:p>
            <w:pPr>
              <w:jc w:val="center"/>
            </w:pPr>
          </w:p>
        </w:tc>
        <w:tc>
          <w:tcPr>
            <w:tcW w:w="675" w:type="dxa"/>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符号</w:t>
            </w:r>
          </w:p>
        </w:tc>
        <w:tc>
          <w:tcPr>
            <w:tcW w:w="495" w:type="dxa"/>
            <w:vAlign w:val="center"/>
          </w:tcPr>
          <w:p>
            <w:pPr>
              <w:widowControl/>
              <w:jc w:val="center"/>
              <w:textAlignment w:val="center"/>
            </w:pPr>
            <w:r>
              <w:rPr>
                <w:rFonts w:hint="eastAsia" w:ascii="宋体" w:hAnsi="宋体" w:cs="宋体"/>
                <w:b/>
                <w:color w:val="000000"/>
                <w:kern w:val="0"/>
                <w:sz w:val="18"/>
                <w:szCs w:val="18"/>
                <w:lang w:bidi="ar"/>
              </w:rPr>
              <w:t>值</w:t>
            </w:r>
          </w:p>
        </w:tc>
        <w:tc>
          <w:tcPr>
            <w:tcW w:w="1260" w:type="dxa"/>
            <w:vAlign w:val="center"/>
          </w:tcPr>
          <w:p>
            <w:pPr>
              <w:widowControl/>
              <w:jc w:val="center"/>
              <w:textAlignment w:val="center"/>
              <w:rPr>
                <w:rFonts w:ascii="方正书宋_GBK" w:eastAsia="方正书宋_GBK"/>
                <w:b/>
              </w:rPr>
            </w:pPr>
            <w:r>
              <w:rPr>
                <w:rFonts w:hint="eastAsia" w:ascii="宋体" w:hAnsi="宋体" w:cs="宋体"/>
                <w:b/>
                <w:color w:val="000000"/>
                <w:kern w:val="0"/>
                <w:sz w:val="18"/>
                <w:szCs w:val="18"/>
                <w:lang w:bidi="ar"/>
              </w:rPr>
              <w:t>单位（文字描述）</w:t>
            </w:r>
          </w:p>
        </w:tc>
        <w:tc>
          <w:tcPr>
            <w:tcW w:w="112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8" w:hRule="atLeast"/>
        </w:trPr>
        <w:tc>
          <w:tcPr>
            <w:tcW w:w="850" w:type="dxa"/>
            <w:vMerge w:val="restart"/>
            <w:vAlign w:val="center"/>
          </w:tcPr>
          <w:p>
            <w:pPr>
              <w:widowControl/>
              <w:jc w:val="center"/>
              <w:textAlignment w:val="center"/>
              <w:rPr>
                <w:rFonts w:ascii="方正书宋_GBK" w:eastAsia="方正书宋_GBK"/>
              </w:rPr>
            </w:pPr>
            <w:r>
              <w:rPr>
                <w:rFonts w:hint="eastAsia" w:ascii="宋体" w:hAnsi="宋体" w:cs="宋体"/>
                <w:b/>
                <w:color w:val="000000"/>
                <w:kern w:val="0"/>
                <w:sz w:val="18"/>
                <w:szCs w:val="18"/>
                <w:lang w:bidi="ar"/>
              </w:rPr>
              <w:t>产出指标</w:t>
            </w:r>
          </w:p>
        </w:tc>
        <w:tc>
          <w:tcPr>
            <w:tcW w:w="15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数量指标</w:t>
            </w:r>
          </w:p>
        </w:tc>
        <w:tc>
          <w:tcPr>
            <w:tcW w:w="18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发放工资及社保的保障人数</w:t>
            </w:r>
          </w:p>
        </w:tc>
        <w:tc>
          <w:tcPr>
            <w:tcW w:w="12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发放工资及社保的保障人数</w:t>
            </w:r>
          </w:p>
        </w:tc>
        <w:tc>
          <w:tcPr>
            <w:tcW w:w="1380" w:type="dxa"/>
          </w:tcPr>
          <w:p>
            <w:pPr>
              <w:widowControl/>
              <w:jc w:val="left"/>
              <w:textAlignment w:val="top"/>
              <w:rPr>
                <w:rFonts w:ascii="方正书宋_GBK" w:eastAsia="方正书宋_GBK"/>
              </w:rPr>
            </w:pPr>
            <w:r>
              <w:rPr>
                <w:rFonts w:hint="eastAsia" w:ascii="宋体" w:hAnsi="宋体" w:cs="宋体"/>
                <w:color w:val="000000"/>
                <w:kern w:val="0"/>
                <w:sz w:val="18"/>
                <w:szCs w:val="18"/>
                <w:lang w:bidi="ar"/>
              </w:rPr>
              <w:t>发放工资及社保的保障人数比例</w:t>
            </w:r>
          </w:p>
        </w:tc>
        <w:tc>
          <w:tcPr>
            <w:tcW w:w="67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95" w:type="dxa"/>
            <w:vAlign w:val="center"/>
          </w:tcPr>
          <w:p>
            <w:pPr>
              <w:widowControl/>
              <w:jc w:val="right"/>
              <w:textAlignment w:val="center"/>
            </w:pPr>
            <w:r>
              <w:rPr>
                <w:rFonts w:hint="eastAsia" w:ascii="宋体" w:hAnsi="宋体" w:cs="宋体"/>
                <w:color w:val="000000"/>
                <w:kern w:val="0"/>
                <w:sz w:val="18"/>
                <w:szCs w:val="18"/>
                <w:lang w:bidi="ar"/>
              </w:rPr>
              <w:t>95</w:t>
            </w:r>
          </w:p>
        </w:tc>
        <w:tc>
          <w:tcPr>
            <w:tcW w:w="12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112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发放工资及社保的保障人数比例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850" w:type="dxa"/>
            <w:vMerge w:val="continue"/>
            <w:vAlign w:val="center"/>
          </w:tcPr>
          <w:p>
            <w:pPr>
              <w:jc w:val="center"/>
            </w:pPr>
          </w:p>
        </w:tc>
        <w:tc>
          <w:tcPr>
            <w:tcW w:w="15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质量指标</w:t>
            </w:r>
          </w:p>
        </w:tc>
        <w:tc>
          <w:tcPr>
            <w:tcW w:w="18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公务用车正常运行</w:t>
            </w:r>
          </w:p>
        </w:tc>
        <w:tc>
          <w:tcPr>
            <w:tcW w:w="12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公务用车正常运行率(%)</w:t>
            </w:r>
          </w:p>
        </w:tc>
        <w:tc>
          <w:tcPr>
            <w:tcW w:w="1380" w:type="dxa"/>
          </w:tcPr>
          <w:p>
            <w:pPr>
              <w:widowControl/>
              <w:jc w:val="left"/>
              <w:textAlignment w:val="top"/>
              <w:rPr>
                <w:rFonts w:ascii="方正书宋_GBK" w:eastAsia="方正书宋_GBK"/>
              </w:rPr>
            </w:pPr>
            <w:r>
              <w:rPr>
                <w:rFonts w:hint="eastAsia" w:ascii="宋体" w:hAnsi="宋体" w:cs="宋体"/>
                <w:color w:val="000000"/>
                <w:kern w:val="0"/>
                <w:sz w:val="18"/>
                <w:szCs w:val="18"/>
                <w:lang w:bidi="ar"/>
              </w:rPr>
              <w:t>公务用车正常运行率(%)</w:t>
            </w:r>
          </w:p>
        </w:tc>
        <w:tc>
          <w:tcPr>
            <w:tcW w:w="67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495" w:type="dxa"/>
            <w:vAlign w:val="center"/>
          </w:tcPr>
          <w:p>
            <w:pPr>
              <w:widowControl/>
              <w:jc w:val="right"/>
              <w:textAlignment w:val="center"/>
            </w:pPr>
            <w:r>
              <w:rPr>
                <w:rFonts w:hint="eastAsia" w:ascii="宋体" w:hAnsi="宋体" w:cs="宋体"/>
                <w:color w:val="000000"/>
                <w:kern w:val="0"/>
                <w:sz w:val="18"/>
                <w:szCs w:val="18"/>
                <w:lang w:bidi="ar"/>
              </w:rPr>
              <w:t>90</w:t>
            </w:r>
          </w:p>
        </w:tc>
        <w:tc>
          <w:tcPr>
            <w:tcW w:w="12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112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公务用车正常运行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3" w:hRule="atLeast"/>
        </w:trPr>
        <w:tc>
          <w:tcPr>
            <w:tcW w:w="850" w:type="dxa"/>
            <w:vMerge w:val="continue"/>
            <w:vAlign w:val="center"/>
          </w:tcPr>
          <w:p>
            <w:pPr>
              <w:jc w:val="center"/>
            </w:pPr>
          </w:p>
        </w:tc>
        <w:tc>
          <w:tcPr>
            <w:tcW w:w="15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时效指标</w:t>
            </w:r>
          </w:p>
        </w:tc>
        <w:tc>
          <w:tcPr>
            <w:tcW w:w="18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按期完成率</w:t>
            </w:r>
          </w:p>
        </w:tc>
        <w:tc>
          <w:tcPr>
            <w:tcW w:w="12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按时发放工资</w:t>
            </w:r>
          </w:p>
        </w:tc>
        <w:tc>
          <w:tcPr>
            <w:tcW w:w="1380" w:type="dxa"/>
          </w:tcPr>
          <w:p>
            <w:pPr>
              <w:widowControl/>
              <w:jc w:val="left"/>
              <w:textAlignment w:val="top"/>
              <w:rPr>
                <w:rFonts w:ascii="方正书宋_GBK" w:eastAsia="方正书宋_GBK"/>
              </w:rPr>
            </w:pPr>
            <w:r>
              <w:rPr>
                <w:rFonts w:hint="eastAsia" w:ascii="宋体" w:hAnsi="宋体" w:cs="宋体"/>
                <w:color w:val="000000"/>
                <w:kern w:val="0"/>
                <w:sz w:val="18"/>
                <w:szCs w:val="18"/>
                <w:lang w:bidi="ar"/>
              </w:rPr>
              <w:t>按时发放工资</w:t>
            </w:r>
          </w:p>
        </w:tc>
        <w:tc>
          <w:tcPr>
            <w:tcW w:w="67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文字描述</w:t>
            </w:r>
          </w:p>
        </w:tc>
        <w:tc>
          <w:tcPr>
            <w:tcW w:w="495" w:type="dxa"/>
            <w:vAlign w:val="center"/>
          </w:tcPr>
          <w:p>
            <w:pPr>
              <w:jc w:val="right"/>
            </w:pPr>
          </w:p>
        </w:tc>
        <w:tc>
          <w:tcPr>
            <w:tcW w:w="12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按时发放</w:t>
            </w:r>
          </w:p>
        </w:tc>
        <w:tc>
          <w:tcPr>
            <w:tcW w:w="112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850" w:type="dxa"/>
            <w:vMerge w:val="restart"/>
            <w:vAlign w:val="center"/>
          </w:tcPr>
          <w:p>
            <w:pPr>
              <w:widowControl/>
              <w:jc w:val="center"/>
              <w:textAlignment w:val="center"/>
            </w:pPr>
            <w:r>
              <w:rPr>
                <w:rFonts w:hint="eastAsia" w:ascii="宋体" w:hAnsi="宋体" w:cs="宋体"/>
                <w:b/>
                <w:color w:val="000000"/>
                <w:kern w:val="0"/>
                <w:sz w:val="18"/>
                <w:szCs w:val="18"/>
                <w:lang w:bidi="ar"/>
              </w:rPr>
              <w:t>效益指标</w:t>
            </w:r>
          </w:p>
        </w:tc>
        <w:tc>
          <w:tcPr>
            <w:tcW w:w="15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18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充分认可度</w:t>
            </w:r>
          </w:p>
        </w:tc>
        <w:tc>
          <w:tcPr>
            <w:tcW w:w="12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企业了解政策的便捷性</w:t>
            </w:r>
          </w:p>
        </w:tc>
        <w:tc>
          <w:tcPr>
            <w:tcW w:w="1380" w:type="dxa"/>
          </w:tcPr>
          <w:p>
            <w:pPr>
              <w:widowControl/>
              <w:jc w:val="left"/>
              <w:textAlignment w:val="top"/>
              <w:rPr>
                <w:rFonts w:ascii="方正书宋_GBK" w:eastAsia="方正书宋_GBK"/>
              </w:rPr>
            </w:pPr>
            <w:r>
              <w:rPr>
                <w:rFonts w:hint="eastAsia" w:ascii="宋体" w:hAnsi="宋体" w:cs="宋体"/>
                <w:color w:val="000000"/>
                <w:kern w:val="0"/>
                <w:sz w:val="18"/>
                <w:szCs w:val="18"/>
                <w:lang w:bidi="ar"/>
              </w:rPr>
              <w:t>企业了解政策的便捷性</w:t>
            </w:r>
          </w:p>
        </w:tc>
        <w:tc>
          <w:tcPr>
            <w:tcW w:w="67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文字描述</w:t>
            </w:r>
          </w:p>
        </w:tc>
        <w:tc>
          <w:tcPr>
            <w:tcW w:w="495" w:type="dxa"/>
            <w:vAlign w:val="center"/>
          </w:tcPr>
          <w:p>
            <w:pPr>
              <w:jc w:val="right"/>
            </w:pPr>
          </w:p>
        </w:tc>
        <w:tc>
          <w:tcPr>
            <w:tcW w:w="12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企业认可度</w:t>
            </w:r>
          </w:p>
        </w:tc>
        <w:tc>
          <w:tcPr>
            <w:tcW w:w="112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企业了解政策的便捷性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850" w:type="dxa"/>
            <w:vMerge w:val="continue"/>
            <w:vAlign w:val="center"/>
          </w:tcPr>
          <w:p>
            <w:pPr>
              <w:jc w:val="center"/>
              <w:rPr>
                <w:rFonts w:ascii="方正书宋_GBK" w:eastAsia="方正书宋_GBK"/>
              </w:rPr>
            </w:pPr>
          </w:p>
        </w:tc>
        <w:tc>
          <w:tcPr>
            <w:tcW w:w="1560" w:type="dxa"/>
            <w:vAlign w:val="center"/>
          </w:tcPr>
          <w:p>
            <w:pPr>
              <w:rPr>
                <w:rFonts w:ascii="方正书宋_GBK" w:eastAsia="方正书宋_GBK"/>
              </w:rPr>
            </w:pPr>
          </w:p>
        </w:tc>
        <w:tc>
          <w:tcPr>
            <w:tcW w:w="1830" w:type="dxa"/>
            <w:vAlign w:val="center"/>
          </w:tcPr>
          <w:p>
            <w:pPr>
              <w:rPr>
                <w:rFonts w:ascii="方正书宋_GBK" w:eastAsia="方正书宋_GBK"/>
              </w:rPr>
            </w:pPr>
          </w:p>
        </w:tc>
        <w:tc>
          <w:tcPr>
            <w:tcW w:w="1230" w:type="dxa"/>
            <w:vAlign w:val="center"/>
          </w:tcPr>
          <w:p>
            <w:pPr>
              <w:jc w:val="left"/>
              <w:rPr>
                <w:rFonts w:ascii="方正书宋_GBK" w:eastAsia="方正书宋_GBK"/>
              </w:rPr>
            </w:pPr>
          </w:p>
        </w:tc>
        <w:tc>
          <w:tcPr>
            <w:tcW w:w="1380" w:type="dxa"/>
          </w:tcPr>
          <w:p>
            <w:pPr>
              <w:jc w:val="left"/>
            </w:pPr>
          </w:p>
        </w:tc>
        <w:tc>
          <w:tcPr>
            <w:tcW w:w="675" w:type="dxa"/>
            <w:vAlign w:val="center"/>
          </w:tcPr>
          <w:p>
            <w:pPr>
              <w:jc w:val="left"/>
              <w:rPr>
                <w:rFonts w:ascii="方正书宋_GBK" w:eastAsia="方正书宋_GBK"/>
              </w:rPr>
            </w:pPr>
          </w:p>
        </w:tc>
        <w:tc>
          <w:tcPr>
            <w:tcW w:w="495" w:type="dxa"/>
            <w:vAlign w:val="center"/>
          </w:tcPr>
          <w:p>
            <w:pPr>
              <w:jc w:val="right"/>
            </w:pPr>
          </w:p>
        </w:tc>
        <w:tc>
          <w:tcPr>
            <w:tcW w:w="1260" w:type="dxa"/>
            <w:vAlign w:val="center"/>
          </w:tcPr>
          <w:p>
            <w:pPr>
              <w:jc w:val="left"/>
              <w:rPr>
                <w:rFonts w:ascii="方正书宋_GBK" w:eastAsia="方正书宋_GBK"/>
              </w:rPr>
            </w:pPr>
          </w:p>
        </w:tc>
        <w:tc>
          <w:tcPr>
            <w:tcW w:w="1125" w:type="dxa"/>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850" w:type="dxa"/>
            <w:vMerge w:val="continue"/>
            <w:vAlign w:val="center"/>
          </w:tcPr>
          <w:p>
            <w:pPr>
              <w:jc w:val="center"/>
            </w:pPr>
          </w:p>
        </w:tc>
        <w:tc>
          <w:tcPr>
            <w:tcW w:w="1560" w:type="dxa"/>
            <w:vAlign w:val="center"/>
          </w:tcPr>
          <w:p>
            <w:pPr>
              <w:rPr>
                <w:rFonts w:ascii="方正书宋_GBK" w:eastAsia="方正书宋_GBK"/>
              </w:rPr>
            </w:pPr>
          </w:p>
        </w:tc>
        <w:tc>
          <w:tcPr>
            <w:tcW w:w="1830" w:type="dxa"/>
            <w:vAlign w:val="center"/>
          </w:tcPr>
          <w:p>
            <w:pPr>
              <w:rPr>
                <w:rFonts w:ascii="方正书宋_GBK" w:eastAsia="方正书宋_GBK"/>
              </w:rPr>
            </w:pPr>
          </w:p>
        </w:tc>
        <w:tc>
          <w:tcPr>
            <w:tcW w:w="1230" w:type="dxa"/>
            <w:vAlign w:val="center"/>
          </w:tcPr>
          <w:p>
            <w:pPr>
              <w:jc w:val="left"/>
              <w:rPr>
                <w:rFonts w:ascii="方正书宋_GBK" w:eastAsia="方正书宋_GBK"/>
              </w:rPr>
            </w:pPr>
          </w:p>
        </w:tc>
        <w:tc>
          <w:tcPr>
            <w:tcW w:w="1380" w:type="dxa"/>
          </w:tcPr>
          <w:p>
            <w:pPr>
              <w:jc w:val="left"/>
              <w:rPr>
                <w:rFonts w:ascii="方正书宋_GBK" w:eastAsia="方正书宋_GBK"/>
              </w:rPr>
            </w:pPr>
          </w:p>
        </w:tc>
        <w:tc>
          <w:tcPr>
            <w:tcW w:w="675" w:type="dxa"/>
            <w:vAlign w:val="center"/>
          </w:tcPr>
          <w:p>
            <w:pPr>
              <w:jc w:val="left"/>
              <w:rPr>
                <w:rFonts w:ascii="方正书宋_GBK" w:eastAsia="方正书宋_GBK"/>
              </w:rPr>
            </w:pPr>
          </w:p>
        </w:tc>
        <w:tc>
          <w:tcPr>
            <w:tcW w:w="495" w:type="dxa"/>
            <w:vAlign w:val="center"/>
          </w:tcPr>
          <w:p>
            <w:pPr>
              <w:jc w:val="right"/>
            </w:pPr>
          </w:p>
        </w:tc>
        <w:tc>
          <w:tcPr>
            <w:tcW w:w="1260" w:type="dxa"/>
            <w:vAlign w:val="center"/>
          </w:tcPr>
          <w:p>
            <w:pPr>
              <w:jc w:val="left"/>
              <w:rPr>
                <w:rFonts w:ascii="方正书宋_GBK" w:eastAsia="方正书宋_GBK"/>
              </w:rPr>
            </w:pPr>
          </w:p>
        </w:tc>
        <w:tc>
          <w:tcPr>
            <w:tcW w:w="1125" w:type="dxa"/>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rPr>
        <w:tc>
          <w:tcPr>
            <w:tcW w:w="850" w:type="dxa"/>
            <w:vAlign w:val="center"/>
          </w:tcPr>
          <w:p>
            <w:pPr>
              <w:widowControl/>
              <w:jc w:val="center"/>
              <w:textAlignment w:val="center"/>
            </w:pPr>
            <w:r>
              <w:rPr>
                <w:rFonts w:hint="eastAsia" w:ascii="宋体" w:hAnsi="宋体" w:cs="宋体"/>
                <w:b/>
                <w:color w:val="000000"/>
                <w:kern w:val="0"/>
                <w:sz w:val="18"/>
                <w:szCs w:val="18"/>
                <w:lang w:bidi="ar"/>
              </w:rPr>
              <w:t>满意度指标</w:t>
            </w:r>
          </w:p>
        </w:tc>
        <w:tc>
          <w:tcPr>
            <w:tcW w:w="15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服务对象满意度指标</w:t>
            </w:r>
          </w:p>
        </w:tc>
        <w:tc>
          <w:tcPr>
            <w:tcW w:w="18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单位员工满意度</w:t>
            </w:r>
          </w:p>
        </w:tc>
        <w:tc>
          <w:tcPr>
            <w:tcW w:w="123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单位职工满意度</w:t>
            </w:r>
          </w:p>
        </w:tc>
        <w:tc>
          <w:tcPr>
            <w:tcW w:w="1380" w:type="dxa"/>
          </w:tcPr>
          <w:p>
            <w:pPr>
              <w:widowControl/>
              <w:jc w:val="left"/>
              <w:textAlignment w:val="top"/>
              <w:rPr>
                <w:rFonts w:ascii="方正书宋_GBK" w:eastAsia="方正书宋_GBK"/>
              </w:rPr>
            </w:pPr>
            <w:r>
              <w:rPr>
                <w:rFonts w:hint="eastAsia" w:ascii="宋体" w:hAnsi="宋体" w:cs="宋体"/>
                <w:color w:val="000000"/>
                <w:kern w:val="0"/>
                <w:sz w:val="18"/>
                <w:szCs w:val="18"/>
                <w:lang w:bidi="ar"/>
              </w:rPr>
              <w:t>单位职工满意率</w:t>
            </w:r>
          </w:p>
        </w:tc>
        <w:tc>
          <w:tcPr>
            <w:tcW w:w="67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文字描述</w:t>
            </w:r>
          </w:p>
        </w:tc>
        <w:tc>
          <w:tcPr>
            <w:tcW w:w="495" w:type="dxa"/>
            <w:vAlign w:val="center"/>
          </w:tcPr>
          <w:p>
            <w:pPr>
              <w:jc w:val="right"/>
            </w:pPr>
          </w:p>
        </w:tc>
        <w:tc>
          <w:tcPr>
            <w:tcW w:w="1260"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问题调查</w:t>
            </w:r>
          </w:p>
        </w:tc>
        <w:tc>
          <w:tcPr>
            <w:tcW w:w="1125" w:type="dxa"/>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单位职工满意率</w:t>
            </w:r>
          </w:p>
        </w:tc>
      </w:tr>
    </w:tbl>
    <w:p>
      <w:pPr>
        <w:spacing w:line="584" w:lineRule="exact"/>
        <w:sectPr>
          <w:pgSz w:w="16839" w:h="11907" w:orient="landscape"/>
          <w:pgMar w:top="1304" w:right="1984" w:bottom="1304" w:left="1134" w:header="851" w:footer="992" w:gutter="0"/>
          <w:cols w:space="720" w:num="1"/>
          <w:docGrid w:type="lines" w:linePitch="312" w:charSpace="0"/>
        </w:sect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1280" w:firstLineChars="400"/>
        <w:rPr>
          <w:rFonts w:ascii="Times New Roman" w:hAnsi="Times New Roman" w:eastAsia="黑体" w:cs="Times New Roman"/>
          <w:sz w:val="32"/>
          <w:szCs w:val="32"/>
        </w:rPr>
      </w:pPr>
      <w:r>
        <w:rPr>
          <w:rFonts w:hint="eastAsia" w:ascii="Times New Roman" w:hAnsi="Times New Roman" w:eastAsia="黑体" w:cs="Times New Roman"/>
          <w:sz w:val="32"/>
          <w:szCs w:val="32"/>
        </w:rPr>
        <w:t>无</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万元。具体内容见下表。</w:t>
      </w:r>
    </w:p>
    <w:bookmarkEnd w:id="2"/>
    <w:p>
      <w:pPr>
        <w:spacing w:line="584" w:lineRule="exact"/>
        <w:jc w:val="left"/>
        <w:outlineLvl w:val="0"/>
        <w:rPr>
          <w:rFonts w:ascii="Times New Roman" w:hAnsi="Times New Roman" w:eastAsia="Times New Roman"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部门政府采购预算</w:t>
      </w:r>
      <w:bookmarkEnd w:id="3"/>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740廊坊市广阳区工业和信息化局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Times New Roman"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firstLineChars="200"/>
        <w:outlineLvl w:val="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廊坊市广阳区工业和信息化局（含所属单位）上年末固定资产金额为35.730795万元（详见下表），本年度我部门拟购置固定资产总额为0万元。</w:t>
      </w:r>
    </w:p>
    <w:p>
      <w:pPr>
        <w:spacing w:line="584" w:lineRule="exact"/>
        <w:ind w:firstLine="640"/>
        <w:rPr>
          <w:rFonts w:ascii="Times New Roman" w:hAnsi="Times New Roman" w:eastAsia="Times New Roman"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廊坊市广阳区工业和信息化局固定资产占用情况表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编制部门：廊坊市广阳区工业和信息化局</w:t>
            </w:r>
          </w:p>
        </w:tc>
        <w:tc>
          <w:tcPr>
            <w:tcW w:w="5103" w:type="dxa"/>
            <w:tcBorders>
              <w:top w:val="nil"/>
              <w:left w:val="nil"/>
              <w:bottom w:val="nil"/>
              <w:right w:val="nil"/>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项</w:t>
            </w:r>
            <w:r>
              <w:rPr>
                <w:rFonts w:ascii="Times New Roman" w:hAnsi="Times New Roman" w:eastAsia="仿宋_GB2312" w:cs="Times New Roman"/>
                <w:kern w:val="0"/>
                <w:sz w:val="22"/>
              </w:rPr>
              <w:t xml:space="preserve">   </w:t>
            </w:r>
            <w:r>
              <w:rPr>
                <w:rFonts w:hint="eastAsia" w:ascii="Times New Roman" w:hAnsi="Times New Roman" w:eastAsia="仿宋_GB2312" w:cs="Times New Roman"/>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35.730795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1</w:t>
            </w: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17.730795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w:t>
    </w:r>
    <w:r>
      <w:fldChar w:fldCharType="begin"/>
    </w:r>
    <w:r>
      <w:instrText xml:space="preserve">PAGE   \* MERGEFORMAT</w:instrText>
    </w:r>
    <w:r>
      <w:fldChar w:fldCharType="separate"/>
    </w:r>
    <w:r>
      <w:rPr>
        <w:lang w:val="zh-CN"/>
      </w:rPr>
      <w:t>21</w:t>
    </w:r>
    <w:r>
      <w:rPr>
        <w:lang w:val="zh-CN"/>
      </w:rPr>
      <w:fldChar w:fldCharType="end"/>
    </w:r>
    <w: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301F9F"/>
    <w:rsid w:val="00356683"/>
    <w:rsid w:val="00432522"/>
    <w:rsid w:val="004A54AA"/>
    <w:rsid w:val="004E5968"/>
    <w:rsid w:val="00613B76"/>
    <w:rsid w:val="00632C6B"/>
    <w:rsid w:val="00676546"/>
    <w:rsid w:val="006C0383"/>
    <w:rsid w:val="00807A76"/>
    <w:rsid w:val="008B2111"/>
    <w:rsid w:val="008F0EB4"/>
    <w:rsid w:val="00A04154"/>
    <w:rsid w:val="00A218C6"/>
    <w:rsid w:val="00B17B32"/>
    <w:rsid w:val="00B80935"/>
    <w:rsid w:val="00C36CC5"/>
    <w:rsid w:val="00C52295"/>
    <w:rsid w:val="00C750B9"/>
    <w:rsid w:val="00CB58FC"/>
    <w:rsid w:val="00CD4B0F"/>
    <w:rsid w:val="00CF6E70"/>
    <w:rsid w:val="00D347CC"/>
    <w:rsid w:val="00D91C86"/>
    <w:rsid w:val="00DE547A"/>
    <w:rsid w:val="00E27CE3"/>
    <w:rsid w:val="01A948D1"/>
    <w:rsid w:val="03D5777A"/>
    <w:rsid w:val="15745CD6"/>
    <w:rsid w:val="1657770D"/>
    <w:rsid w:val="16D13557"/>
    <w:rsid w:val="203C7232"/>
    <w:rsid w:val="21E4631A"/>
    <w:rsid w:val="28B34F90"/>
    <w:rsid w:val="2BEC50D9"/>
    <w:rsid w:val="2C49662F"/>
    <w:rsid w:val="2E641ACE"/>
    <w:rsid w:val="33E56BF4"/>
    <w:rsid w:val="350E16AD"/>
    <w:rsid w:val="36BB1B3F"/>
    <w:rsid w:val="3E1A7A06"/>
    <w:rsid w:val="40B9514A"/>
    <w:rsid w:val="418542E0"/>
    <w:rsid w:val="436D3CAC"/>
    <w:rsid w:val="49F177D6"/>
    <w:rsid w:val="4CE82326"/>
    <w:rsid w:val="542359E3"/>
    <w:rsid w:val="56A6400D"/>
    <w:rsid w:val="572543BE"/>
    <w:rsid w:val="5910567C"/>
    <w:rsid w:val="5DA85E42"/>
    <w:rsid w:val="67E60C61"/>
    <w:rsid w:val="69DA5E48"/>
    <w:rsid w:val="6D292116"/>
    <w:rsid w:val="6E3B0F93"/>
    <w:rsid w:val="73756C28"/>
    <w:rsid w:val="74092A0E"/>
    <w:rsid w:val="7522038F"/>
    <w:rsid w:val="7A492B09"/>
    <w:rsid w:val="7C862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3">
    <w:name w:val="heading 1"/>
    <w:basedOn w:val="1"/>
    <w:next w:val="1"/>
    <w:link w:val="20"/>
    <w:qFormat/>
    <w:locked/>
    <w:uiPriority w:val="0"/>
    <w:pPr>
      <w:keepNext/>
      <w:keepLines/>
      <w:spacing w:before="340" w:after="330" w:line="576" w:lineRule="auto"/>
      <w:outlineLvl w:val="0"/>
    </w:pPr>
    <w:rPr>
      <w:b/>
      <w:kern w:val="44"/>
      <w:sz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rPr>
  </w:style>
  <w:style w:type="paragraph" w:styleId="4">
    <w:name w:val="Balloon Text"/>
    <w:basedOn w:val="1"/>
    <w:link w:val="13"/>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99"/>
    <w:rPr>
      <w:rFonts w:ascii="Times New Roman" w:hAnsi="Times New Roman" w:cs="Times New Roman"/>
      <w:szCs w:val="24"/>
    </w:rPr>
  </w:style>
  <w:style w:type="paragraph" w:styleId="8">
    <w:name w:val="footnote text"/>
    <w:basedOn w:val="1"/>
    <w:link w:val="16"/>
    <w:qFormat/>
    <w:uiPriority w:val="99"/>
    <w:pPr>
      <w:snapToGrid w:val="0"/>
      <w:jc w:val="left"/>
    </w:pPr>
    <w:rPr>
      <w:rFonts w:cs="Times New Roman"/>
      <w:sz w:val="18"/>
      <w:szCs w:val="18"/>
    </w:rPr>
  </w:style>
  <w:style w:type="paragraph" w:styleId="9">
    <w:name w:val="toc 2"/>
    <w:basedOn w:val="1"/>
    <w:next w:val="1"/>
    <w:qFormat/>
    <w:uiPriority w:val="99"/>
    <w:pPr>
      <w:ind w:left="200" w:leftChars="200"/>
    </w:pPr>
    <w:rPr>
      <w:rFonts w:ascii="Times New Roman" w:hAnsi="Times New Roman" w:cs="Times New Roman"/>
      <w:szCs w:val="24"/>
    </w:rPr>
  </w:style>
  <w:style w:type="character" w:styleId="12">
    <w:name w:val="footnote reference"/>
    <w:qFormat/>
    <w:uiPriority w:val="99"/>
    <w:rPr>
      <w:rFonts w:cs="Times New Roman"/>
      <w:vertAlign w:val="superscript"/>
    </w:rPr>
  </w:style>
  <w:style w:type="character" w:customStyle="1" w:styleId="13">
    <w:name w:val="批注框文本 Char"/>
    <w:link w:val="4"/>
    <w:semiHidden/>
    <w:qFormat/>
    <w:uiPriority w:val="99"/>
    <w:rPr>
      <w:rFonts w:ascii="Calibri" w:hAnsi="Calibri" w:cs="Arial"/>
      <w:sz w:val="0"/>
      <w:szCs w:val="0"/>
    </w:rPr>
  </w:style>
  <w:style w:type="character" w:customStyle="1" w:styleId="14">
    <w:name w:val="页脚 Char"/>
    <w:link w:val="5"/>
    <w:semiHidden/>
    <w:qFormat/>
    <w:uiPriority w:val="99"/>
    <w:rPr>
      <w:rFonts w:ascii="Calibri" w:hAnsi="Calibri" w:cs="Arial"/>
      <w:sz w:val="18"/>
      <w:szCs w:val="18"/>
    </w:rPr>
  </w:style>
  <w:style w:type="character" w:customStyle="1" w:styleId="15">
    <w:name w:val="页眉 Char"/>
    <w:link w:val="6"/>
    <w:semiHidden/>
    <w:uiPriority w:val="99"/>
    <w:rPr>
      <w:rFonts w:ascii="Calibri" w:hAnsi="Calibri" w:cs="Arial"/>
      <w:sz w:val="18"/>
      <w:szCs w:val="18"/>
    </w:rPr>
  </w:style>
  <w:style w:type="character" w:customStyle="1" w:styleId="16">
    <w:name w:val="脚注文本 Char"/>
    <w:link w:val="8"/>
    <w:semiHidden/>
    <w:qFormat/>
    <w:uiPriority w:val="99"/>
    <w:rPr>
      <w:rFonts w:ascii="Calibri" w:hAnsi="Calibri" w:cs="Arial"/>
      <w:sz w:val="18"/>
      <w:szCs w:val="18"/>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qFormat/>
    <w:uiPriority w:val="34"/>
    <w:pPr>
      <w:ind w:firstLine="420" w:firstLineChars="200"/>
    </w:pPr>
  </w:style>
  <w:style w:type="paragraph" w:customStyle="1" w:styleId="19">
    <w:name w:val="列出段落1"/>
    <w:basedOn w:val="1"/>
    <w:qFormat/>
    <w:uiPriority w:val="0"/>
    <w:pPr>
      <w:ind w:firstLine="200" w:firstLineChars="200"/>
    </w:pPr>
  </w:style>
  <w:style w:type="character" w:customStyle="1" w:styleId="20">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1552</Words>
  <Characters>8848</Characters>
  <Lines>73</Lines>
  <Paragraphs>20</Paragraphs>
  <TotalTime>17</TotalTime>
  <ScaleCrop>false</ScaleCrop>
  <LinksUpToDate>false</LinksUpToDate>
  <CharactersWithSpaces>10380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2024-01-11T06:11:04Z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2BF6356FD02D4826B73BF999AE25E81F</vt:lpwstr>
  </property>
</Properties>
</file>