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九州镇人民政府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广阳区九州镇</w:t>
      </w:r>
      <w:r>
        <w:rPr>
          <w:rFonts w:ascii="Times New Roman" w:hAnsi="Times New Roman" w:eastAsia="仿宋_GB2312" w:cs="Times New Roman"/>
          <w:sz w:val="32"/>
          <w:szCs w:val="32"/>
        </w:rPr>
        <w:t>人民政府20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根据《廊坊市广阳区九州镇职能配置、内设机构和人员编制规定》， 廊坊市广阳区九州镇的主要职责是：</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政务服务职责：负责政务公开、单位会议管理、督察督办、政务联络、办事处日常工作等。</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应急管理职责：负责基层政府值班工作，及时报告重要情况，传达和督促落实镇政府领导指示。协助镇政府领导做好需由基层政府组织处理的突发事件应急处置工作。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电子政务管理职责：负责政务信息服务工作和政府系统机关电子政务工作，保各类会议顺利进行；保障街道网络系统安全、稳定运行，技术设备安全可用。严格执行会议技术保障服务流程和电视电话会议室管理制度。切实提高技术保障和服务能力，力争领导满意、群众满意、部门满意。</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地方志事务职责：负责全辖区地方志事务管理。弘扬和传承优秀文化传统，充分发挥志书“资政、存史、教化”的综合功能，为社会各界方便快捷提供县情，为本县经济社会建设服务，为地方志工作者提供资料和工具。</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残疾人综合职责：对持证残疾人需求情况进行调查，对残疾人状况进行动态监测，加强和规范残疾人基层组织建设，加大残疾人就业保障金的征收力度，加强残疾人工作信息化建设和基础研究。摸清残疾人底数，增强基层服务残疾人的能力，确保残疾人就业保障金的稳定增收；构建残疾人公共服务网络化平台。</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维护妇女儿童合法权益促进妇女儿童发展职责：关注并加强研究涉及妇女切身利益的热点、难点问题，及时向镇委和镇政府反映社情民意，提出对策建议。妇女综合素质和发展能力有较大提升。妇女儿童合法权益得到有效维护，男女平等基本国策宣传进一步深入人心。</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工会事务管理职责：研究指导全办事处工会自身建设；承担工委、政府及全国总工会交办的其他事项。</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团委事务管理职责：负责团委综合业务管理。</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宣传事务管理职责：负责系统综合业务管理和机关综合事务管理。确保各项业务工作谋划到位、顺利开展。保障机关工作正常高效运转。</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党政综合办公室事务管理职责：按照有关要求，做好机关日常办公所需及办公区房屋与附属设施的维修、维护工作；做好机关办公区绿化、美化工作；做好后勤保障和老干部管理服务工作，保证了食品安全和城市拆迁建设工作顺利开展。综合协调各部门区直各单位、做好上传下达、文印收发、信息反馈、档案管理、机关事务，负责基层组织建设、党员教育管理理、干部考核与目标管理、老干部管理、农村精神文明建设、机构编制管理等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建设与环保政务管理职责：负责环境保护系统综合业务管理和机关综合事务管理。加强城乡建设与环保保护管理工作。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选举和任免管理职责：检查监督代表法、选举法及其实施办法的贯彻实施；承担人大换届选举及人事任免服务工作；负责对镇政府组成人员主要负责人的目标责任书、述职报告的督办工作。根据工作需要和镇委的建议，在充分酝酿和审议的基础上，选举产生一府两院的领导成员，确保选出能力突出、责任心强、有开拓精神的同志担任。为确保有关选举的法律法规符合实际，在充分考察调研的基础上，实施对其进行修改。对镇政府组成人员主要负责人进行目标责任监督，确保依法履行职责，完成目标任务。</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安全生产管理职责：协助安监局对广阳区域内采油站点、油气管线、铁路线路安全检查。协助广阳区安监局及油田铁路相关部门对我区内各采油站点、油气管线、铁路线路进行安全检查。排查安全隐患，保证我区内正常运行。</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政务管理职责：协助领导组织起草或审核上报区政府以及以政府办公室名义发布的公文；办理镇政府各部门和下级政府报送的文电；对部门间出现的争议问题提出处理意见；组织起草街道领导重要讲话及其他重要文稿；组织专题调研；承办领导交办的其他事项。依法行政，构建人民群众满意、勤政廉洁的政府部门；保障工作正常高效运行，相关工作顺利开展。以农村教育为重点，推进义务教育均衡发展，建立中小学校舍安全保障机制，改善薄弱学校办学条件，提高素质教育水平，开展丰富多彩的教学活动。促进公共教育资源向农村和经济欠发达地区倾斜。贯彻执行国家、省、市和区关于少数民族工作的方针政策及有关法律法规；协调处理涉及民族关系的有关事宜，监督办理少数民族权益保障事宜；帮扶民族地方经济发展；研究解决少数民族文化、教育、体育、科技等方面的特殊困难和问题，开展相关保护开发活动，开展民族团结进步宣传教育活动。实施重大动物疫病的预防控制、预测预警、疫情扑灭，促进养殖业发展，保护人体健康，维护公共卫生安全。农村农业各项补贴审核等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大气污染治理工作职责: 负责大气污染治理领导小组日常工作，制定大气污染治理工作规划、工作制度、有关方案和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通过制定大气污染治理工作计划、工作制度、工作方案及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等工作，实现大气污染防治年度治理目标，切实减少雾霾污染，有效改造空气质量。</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义务教育职责：以农村教育为重点，推进义务教育均衡发展，建立学校安全保障机制，改善薄弱学校办学条件，促进公共教育资源向农村和经济欠发达地区倾斜。提高义务教育公用经费保障水平，改善办学条件，均衡配置基础教育资源，缩小城镇、区域、校际之间办学差距。</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村街组织管理事务职责：负责村街党员发展；村街党组织活动；基层组织建设、党员教育管理、农村精神文明建设等工作。保障并提高村干部报酬，维持村级正常运转，开展村党组织活动，“三会一课”等，做好离任村干部及村街其他人员生活补助发放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廊坊市广阳区九州镇人民政府</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b/>
              </w:rPr>
              <w:t>廊坊市广阳区九州镇人民政府应急管理办公室</w:t>
            </w:r>
          </w:p>
        </w:tc>
        <w:tc>
          <w:tcPr>
            <w:tcW w:w="1134" w:type="dxa"/>
            <w:shd w:val="clear" w:color="auto" w:fill="auto"/>
          </w:tcPr>
          <w:p>
            <w:pPr>
              <w:jc w:val="cente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财政性基本保证</w:t>
            </w:r>
          </w:p>
        </w:tc>
        <w:tc>
          <w:tcPr>
            <w:tcW w:w="2902" w:type="dxa"/>
            <w:shd w:val="clear" w:color="auto" w:fill="auto"/>
          </w:tcPr>
          <w:p>
            <w:pPr>
              <w:jc w:val="cente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b/>
              </w:rPr>
              <w:t>廊坊市广阳区九州镇人民政府综合文化服务站</w:t>
            </w:r>
          </w:p>
        </w:tc>
        <w:tc>
          <w:tcPr>
            <w:tcW w:w="1134" w:type="dxa"/>
            <w:shd w:val="clear" w:color="auto" w:fill="auto"/>
          </w:tcPr>
          <w:p>
            <w:pPr>
              <w:jc w:val="center"/>
            </w:pPr>
            <w:r>
              <w:rPr>
                <w:rFonts w:hint="eastAsia" w:ascii="Times New Roman" w:hAnsi="Times New Roman" w:eastAsia="仿宋_GB2312" w:cs="Times New Roman"/>
                <w:b/>
              </w:rPr>
              <w:t>事业</w:t>
            </w:r>
          </w:p>
        </w:tc>
        <w:tc>
          <w:tcPr>
            <w:tcW w:w="1276" w:type="dxa"/>
            <w:shd w:val="clear" w:color="auto" w:fill="auto"/>
          </w:tcPr>
          <w:p>
            <w:r>
              <w:rPr>
                <w:rFonts w:ascii="Times New Roman" w:hAnsi="Times New Roman" w:eastAsia="仿宋_GB2312" w:cs="Times New Roman"/>
              </w:rPr>
              <w:t>财政性基本保证</w:t>
            </w:r>
          </w:p>
        </w:tc>
        <w:tc>
          <w:tcPr>
            <w:tcW w:w="2902" w:type="dxa"/>
            <w:shd w:val="clear" w:color="auto" w:fill="auto"/>
          </w:tcPr>
          <w:p>
            <w:pPr>
              <w:jc w:val="cente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b/>
              </w:rPr>
              <w:t>廊坊市广阳区九州镇人民政府自然资源和生态环境办公室</w:t>
            </w:r>
          </w:p>
        </w:tc>
        <w:tc>
          <w:tcPr>
            <w:tcW w:w="1134" w:type="dxa"/>
            <w:shd w:val="clear" w:color="auto" w:fill="auto"/>
          </w:tcPr>
          <w:p>
            <w:pPr>
              <w:jc w:val="center"/>
            </w:pPr>
            <w:r>
              <w:rPr>
                <w:rFonts w:hint="eastAsia" w:ascii="Times New Roman" w:hAnsi="Times New Roman" w:eastAsia="仿宋_GB2312" w:cs="Times New Roman"/>
                <w:b/>
              </w:rPr>
              <w:t>行政</w:t>
            </w:r>
          </w:p>
        </w:tc>
        <w:tc>
          <w:tcPr>
            <w:tcW w:w="1276" w:type="dxa"/>
            <w:shd w:val="clear" w:color="auto" w:fill="auto"/>
          </w:tcPr>
          <w:p>
            <w:r>
              <w:rPr>
                <w:rFonts w:ascii="Times New Roman" w:hAnsi="Times New Roman" w:eastAsia="仿宋_GB2312" w:cs="Times New Roman"/>
              </w:rPr>
              <w:t>财政性基本保证</w:t>
            </w:r>
          </w:p>
        </w:tc>
        <w:tc>
          <w:tcPr>
            <w:tcW w:w="2902" w:type="dxa"/>
            <w:shd w:val="clear" w:color="auto" w:fill="auto"/>
          </w:tcPr>
          <w:p>
            <w:pPr>
              <w:jc w:val="cente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rPr>
              <w:t>廊坊市广阳区九州镇小学</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事业</w:t>
            </w:r>
          </w:p>
        </w:tc>
        <w:tc>
          <w:tcPr>
            <w:tcW w:w="1276" w:type="dxa"/>
            <w:shd w:val="clear" w:color="auto" w:fill="auto"/>
          </w:tcPr>
          <w:p>
            <w:r>
              <w:rPr>
                <w:rFonts w:ascii="Times New Roman" w:hAnsi="Times New Roman" w:eastAsia="仿宋_GB2312" w:cs="Times New Roman"/>
              </w:rPr>
              <w:t>财政性基本保证</w:t>
            </w:r>
          </w:p>
        </w:tc>
        <w:tc>
          <w:tcPr>
            <w:tcW w:w="2902" w:type="dxa"/>
            <w:shd w:val="clear" w:color="auto" w:fill="auto"/>
          </w:tcPr>
          <w:p>
            <w:pPr>
              <w:jc w:val="cente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rPr>
              <w:t>廊坊市广阳区九州镇中学</w:t>
            </w:r>
          </w:p>
        </w:tc>
        <w:tc>
          <w:tcPr>
            <w:tcW w:w="1134" w:type="dxa"/>
            <w:shd w:val="clear" w:color="auto" w:fill="auto"/>
          </w:tcPr>
          <w:p>
            <w:pPr>
              <w:jc w:val="center"/>
            </w:pPr>
            <w:r>
              <w:rPr>
                <w:rFonts w:ascii="Times New Roman" w:hAnsi="Times New Roman" w:eastAsia="仿宋_GB2312" w:cs="Times New Roman"/>
              </w:rPr>
              <w:t>事业</w:t>
            </w:r>
          </w:p>
        </w:tc>
        <w:tc>
          <w:tcPr>
            <w:tcW w:w="1276" w:type="dxa"/>
            <w:shd w:val="clear" w:color="auto" w:fill="auto"/>
          </w:tcPr>
          <w:p>
            <w:r>
              <w:rPr>
                <w:rFonts w:ascii="Times New Roman" w:hAnsi="Times New Roman" w:eastAsia="仿宋_GB2312" w:cs="Times New Roman"/>
              </w:rPr>
              <w:t>财政性基本保证</w:t>
            </w:r>
          </w:p>
        </w:tc>
        <w:tc>
          <w:tcPr>
            <w:tcW w:w="2902" w:type="dxa"/>
            <w:shd w:val="clear" w:color="auto" w:fill="auto"/>
          </w:tcPr>
          <w:p>
            <w:pPr>
              <w:jc w:val="cente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ascii="Times New Roman" w:hAnsi="Times New Roman" w:eastAsia="仿宋_GB2312" w:cs="Times New Roman"/>
              </w:rPr>
              <w:t>廊坊市广阳区九州镇其他教育</w:t>
            </w:r>
          </w:p>
        </w:tc>
        <w:tc>
          <w:tcPr>
            <w:tcW w:w="1134" w:type="dxa"/>
            <w:shd w:val="clear" w:color="auto" w:fill="auto"/>
          </w:tcPr>
          <w:p>
            <w:pPr>
              <w:jc w:val="center"/>
            </w:pPr>
            <w:r>
              <w:rPr>
                <w:rFonts w:ascii="Times New Roman" w:hAnsi="Times New Roman" w:eastAsia="仿宋_GB2312" w:cs="Times New Roman"/>
              </w:rPr>
              <w:t>事业</w:t>
            </w:r>
          </w:p>
        </w:tc>
        <w:tc>
          <w:tcPr>
            <w:tcW w:w="1276" w:type="dxa"/>
            <w:shd w:val="clear" w:color="auto" w:fill="auto"/>
          </w:tcPr>
          <w:p>
            <w:r>
              <w:rPr>
                <w:rFonts w:ascii="Times New Roman" w:hAnsi="Times New Roman" w:eastAsia="仿宋_GB2312" w:cs="Times New Roman"/>
              </w:rPr>
              <w:t>财政性基本保证</w:t>
            </w:r>
          </w:p>
        </w:tc>
        <w:tc>
          <w:tcPr>
            <w:tcW w:w="2902" w:type="dxa"/>
            <w:shd w:val="clear" w:color="auto" w:fill="auto"/>
          </w:tcPr>
          <w:p>
            <w:pPr>
              <w:jc w:val="cente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广阳区九州镇人民政府</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5461.85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5461.85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广阳区九州镇人民政府2021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5461.85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5409.03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5264.25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144.78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52.82</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运维经费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非公办教师经费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5461.85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442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225.03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增加人员经费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减少667.03</w:t>
      </w:r>
      <w:r>
        <w:rPr>
          <w:rFonts w:ascii="Times New Roman" w:hAnsi="Times New Roman" w:eastAsia="仿宋_GB2312" w:cs="Times New Roman"/>
          <w:sz w:val="32"/>
          <w:szCs w:val="32"/>
        </w:rPr>
        <w:t>万元，主要减少为</w:t>
      </w:r>
      <w:r>
        <w:rPr>
          <w:rFonts w:hint="eastAsia" w:ascii="Times New Roman" w:hAnsi="Times New Roman" w:eastAsia="仿宋_GB2312" w:cs="Times New Roman"/>
          <w:sz w:val="32"/>
          <w:szCs w:val="32"/>
        </w:rPr>
        <w:t>村级组织运转经费</w:t>
      </w:r>
      <w:r>
        <w:rPr>
          <w:rFonts w:ascii="Times New Roman" w:hAnsi="Times New Roman" w:eastAsia="仿宋_GB2312" w:cs="Times New Roman"/>
          <w:sz w:val="32"/>
          <w:szCs w:val="32"/>
        </w:rPr>
        <w:t>项目支出。</w:t>
      </w:r>
    </w:p>
    <w:p>
      <w:pPr>
        <w:spacing w:line="584"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144.78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九州镇人民政府</w:t>
      </w:r>
      <w:r>
        <w:rPr>
          <w:rFonts w:ascii="Times New Roman" w:hAnsi="Times New Roman" w:eastAsia="仿宋_GB2312" w:cs="Times New Roman"/>
          <w:sz w:val="32"/>
          <w:szCs w:val="32"/>
        </w:rPr>
        <w:t>机关及所属事业单位办公区的日常维修、办公用房水电费、办公用房取暖费、办公用房物业管理费等日常运行支出。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。与2020年度持平，无增减变化。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以习近平新时代中国特色社会主义思想为指导，全面贯彻落实党的十九届二中、三中、四中全会会议精神，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1、持续提升政务服务与管理工作水平</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公文及时起草或办理，公文起草及办理的质量和效率满足《机关工作标准化流程》要求，拟办意见采纳率90%以上；会议计划100%执行，大型会议圆满完成率达到100%；政务公开及村务公开的完成率达到95%。</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2、持续提升政府电子政务管理水平</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做好电子政务网络的建设和维护以及数据资源中心建设和运维管理，保障政府网络系统安全、稳定运行。严格执行会议技术保障服务流程、视频会议管理制度，提高及时保障和服务能力。做好设备器材保障，确保日常工作运转硬件设备完好。做好政府门户网站建设和运维管理，确保政府门户网站正常运转。</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政府电子政务网络对各个应用信息系统提供支撑的满足情况达到99%以上；网络可用性：网络具有高可靠性，保证应用系统的正常运行，年电路可用率达到99%；做好政府门户网站日常管理，保障门户网站符合国办相关要求，确保正常运行；异常报告及时率、异常漏报率符合标准，确保网络安全、可靠和稳定运行；用户满意度高于95%。</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3、提升应急管理水平</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绩效目标:建设运行维护好镇政府应急平台，实现各种实用功能，有效保证镇政府日常应急值守和突发事件应对处置工作；进一步加强应急宣传工作，拓宽宣教渠道、扩大受众面、增强工作实效；充分发做好指导、协调各部门应急工作，确保信息报送及时畅通，不出差错和问题。 </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绩效指标：保障日常应急值守和突发事件及时处理，处理率达到95%；做好应急宣传工作，宣传覆盖面积达到95%以上。</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4、持续提升综合业务事务管理水平</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做好辖区内散乱污、饭店油烟、VOC企业、汽修企业、工地扬尘治理管控工作，使得环境得到改善，天气优良率提升；加强和完善社区治理事关基层和谐稳定，进一步健全城乡社区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spacing w:line="584" w:lineRule="exact"/>
        <w:ind w:firstLine="640" w:firstLineChars="200"/>
        <w:jc w:val="left"/>
        <w:rPr>
          <w:rFonts w:ascii="仿宋" w:hAnsi="仿宋" w:eastAsia="仿宋" w:cs="仿宋"/>
          <w:b/>
          <w:sz w:val="32"/>
          <w:szCs w:val="32"/>
        </w:rPr>
      </w:pPr>
      <w:r>
        <w:rPr>
          <w:rFonts w:hint="eastAsia" w:ascii="仿宋" w:hAnsi="仿宋" w:eastAsia="仿宋" w:cs="仿宋"/>
          <w:sz w:val="32"/>
          <w:szCs w:val="32"/>
        </w:rPr>
        <w:t>绩效指标：做好散乱污等治理工作，改善辖区内环境，优良天气增加；加强社区建设，更好为社区服务，使服务群众满意，满意度达到95%及以上；做好村级公益事业建设一事一议财政奖补、扶持村集体经济试点等工作，使得村街环境等得到改善，群众满意度达到95%及以上；做好村街党员发展、困难单元慰问，基层党组织建设，党组织活动开展及党员教育活动，使得党员素质得到提高，更好的为村级服务，群众满意度达到95%及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ascii="Times New Roman" w:eastAsia="方正仿宋_GBK"/>
          <w:sz w:val="28"/>
        </w:rPr>
      </w:pPr>
      <w:r>
        <w:rPr>
          <w:rFonts w:ascii="Times New Roman" w:eastAsia="方正仿宋_GBK"/>
          <w:sz w:val="28"/>
        </w:rP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spacing w:line="500" w:lineRule="exact"/>
        <w:ind w:firstLine="560" w:firstLineChars="200"/>
        <w:jc w:val="left"/>
        <w:rPr>
          <w:rFonts w:ascii="Times New Roman" w:eastAsia="方正仿宋_GBK"/>
          <w:sz w:val="28"/>
        </w:rPr>
      </w:pPr>
      <w:r>
        <w:rPr>
          <w:rFonts w:ascii="Times New Roman" w:eastAsia="方正仿宋_GBK"/>
          <w:sz w:val="28"/>
        </w:rPr>
        <w:t>2、强化预算执行。将年度工作目标任务细化分解，落实到岗、落实到人。科学制定预算使用计划，加快履行政府采购程序，督促相关科室加快项目执行，根据需要召开调度会，及时协调解决工作中存在的困难和问题。</w:t>
      </w:r>
    </w:p>
    <w:p>
      <w:pPr>
        <w:spacing w:line="500" w:lineRule="exact"/>
        <w:ind w:firstLine="560" w:firstLineChars="200"/>
        <w:jc w:val="left"/>
        <w:rPr>
          <w:rFonts w:ascii="Times New Roman" w:eastAsia="方正仿宋_GBK"/>
          <w:sz w:val="28"/>
        </w:rPr>
      </w:pPr>
      <w:r>
        <w:rPr>
          <w:rFonts w:ascii="Times New Roman" w:eastAsia="方正仿宋_GBK"/>
          <w:sz w:val="28"/>
        </w:rPr>
        <w:t>3、加强内控建设。建立健全内部控制体系，认真执行财经法规和政策要求，对重大支出、资产处置及其他重要经济事项进行有效监督，并完善内部审计，配合做好审计、财政等外部检查，确保资金使用安全有效。</w:t>
      </w:r>
    </w:p>
    <w:p>
      <w:pPr>
        <w:overflowPunct w:val="0"/>
        <w:adjustRightInd w:val="0"/>
        <w:snapToGrid w:val="0"/>
        <w:spacing w:after="156" w:afterLines="50" w:line="580" w:lineRule="exact"/>
        <w:ind w:firstLine="548" w:firstLineChars="196"/>
        <w:jc w:val="left"/>
        <w:rPr>
          <w:rFonts w:ascii="Times New Roman" w:eastAsia="方正仿宋_GBK"/>
          <w:sz w:val="28"/>
        </w:rPr>
      </w:pPr>
      <w:r>
        <w:rPr>
          <w:rFonts w:ascii="Times New Roman" w:eastAsia="方正仿宋_GBK"/>
          <w:sz w:val="28"/>
        </w:rPr>
        <w:t>4、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发放人数</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享受此项待遇覆盖人数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实际人数</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实际工作量完成率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实际完成的工作量占计划完成的工作量的比率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90.00</w:t>
            </w:r>
            <w:r>
              <w:rPr>
                <w:rFonts w:ascii="方正书宋_GBK" w:eastAsia="方正书宋_GBK"/>
              </w:rPr>
              <w:tab/>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支付及时率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支付的及时性</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90.00</w:t>
            </w:r>
            <w:r>
              <w:rPr>
                <w:rFonts w:ascii="方正书宋_GBK" w:eastAsia="方正书宋_GBK"/>
              </w:rPr>
              <w:tab/>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控制在预算内</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控制在预算内</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按预算执行</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提高工作积极性</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是否提高工作人员的工作积极性</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90.00</w:t>
            </w:r>
            <w:r>
              <w:rPr>
                <w:rFonts w:ascii="方正书宋_GBK" w:eastAsia="方正书宋_GBK"/>
              </w:rPr>
              <w:tab/>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长期使用性</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能够长期较好地满足工作需求。</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90.00</w:t>
            </w:r>
            <w:r>
              <w:rPr>
                <w:rFonts w:ascii="方正书宋_GBK" w:eastAsia="方正书宋_GBK"/>
              </w:rPr>
              <w:tab/>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满意人数占总人数的比率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90.00</w:t>
            </w:r>
            <w:r>
              <w:rPr>
                <w:rFonts w:ascii="方正书宋_GBK" w:eastAsia="方正书宋_GBK"/>
              </w:rPr>
              <w:tab/>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按相关政策</w:t>
            </w:r>
          </w:p>
        </w:tc>
      </w:tr>
    </w:tbl>
    <w:p>
      <w:pPr>
        <w:spacing w:line="584" w:lineRule="exact"/>
        <w:rPr>
          <w:rFonts w:ascii="仿宋_GB2312" w:eastAsia="仿宋_GB2312" w:cs="Times New Roman"/>
          <w:sz w:val="32"/>
          <w:szCs w:val="32"/>
        </w:rPr>
      </w:pPr>
    </w:p>
    <w:p>
      <w:pPr>
        <w:numPr>
          <w:ilvl w:val="0"/>
          <w:numId w:val="1"/>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1.运维经费绩效目标表</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开展冬季防火、党建宣传等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机关线路、管道老化维修</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确保高质量完成全镇各项工作任务</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办公设备的维护</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办公设备的维护次数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次</w:t>
            </w:r>
            <w:r>
              <w:rPr>
                <w:rFonts w:ascii="方正书宋_GBK" w:eastAsia="方正书宋_GBK"/>
              </w:rPr>
              <w:t>\</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廊广九政字</w:t>
            </w:r>
            <w:r>
              <w:rPr>
                <w:rFonts w:ascii="方正书宋_GBK" w:eastAsia="方正书宋_GBK"/>
              </w:rPr>
              <w:t>[2021]14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设备正常运转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保障机关办公设备正常运转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廊广九政字</w:t>
            </w:r>
            <w:r>
              <w:rPr>
                <w:rFonts w:ascii="方正书宋_GBK" w:eastAsia="方正书宋_GBK"/>
              </w:rPr>
              <w:t>[2021]14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按照要求和计划完成维护修缮项目在所有立项项目中的比例（百分比）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廊广九政字</w:t>
            </w:r>
            <w:r>
              <w:rPr>
                <w:rFonts w:ascii="方正书宋_GBK" w:eastAsia="方正书宋_GBK"/>
              </w:rPr>
              <w:t>[2021]14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保障机关工作正常运行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保障机关工作正常运行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廊广九政字</w:t>
            </w:r>
            <w:r>
              <w:rPr>
                <w:rFonts w:ascii="方正书宋_GBK" w:eastAsia="方正书宋_GBK"/>
              </w:rPr>
              <w:t>[2021]14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宣传工作完成情况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是否按年度计划完成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廊广九政字</w:t>
            </w:r>
            <w:r>
              <w:rPr>
                <w:rFonts w:ascii="方正书宋_GBK" w:eastAsia="方正书宋_GBK"/>
              </w:rPr>
              <w:t>[2021]14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延长机关设备使用年限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明显延长</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廊广九政字</w:t>
            </w:r>
            <w:r>
              <w:rPr>
                <w:rFonts w:ascii="方正书宋_GBK" w:eastAsia="方正书宋_GBK"/>
              </w:rPr>
              <w:t>[2021]14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调查人数满意数量占总人数的比例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廊广九政字</w:t>
            </w:r>
            <w:r>
              <w:rPr>
                <w:rFonts w:ascii="方正书宋_GBK" w:eastAsia="方正书宋_GBK"/>
              </w:rPr>
              <w:t>[2021]14</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仿宋" w:hAnsi="仿宋" w:eastAsia="仿宋" w:cs="仿宋"/>
          <w:bCs/>
          <w:sz w:val="32"/>
          <w:szCs w:val="32"/>
        </w:rPr>
      </w:pPr>
      <w:bookmarkStart w:id="0" w:name="_Toc67213458"/>
      <w:r>
        <w:rPr>
          <w:rFonts w:hint="eastAsia" w:ascii="仿宋" w:hAnsi="仿宋" w:eastAsia="仿宋" w:cs="仿宋"/>
          <w:bCs/>
          <w:sz w:val="32"/>
          <w:szCs w:val="32"/>
        </w:rPr>
        <w:t>2.非公办教师经费绩效目标表</w:t>
      </w:r>
      <w:bookmarkEnd w:id="0"/>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TC 2、非公办教师经费绩效目标表 \f C \l 1 </w:instrText>
      </w:r>
      <w:r>
        <w:rPr>
          <w:rFonts w:hint="eastAsia" w:ascii="仿宋" w:hAnsi="仿宋" w:eastAsia="仿宋" w:cs="仿宋"/>
          <w:bCs/>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确保民师工资足额发放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确保民师工资及时发放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及时缴纳民师各类保险</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享受待遇胡民师人数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人</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足额发放民师工资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是否足额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足额</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是否及时发放到位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提高非公办教师整体教学水平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提高非公办教师整体教学水平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调查中满意和较满意民师占总人数比率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5.28</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方正小标宋_GBK" w:eastAsia="方正小标宋_GBK" w:cs="Times New Roman"/>
          <w:sz w:val="32"/>
        </w:rPr>
      </w:pPr>
      <w:bookmarkStart w:id="2" w:name="_Toc64920910"/>
    </w:p>
    <w:p>
      <w:pPr>
        <w:jc w:val="center"/>
        <w:outlineLvl w:val="1"/>
        <w:rPr>
          <w:rFonts w:cs="Times New Roman" w:asciiTheme="majorEastAsia" w:hAnsiTheme="majorEastAsia" w:eastAsiaTheme="majorEastAsia"/>
          <w:sz w:val="32"/>
        </w:rPr>
      </w:pPr>
      <w:r>
        <w:rPr>
          <w:rFonts w:hint="eastAsia" w:cs="Times New Roman" w:asciiTheme="majorEastAsia" w:hAnsiTheme="majorEastAsia" w:eastAsiaTheme="majorEastAsia"/>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cs="Times New Roman" w:eastAsiaTheme="minorEastAsia"/>
                <w:sz w:val="24"/>
              </w:rPr>
            </w:pPr>
            <w:r>
              <w:rPr>
                <w:rFonts w:hint="eastAsia" w:ascii="方正小标宋_GBK" w:eastAsia="方正小标宋_GBK" w:cs="Times New Roman"/>
                <w:sz w:val="24"/>
              </w:rPr>
              <w:t>912</w:t>
            </w:r>
            <w:r>
              <w:rPr>
                <w:rFonts w:ascii="方正小标宋_GBK" w:eastAsia="方正小标宋_GBK" w:cs="Times New Roman"/>
                <w:sz w:val="24"/>
              </w:rPr>
              <w:t>廊坊市</w:t>
            </w:r>
            <w:r>
              <w:rPr>
                <w:rFonts w:hint="eastAsia" w:ascii="方正小标宋_GBK" w:eastAsiaTheme="minorEastAsia"/>
                <w:sz w:val="24"/>
              </w:rPr>
              <w:t>广阳区九州镇人民政府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廊坊市广阳区九州镇人民政府小计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5.28</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5.28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广阳区九州镇人民政府</w:t>
      </w:r>
      <w:r>
        <w:rPr>
          <w:rFonts w:ascii="Times New Roman" w:hAnsi="Times New Roman" w:eastAsia="仿宋_GB2312" w:cs="Times New Roman"/>
          <w:sz w:val="32"/>
          <w:szCs w:val="32"/>
        </w:rPr>
        <w:t>（含所属单位）上年末固定资产金额为528.3万元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w:t>
      </w:r>
      <w:r>
        <w:rPr>
          <w:rFonts w:hint="eastAsia" w:ascii="Times New Roman" w:hAnsi="Times New Roman" w:eastAsia="仿宋_GB2312" w:cs="Times New Roman"/>
          <w:sz w:val="32"/>
          <w:szCs w:val="32"/>
        </w:rPr>
        <w:t>我部门拟购</w:t>
      </w:r>
      <w:r>
        <w:rPr>
          <w:rFonts w:ascii="Times New Roman" w:hAnsi="Times New Roman" w:eastAsia="仿宋_GB2312" w:cs="Times New Roman"/>
          <w:sz w:val="32"/>
          <w:szCs w:val="32"/>
        </w:rPr>
        <w:t>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5.28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主要为计算机设备、打印设备、空调等，已列入政府采购预算。详见</w:t>
      </w:r>
      <w:r>
        <w:rPr>
          <w:rFonts w:hint="eastAsia" w:ascii="Times New Roman" w:hAnsi="Times New Roman" w:eastAsia="仿宋_GB2312" w:cs="Times New Roman"/>
          <w:sz w:val="32"/>
          <w:szCs w:val="32"/>
        </w:rPr>
        <w:t>政府采购预算表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广阳区九州镇人民政府部门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广阳区九州镇人民政府</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528.3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10455</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490.05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10455</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490.05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38.25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8B339A"/>
    <w:multiLevelType w:val="singleLevel"/>
    <w:tmpl w:val="168B339A"/>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E6181"/>
    <w:rsid w:val="00191408"/>
    <w:rsid w:val="001A56FC"/>
    <w:rsid w:val="002C14ED"/>
    <w:rsid w:val="002C5EE0"/>
    <w:rsid w:val="00301F9F"/>
    <w:rsid w:val="00311CCF"/>
    <w:rsid w:val="00356683"/>
    <w:rsid w:val="003B2F06"/>
    <w:rsid w:val="00426952"/>
    <w:rsid w:val="004A54AA"/>
    <w:rsid w:val="005A1A15"/>
    <w:rsid w:val="00603C05"/>
    <w:rsid w:val="00607416"/>
    <w:rsid w:val="006E4FED"/>
    <w:rsid w:val="00723FDC"/>
    <w:rsid w:val="00807A76"/>
    <w:rsid w:val="00833E6C"/>
    <w:rsid w:val="008B6FF3"/>
    <w:rsid w:val="008C5CA4"/>
    <w:rsid w:val="008F0EB4"/>
    <w:rsid w:val="009F6C40"/>
    <w:rsid w:val="00A218C6"/>
    <w:rsid w:val="00A650A7"/>
    <w:rsid w:val="00B025D1"/>
    <w:rsid w:val="00B17B32"/>
    <w:rsid w:val="00B80935"/>
    <w:rsid w:val="00BA5E5E"/>
    <w:rsid w:val="00BE1676"/>
    <w:rsid w:val="00D347CC"/>
    <w:rsid w:val="00D91D78"/>
    <w:rsid w:val="00E006CC"/>
    <w:rsid w:val="00E27CE3"/>
    <w:rsid w:val="00EE3144"/>
    <w:rsid w:val="00EE67FC"/>
    <w:rsid w:val="00F5554A"/>
    <w:rsid w:val="15AE7D8B"/>
    <w:rsid w:val="22646953"/>
    <w:rsid w:val="491061CC"/>
    <w:rsid w:val="49E9746A"/>
    <w:rsid w:val="4BAE1199"/>
    <w:rsid w:val="4D597B7F"/>
    <w:rsid w:val="5A7D79DD"/>
    <w:rsid w:val="767E6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1235</Words>
  <Characters>7046</Characters>
  <Lines>58</Lines>
  <Paragraphs>16</Paragraphs>
  <TotalTime>29</TotalTime>
  <ScaleCrop>false</ScaleCrop>
  <LinksUpToDate>false</LinksUpToDate>
  <CharactersWithSpaces>8265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2022-07-08T08:34:54Z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37791A7A0B6349C0BAA3598EDA6D8520</vt:lpwstr>
  </property>
</Properties>
</file>