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7" w:name="_GoBack"/>
      <w:r>
        <w:rPr>
          <w:rFonts w:hint="eastAsia" w:ascii="Times New Roman" w:hAnsi="Times New Roman" w:eastAsia="方正小标宋简体" w:cs="Times New Roman"/>
          <w:sz w:val="44"/>
          <w:szCs w:val="44"/>
        </w:rPr>
        <w:t>南尖塔镇人民政府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仿宋" w:hAnsi="仿宋" w:eastAsia="仿宋" w:cs="Times New Roman"/>
          <w:sz w:val="32"/>
          <w:szCs w:val="32"/>
        </w:rPr>
        <w:t>南尖塔镇人民政府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 xml:space="preserve">政务服务职责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政务公开、镇政府、街办处会议管理、督察督办、政务联络等工作。</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应急管理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基层政府值班工作，及时报告重要情况，传达和督促落实镇政府领导指示。协助镇政府领导做好需由基层政府组织处理的突发事件应急处置工作。</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残疾人综合业务管理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对持证残疾人需求情况进行调查，对残疾人状况进行动态监测，加强和规范残疾人基层组织建设，加大残疾人就业保障金的征收力度，加强残疾人工作信息化建设和基础研究</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维护妇女儿童合法权益促进妇女儿童发展</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关注并加强研究涉及妇女切身利益的热点、难点问题，及时向镇委和镇政府反映社情民意，提出对策建议。</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 xml:space="preserve">工会事务管理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研究指导全镇工会自身建设；承担镇委、镇政府及全国总工会交办的其他事项。</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 xml:space="preserve">团委事务管理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参与制定全镇的青少年事业发展规划和青少年工作方针、政策;承担镇委、镇政府和团中央交办的有关事项。</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 xml:space="preserve">宣传事务管理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b/>
          <w:sz w:val="32"/>
          <w:szCs w:val="32"/>
        </w:rPr>
      </w:pPr>
      <w:r>
        <w:rPr>
          <w:rFonts w:hint="eastAsia" w:ascii="仿宋" w:hAnsi="仿宋" w:eastAsia="仿宋" w:cs="仿宋"/>
          <w:sz w:val="32"/>
          <w:szCs w:val="32"/>
        </w:rPr>
        <w:t>负责系统综合业务管理和机关综合事务管理。</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 xml:space="preserve">义务教育     </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以农村教育为重点，推进义务教育均衡发展，建立中小学校舍安全保障机制，改善薄弱学校办学条件，促进公共教育资源向农村和经济欠发达地区倾斜。</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9.</w:t>
      </w:r>
      <w:r>
        <w:rPr>
          <w:rFonts w:hint="eastAsia" w:ascii="仿宋" w:hAnsi="仿宋" w:eastAsia="仿宋" w:cs="仿宋"/>
          <w:b/>
          <w:sz w:val="32"/>
          <w:szCs w:val="32"/>
        </w:rPr>
        <w:t>地方志事务</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弘扬和传承优秀文化传统，充分发挥志书“资政、存史、教化”的综合功能，为社会各界方便快捷提供县情，为本县经济社会建设服务，为地方志工作者提供资料和工具。</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10.</w:t>
      </w:r>
      <w:r>
        <w:rPr>
          <w:rFonts w:hint="eastAsia" w:ascii="仿宋" w:hAnsi="仿宋" w:eastAsia="仿宋" w:cs="仿宋"/>
          <w:b/>
          <w:sz w:val="32"/>
          <w:szCs w:val="32"/>
        </w:rPr>
        <w:t>党政综合办公室事务管理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负责环境保护系统综合业务管理和机关综合事务管理。</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11.</w:t>
      </w:r>
      <w:r>
        <w:rPr>
          <w:rFonts w:hint="eastAsia" w:ascii="仿宋" w:hAnsi="仿宋" w:eastAsia="仿宋" w:cs="仿宋"/>
          <w:b/>
          <w:sz w:val="32"/>
          <w:szCs w:val="32"/>
        </w:rPr>
        <w:t>土地城建政务管理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负责土地征迁、拆除违建、公共住房等，负责环境保护系统综合业务管理和机关综合事务管理。</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12.</w:t>
      </w:r>
      <w:r>
        <w:rPr>
          <w:rFonts w:hint="eastAsia" w:ascii="仿宋" w:hAnsi="仿宋" w:eastAsia="仿宋" w:cs="仿宋"/>
          <w:b/>
          <w:sz w:val="32"/>
          <w:szCs w:val="32"/>
        </w:rPr>
        <w:t>安全生产</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协助广阳区安监局及油田铁路相关部门对我区内各采油站点、油气管线、铁路线路进行安全检查。排查安全隐患，保证我区内正常运行</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13.</w:t>
      </w:r>
      <w:r>
        <w:rPr>
          <w:rFonts w:hint="eastAsia" w:ascii="仿宋" w:hAnsi="仿宋" w:eastAsia="仿宋" w:cs="仿宋"/>
          <w:b/>
          <w:sz w:val="32"/>
          <w:szCs w:val="32"/>
        </w:rPr>
        <w:t xml:space="preserve">政务管理 </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14.</w:t>
      </w:r>
      <w:r>
        <w:rPr>
          <w:rFonts w:hint="eastAsia" w:ascii="仿宋" w:hAnsi="仿宋" w:eastAsia="仿宋" w:cs="仿宋"/>
          <w:b/>
          <w:sz w:val="32"/>
          <w:szCs w:val="32"/>
        </w:rPr>
        <w:t>党建事务管理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负责党的政治建设、组织建设、基层服务、负责党员教育管理干部考核、人事管理、机构编制等工作。</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15.</w:t>
      </w:r>
      <w:r>
        <w:rPr>
          <w:rFonts w:hint="eastAsia" w:ascii="仿宋" w:hAnsi="仿宋" w:eastAsia="仿宋" w:cs="仿宋"/>
          <w:b/>
          <w:sz w:val="32"/>
          <w:szCs w:val="32"/>
        </w:rPr>
        <w:t>自然资源和生态环境事务管理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负责辖区内自然资源和生态环境保护工作，负责乡村道路建设管理，水环境治理，大气污染防治，人居环境改善等</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16.</w:t>
      </w:r>
      <w:r>
        <w:rPr>
          <w:rFonts w:hint="eastAsia" w:ascii="仿宋" w:hAnsi="仿宋" w:eastAsia="仿宋" w:cs="仿宋"/>
          <w:b/>
          <w:sz w:val="32"/>
          <w:szCs w:val="32"/>
        </w:rPr>
        <w:t>综合行政执法队事务管理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负责信息化网格管理，社会综合治理、调解纠纷等工作。</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17.</w:t>
      </w:r>
      <w:r>
        <w:rPr>
          <w:rFonts w:hint="eastAsia" w:ascii="仿宋" w:hAnsi="仿宋" w:eastAsia="仿宋" w:cs="仿宋"/>
          <w:b/>
          <w:sz w:val="32"/>
          <w:szCs w:val="32"/>
        </w:rPr>
        <w:t>行政综合服务中心事务管理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负责辖区内计划生育、社会保障、民政事务、残疾人保障、医疗保障、等工作。</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18.</w:t>
      </w:r>
      <w:r>
        <w:rPr>
          <w:rFonts w:hint="eastAsia" w:ascii="仿宋" w:hAnsi="仿宋" w:eastAsia="仿宋" w:cs="仿宋"/>
          <w:b/>
          <w:sz w:val="32"/>
          <w:szCs w:val="32"/>
        </w:rPr>
        <w:t>农业综合服务事务管理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负责农业水利等工作，经济发展，负责辖区内村民委员会成员的任期和离任经济责任审计。负责农村“三资”管理村务公开</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19.</w:t>
      </w:r>
      <w:r>
        <w:rPr>
          <w:rFonts w:hint="eastAsia" w:ascii="仿宋" w:hAnsi="仿宋" w:eastAsia="仿宋" w:cs="仿宋"/>
          <w:b/>
          <w:sz w:val="32"/>
          <w:szCs w:val="32"/>
        </w:rPr>
        <w:t xml:space="preserve">退役军人事务管理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负责辖区内退役军人信息采集思想政治建设、拥军优抚等。</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20.</w:t>
      </w:r>
      <w:r>
        <w:rPr>
          <w:rFonts w:hint="eastAsia" w:ascii="仿宋" w:hAnsi="仿宋" w:eastAsia="仿宋" w:cs="仿宋"/>
          <w:b/>
          <w:sz w:val="32"/>
          <w:szCs w:val="32"/>
        </w:rPr>
        <w:t>社区建设和物业监督事务管理</w:t>
      </w:r>
      <w:r>
        <w:rPr>
          <w:rFonts w:hint="eastAsia" w:ascii="仿宋" w:hAnsi="仿宋" w:eastAsia="仿宋" w:cs="仿宋"/>
          <w:sz w:val="32"/>
          <w:szCs w:val="32"/>
        </w:rPr>
        <w:t xml:space="preserve"> </w:t>
      </w:r>
    </w:p>
    <w:p>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负责社区事务管理、居民委员会组织建设、居家养老服务。社区日常管理、负责协调物业管理纠纷。</w:t>
      </w:r>
    </w:p>
    <w:p>
      <w:pPr>
        <w:spacing w:line="584" w:lineRule="exact"/>
        <w:ind w:firstLine="660"/>
        <w:rPr>
          <w:rFonts w:hint="eastAsia"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rPr>
                <w:rFonts w:ascii="Times New Roman" w:hAnsi="Times New Roman" w:eastAsia="仿宋_GB2312" w:cs="Times New Roman"/>
                <w:b/>
              </w:rPr>
            </w:pPr>
            <w:r>
              <w:rPr>
                <w:rFonts w:hint="eastAsia" w:ascii="Times New Roman" w:hAnsi="Times New Roman" w:eastAsia="仿宋_GB2312" w:cs="Times New Roman"/>
                <w:b/>
              </w:rPr>
              <w:t>廊坊市广阳区南尖塔镇人民政府本级</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rPr>
                <w:rFonts w:ascii="Times New Roman" w:hAnsi="Times New Roman" w:eastAsia="仿宋_GB2312" w:cs="Times New Roman"/>
                <w:b/>
              </w:rPr>
            </w:pPr>
            <w:r>
              <w:rPr>
                <w:rFonts w:hint="eastAsia" w:ascii="Times New Roman" w:hAnsi="Times New Roman" w:eastAsia="仿宋_GB2312" w:cs="Times New Roman"/>
                <w:b/>
              </w:rPr>
              <w:t>廊坊市广阳区南尖塔镇应急管理办公室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廊坊市广阳区南尖塔镇自然资源和生态环境办公室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rPr>
                <w:rFonts w:ascii="Times New Roman" w:hAnsi="Times New Roman" w:eastAsia="仿宋_GB2312" w:cs="Times New Roman"/>
                <w:b/>
              </w:rPr>
            </w:pPr>
            <w:r>
              <w:rPr>
                <w:rFonts w:hint="eastAsia" w:ascii="Times New Roman" w:hAnsi="Times New Roman" w:eastAsia="仿宋_GB2312" w:cs="Times New Roman"/>
                <w:b/>
              </w:rPr>
              <w:t>廊坊市广阳区南尖塔镇综合文化服务站</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rPr>
                <w:rFonts w:ascii="Times New Roman" w:hAnsi="Times New Roman" w:eastAsia="仿宋_GB2312" w:cs="Times New Roman"/>
                <w:b/>
              </w:rPr>
            </w:pPr>
            <w:r>
              <w:rPr>
                <w:rFonts w:hint="eastAsia" w:ascii="Times New Roman" w:hAnsi="Times New Roman" w:eastAsia="仿宋_GB2312" w:cs="Times New Roman"/>
                <w:b/>
              </w:rPr>
              <w:t>廊坊市广阳区南尖塔镇小学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color w:val="000000" w:themeColor="text1"/>
                <w:sz w:val="28"/>
                <w:szCs w:val="28"/>
              </w:rPr>
            </w:pPr>
            <w:r>
              <w:rPr>
                <w:rFonts w:ascii="Times New Roman" w:hAnsi="Times New Roman" w:eastAsia="仿宋" w:cs="Times New Roman"/>
                <w:color w:val="000000" w:themeColor="text1"/>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廊坊市广阳区南尖塔镇中学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8"/>
                <w:szCs w:val="28"/>
              </w:rPr>
              <w:t>正科级</w:t>
            </w:r>
          </w:p>
        </w:tc>
        <w:tc>
          <w:tcPr>
            <w:tcW w:w="2902" w:type="dxa"/>
            <w:shd w:val="clear" w:color="auto" w:fill="auto"/>
            <w:vAlign w:val="center"/>
          </w:tcPr>
          <w:p>
            <w:pPr>
              <w:spacing w:line="584" w:lineRule="exact"/>
              <w:jc w:val="center"/>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廊坊市广阳区南尖塔镇其他教育</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8"/>
                <w:szCs w:val="28"/>
              </w:rPr>
              <w:t>正科级</w:t>
            </w:r>
          </w:p>
        </w:tc>
        <w:tc>
          <w:tcPr>
            <w:tcW w:w="2902" w:type="dxa"/>
            <w:shd w:val="clear" w:color="auto" w:fill="auto"/>
            <w:vAlign w:val="center"/>
          </w:tcPr>
          <w:p>
            <w:pPr>
              <w:spacing w:line="584" w:lineRule="exact"/>
              <w:jc w:val="center"/>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8"/>
                <w:szCs w:val="28"/>
              </w:rPr>
              <w:t>财政性资金基本保证</w:t>
            </w:r>
          </w:p>
        </w:tc>
      </w:tr>
    </w:tbl>
    <w:p>
      <w:pPr>
        <w:spacing w:line="584" w:lineRule="exact"/>
        <w:ind w:firstLine="640" w:firstLineChars="200"/>
        <w:rPr>
          <w:rFonts w:hint="eastAsia"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机关</w:t>
      </w:r>
      <w:r>
        <w:rPr>
          <w:rFonts w:ascii="Times New Roman" w:hAnsi="Times New Roman" w:eastAsia="仿宋_GB2312" w:cs="Times New Roman"/>
          <w:color w:val="000000" w:themeColor="text1"/>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6062.67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6062.67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南尖塔镇人民政府</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6062.67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5160.7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5000.29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160.41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901.97</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南尖塔镇政府非公办教师工资及各项保险费用，社区聘用人员工资及保险，人居环境整治资金。</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6062.67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420.53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减少13.14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人员减少</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433.67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社区招聘人员增加</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160.41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南尖塔镇人民政府机关及所属事业单位</w:t>
      </w:r>
      <w:r>
        <w:rPr>
          <w:rFonts w:ascii="Times New Roman" w:hAnsi="Times New Roman" w:eastAsia="仿宋_GB2312" w:cs="Times New Roman"/>
          <w:sz w:val="32"/>
          <w:szCs w:val="32"/>
        </w:rPr>
        <w:t>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color w:val="000000" w:themeColor="text1"/>
          <w:sz w:val="32"/>
          <w:szCs w:val="32"/>
          <w:lang w:eastAsia="zh-CN"/>
        </w:rPr>
        <w:t>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以习近平新时代中国特色社会主义思想为指导，全面贯彻落实党的十九届二中、三中、四中全会会议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持续提升政务服务与管理工作水平</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2、持续提升政府电子政务管理水平</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3、提升应急管理水平</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绩效指标：保障日常应急值守和突发事件及时处理，处理率达到95%；做好应急宣传工作，宣传覆盖面积达到95%以上。</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4、持续提升综合业务事务管理水平</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84"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line="584" w:lineRule="exact"/>
        <w:ind w:firstLine="640" w:firstLineChars="200"/>
        <w:rPr>
          <w:rFonts w:ascii="仿宋_GB2312" w:eastAsia="仿宋_GB2312" w:cs="Times New Roman"/>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85"/>
        <w:gridCol w:w="568"/>
        <w:gridCol w:w="1379"/>
        <w:gridCol w:w="992"/>
        <w:gridCol w:w="2410"/>
        <w:gridCol w:w="1480"/>
        <w:gridCol w:w="577"/>
        <w:gridCol w:w="862"/>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5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7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41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919"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5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85" w:type="dxa"/>
            <w:vMerge w:val="continue"/>
            <w:tcBorders>
              <w:tl2br w:val="nil"/>
              <w:tr2bl w:val="nil"/>
            </w:tcBorders>
            <w:vAlign w:val="center"/>
          </w:tcPr>
          <w:p/>
        </w:tc>
        <w:tc>
          <w:tcPr>
            <w:tcW w:w="568" w:type="dxa"/>
            <w:vMerge w:val="continue"/>
            <w:tcBorders>
              <w:tl2br w:val="nil"/>
              <w:tr2bl w:val="nil"/>
            </w:tcBorders>
            <w:vAlign w:val="center"/>
          </w:tcPr>
          <w:p/>
        </w:tc>
        <w:tc>
          <w:tcPr>
            <w:tcW w:w="1379" w:type="dxa"/>
            <w:vMerge w:val="continue"/>
            <w:tcBorders>
              <w:tl2br w:val="nil"/>
              <w:tr2bl w:val="nil"/>
            </w:tcBorders>
            <w:vAlign w:val="center"/>
          </w:tcPr>
          <w:p/>
        </w:tc>
        <w:tc>
          <w:tcPr>
            <w:tcW w:w="992" w:type="dxa"/>
            <w:vMerge w:val="continue"/>
            <w:tcBorders>
              <w:tl2br w:val="nil"/>
              <w:tr2bl w:val="nil"/>
            </w:tcBorders>
            <w:vAlign w:val="center"/>
          </w:tcPr>
          <w:p/>
        </w:tc>
        <w:tc>
          <w:tcPr>
            <w:tcW w:w="2410" w:type="dxa"/>
            <w:vMerge w:val="continue"/>
            <w:tcBorders>
              <w:tl2br w:val="nil"/>
              <w:tr2bl w:val="nil"/>
            </w:tcBorders>
            <w:vAlign w:val="center"/>
          </w:tcPr>
          <w:p/>
        </w:tc>
        <w:tc>
          <w:tcPr>
            <w:tcW w:w="148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7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6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56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8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7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辖区综合服务站个数</w:t>
            </w:r>
          </w:p>
        </w:tc>
        <w:tc>
          <w:tcPr>
            <w:tcW w:w="99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w:t>
            </w:r>
          </w:p>
        </w:tc>
        <w:tc>
          <w:tcPr>
            <w:tcW w:w="241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辖区综合服务站个数</w:t>
            </w:r>
          </w:p>
        </w:tc>
        <w:tc>
          <w:tcPr>
            <w:tcW w:w="148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p>
        </w:tc>
        <w:tc>
          <w:tcPr>
            <w:tcW w:w="86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个</w:t>
            </w:r>
          </w:p>
        </w:tc>
        <w:tc>
          <w:tcPr>
            <w:tcW w:w="56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tcBorders>
              <w:tl2br w:val="nil"/>
              <w:tr2bl w:val="nil"/>
            </w:tcBorders>
            <w:vAlign w:val="center"/>
          </w:tcP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7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工资补贴发放准确率</w:t>
            </w:r>
          </w:p>
        </w:tc>
        <w:tc>
          <w:tcPr>
            <w:tcW w:w="99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241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准确发放占总数比率</w:t>
            </w:r>
          </w:p>
        </w:tc>
        <w:tc>
          <w:tcPr>
            <w:tcW w:w="148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86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6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85" w:type="dxa"/>
            <w:vMerge w:val="continue"/>
            <w:tcBorders>
              <w:tl2br w:val="nil"/>
              <w:tr2bl w:val="nil"/>
            </w:tcBorders>
            <w:vAlign w:val="center"/>
          </w:tcP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7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保障党员学习教育正常开展</w:t>
            </w:r>
          </w:p>
        </w:tc>
        <w:tc>
          <w:tcPr>
            <w:tcW w:w="99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241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提高党员教育水平</w:t>
            </w:r>
          </w:p>
        </w:tc>
        <w:tc>
          <w:tcPr>
            <w:tcW w:w="148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577" w:type="dxa"/>
            <w:tcBorders>
              <w:tl2br w:val="nil"/>
              <w:tr2bl w:val="nil"/>
            </w:tcBorders>
            <w:vAlign w:val="center"/>
          </w:tcPr>
          <w:p>
            <w:pPr>
              <w:widowControl/>
              <w:adjustRightInd w:val="0"/>
              <w:snapToGrid w:val="0"/>
              <w:jc w:val="center"/>
              <w:rPr>
                <w:rFonts w:ascii="方正书宋_GBK" w:eastAsia="方正书宋_GBK"/>
              </w:rPr>
            </w:pPr>
          </w:p>
        </w:tc>
        <w:tc>
          <w:tcPr>
            <w:tcW w:w="86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逐步提高</w:t>
            </w:r>
          </w:p>
        </w:tc>
        <w:tc>
          <w:tcPr>
            <w:tcW w:w="56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tcBorders>
              <w:tl2br w:val="nil"/>
              <w:tr2bl w:val="nil"/>
            </w:tcBorders>
            <w:vAlign w:val="center"/>
          </w:tcP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7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工资水平逐步提升</w:t>
            </w:r>
          </w:p>
        </w:tc>
        <w:tc>
          <w:tcPr>
            <w:tcW w:w="99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241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工资水平逐步提升</w:t>
            </w:r>
          </w:p>
        </w:tc>
        <w:tc>
          <w:tcPr>
            <w:tcW w:w="148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577" w:type="dxa"/>
            <w:tcBorders>
              <w:tl2br w:val="nil"/>
              <w:tr2bl w:val="nil"/>
            </w:tcBorders>
            <w:vAlign w:val="center"/>
          </w:tcPr>
          <w:p>
            <w:pPr>
              <w:widowControl/>
              <w:adjustRightInd w:val="0"/>
              <w:snapToGrid w:val="0"/>
              <w:jc w:val="center"/>
              <w:rPr>
                <w:rFonts w:ascii="方正书宋_GBK" w:eastAsia="方正书宋_GBK"/>
              </w:rPr>
            </w:pPr>
          </w:p>
        </w:tc>
        <w:tc>
          <w:tcPr>
            <w:tcW w:w="86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逐步提高</w:t>
            </w:r>
          </w:p>
        </w:tc>
        <w:tc>
          <w:tcPr>
            <w:tcW w:w="56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7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服务群众生产生活</w:t>
            </w:r>
          </w:p>
        </w:tc>
        <w:tc>
          <w:tcPr>
            <w:tcW w:w="99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241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确保群众生产生活正常运转</w:t>
            </w:r>
          </w:p>
        </w:tc>
        <w:tc>
          <w:tcPr>
            <w:tcW w:w="148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577" w:type="dxa"/>
            <w:tcBorders>
              <w:tl2br w:val="nil"/>
              <w:tr2bl w:val="nil"/>
            </w:tcBorders>
            <w:vAlign w:val="center"/>
          </w:tcPr>
          <w:p>
            <w:pPr>
              <w:widowControl/>
              <w:adjustRightInd w:val="0"/>
              <w:snapToGrid w:val="0"/>
              <w:jc w:val="center"/>
              <w:rPr>
                <w:rFonts w:ascii="方正书宋_GBK" w:eastAsia="方正书宋_GBK"/>
              </w:rPr>
            </w:pPr>
          </w:p>
        </w:tc>
        <w:tc>
          <w:tcPr>
            <w:tcW w:w="86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基本保障</w:t>
            </w:r>
          </w:p>
        </w:tc>
        <w:tc>
          <w:tcPr>
            <w:tcW w:w="56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tcBorders>
              <w:tl2br w:val="nil"/>
              <w:tr2bl w:val="nil"/>
            </w:tcBorders>
            <w:vAlign w:val="center"/>
          </w:tcP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79" w:type="dxa"/>
            <w:tcBorders>
              <w:tl2br w:val="nil"/>
              <w:tr2bl w:val="nil"/>
            </w:tcBorders>
            <w:vAlign w:val="center"/>
          </w:tcPr>
          <w:p>
            <w:pPr>
              <w:widowControl/>
              <w:adjustRightInd w:val="0"/>
              <w:snapToGrid w:val="0"/>
              <w:rPr>
                <w:rFonts w:ascii="方正书宋_GBK" w:eastAsia="方正书宋_GBK"/>
              </w:rPr>
            </w:pPr>
          </w:p>
        </w:tc>
        <w:tc>
          <w:tcPr>
            <w:tcW w:w="992" w:type="dxa"/>
            <w:tcBorders>
              <w:tl2br w:val="nil"/>
              <w:tr2bl w:val="nil"/>
            </w:tcBorders>
            <w:vAlign w:val="center"/>
          </w:tcPr>
          <w:p>
            <w:pPr>
              <w:widowControl/>
              <w:adjustRightInd w:val="0"/>
              <w:snapToGrid w:val="0"/>
              <w:rPr>
                <w:rFonts w:ascii="方正书宋_GBK" w:eastAsia="方正书宋_GBK"/>
              </w:rPr>
            </w:pPr>
          </w:p>
        </w:tc>
        <w:tc>
          <w:tcPr>
            <w:tcW w:w="2410" w:type="dxa"/>
            <w:tcBorders>
              <w:tl2br w:val="nil"/>
              <w:tr2bl w:val="nil"/>
            </w:tcBorders>
            <w:vAlign w:val="center"/>
          </w:tcPr>
          <w:p>
            <w:pPr>
              <w:widowControl/>
              <w:adjustRightInd w:val="0"/>
              <w:snapToGrid w:val="0"/>
              <w:rPr>
                <w:rFonts w:ascii="方正书宋_GBK" w:eastAsia="方正书宋_GBK"/>
              </w:rPr>
            </w:pPr>
          </w:p>
        </w:tc>
        <w:tc>
          <w:tcPr>
            <w:tcW w:w="1480" w:type="dxa"/>
            <w:tcBorders>
              <w:tl2br w:val="nil"/>
              <w:tr2bl w:val="nil"/>
            </w:tcBorders>
            <w:vAlign w:val="center"/>
          </w:tcPr>
          <w:p>
            <w:pPr>
              <w:widowControl/>
              <w:adjustRightInd w:val="0"/>
              <w:snapToGrid w:val="0"/>
              <w:rPr>
                <w:rFonts w:ascii="方正书宋_GBK" w:eastAsia="方正书宋_GBK"/>
              </w:rPr>
            </w:pPr>
          </w:p>
        </w:tc>
        <w:tc>
          <w:tcPr>
            <w:tcW w:w="577" w:type="dxa"/>
            <w:tcBorders>
              <w:tl2br w:val="nil"/>
              <w:tr2bl w:val="nil"/>
            </w:tcBorders>
            <w:vAlign w:val="center"/>
          </w:tcPr>
          <w:p>
            <w:pPr>
              <w:widowControl/>
              <w:adjustRightInd w:val="0"/>
              <w:snapToGrid w:val="0"/>
              <w:rPr>
                <w:rFonts w:ascii="方正书宋_GBK" w:eastAsia="方正书宋_GBK"/>
              </w:rPr>
            </w:pPr>
          </w:p>
        </w:tc>
        <w:tc>
          <w:tcPr>
            <w:tcW w:w="862" w:type="dxa"/>
            <w:tcBorders>
              <w:tl2br w:val="nil"/>
              <w:tr2bl w:val="nil"/>
            </w:tcBorders>
            <w:vAlign w:val="center"/>
          </w:tcPr>
          <w:p>
            <w:pPr>
              <w:widowControl/>
              <w:adjustRightInd w:val="0"/>
              <w:snapToGrid w:val="0"/>
              <w:rPr>
                <w:rFonts w:ascii="方正书宋_GBK" w:eastAsia="方正书宋_GBK"/>
              </w:rPr>
            </w:pPr>
          </w:p>
        </w:tc>
        <w:tc>
          <w:tcPr>
            <w:tcW w:w="56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tcBorders>
              <w:tl2br w:val="nil"/>
              <w:tr2bl w:val="nil"/>
            </w:tcBorders>
            <w:vAlign w:val="center"/>
          </w:tcP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79" w:type="dxa"/>
            <w:tcBorders>
              <w:tl2br w:val="nil"/>
              <w:tr2bl w:val="nil"/>
            </w:tcBorders>
            <w:vAlign w:val="center"/>
          </w:tcPr>
          <w:p>
            <w:pPr>
              <w:widowControl/>
              <w:adjustRightInd w:val="0"/>
              <w:snapToGrid w:val="0"/>
              <w:rPr>
                <w:rFonts w:ascii="方正书宋_GBK" w:eastAsia="方正书宋_GBK"/>
              </w:rPr>
            </w:pPr>
          </w:p>
        </w:tc>
        <w:tc>
          <w:tcPr>
            <w:tcW w:w="992" w:type="dxa"/>
            <w:tcBorders>
              <w:tl2br w:val="nil"/>
              <w:tr2bl w:val="nil"/>
            </w:tcBorders>
            <w:vAlign w:val="center"/>
          </w:tcPr>
          <w:p>
            <w:pPr>
              <w:widowControl/>
              <w:adjustRightInd w:val="0"/>
              <w:snapToGrid w:val="0"/>
              <w:rPr>
                <w:rFonts w:ascii="方正书宋_GBK" w:eastAsia="方正书宋_GBK"/>
              </w:rPr>
            </w:pPr>
          </w:p>
        </w:tc>
        <w:tc>
          <w:tcPr>
            <w:tcW w:w="2410" w:type="dxa"/>
            <w:tcBorders>
              <w:tl2br w:val="nil"/>
              <w:tr2bl w:val="nil"/>
            </w:tcBorders>
            <w:vAlign w:val="center"/>
          </w:tcPr>
          <w:p>
            <w:pPr>
              <w:widowControl/>
              <w:adjustRightInd w:val="0"/>
              <w:snapToGrid w:val="0"/>
              <w:rPr>
                <w:rFonts w:ascii="方正书宋_GBK" w:eastAsia="方正书宋_GBK"/>
              </w:rPr>
            </w:pPr>
          </w:p>
        </w:tc>
        <w:tc>
          <w:tcPr>
            <w:tcW w:w="1480" w:type="dxa"/>
            <w:tcBorders>
              <w:tl2br w:val="nil"/>
              <w:tr2bl w:val="nil"/>
            </w:tcBorders>
            <w:vAlign w:val="center"/>
          </w:tcPr>
          <w:p>
            <w:pPr>
              <w:widowControl/>
              <w:adjustRightInd w:val="0"/>
              <w:snapToGrid w:val="0"/>
              <w:rPr>
                <w:rFonts w:ascii="方正书宋_GBK" w:eastAsia="方正书宋_GBK"/>
              </w:rPr>
            </w:pPr>
          </w:p>
        </w:tc>
        <w:tc>
          <w:tcPr>
            <w:tcW w:w="577" w:type="dxa"/>
            <w:tcBorders>
              <w:tl2br w:val="nil"/>
              <w:tr2bl w:val="nil"/>
            </w:tcBorders>
            <w:vAlign w:val="center"/>
          </w:tcPr>
          <w:p>
            <w:pPr>
              <w:widowControl/>
              <w:adjustRightInd w:val="0"/>
              <w:snapToGrid w:val="0"/>
              <w:rPr>
                <w:rFonts w:ascii="方正书宋_GBK" w:eastAsia="方正书宋_GBK"/>
              </w:rPr>
            </w:pPr>
          </w:p>
        </w:tc>
        <w:tc>
          <w:tcPr>
            <w:tcW w:w="862" w:type="dxa"/>
            <w:tcBorders>
              <w:tl2br w:val="nil"/>
              <w:tr2bl w:val="nil"/>
            </w:tcBorders>
            <w:vAlign w:val="center"/>
          </w:tcPr>
          <w:p>
            <w:pPr>
              <w:widowControl/>
              <w:adjustRightInd w:val="0"/>
              <w:snapToGrid w:val="0"/>
              <w:rPr>
                <w:rFonts w:ascii="方正书宋_GBK" w:eastAsia="方正书宋_GBK"/>
              </w:rPr>
            </w:pPr>
          </w:p>
        </w:tc>
        <w:tc>
          <w:tcPr>
            <w:tcW w:w="56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485" w:type="dxa"/>
            <w:vMerge w:val="continue"/>
            <w:tcBorders>
              <w:tl2br w:val="nil"/>
              <w:tr2bl w:val="nil"/>
            </w:tcBorders>
            <w:vAlign w:val="center"/>
          </w:tcPr>
          <w:p/>
        </w:tc>
        <w:tc>
          <w:tcPr>
            <w:tcW w:w="568"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79" w:type="dxa"/>
            <w:tcBorders>
              <w:tl2br w:val="nil"/>
              <w:tr2bl w:val="nil"/>
            </w:tcBorders>
            <w:vAlign w:val="center"/>
          </w:tcPr>
          <w:p>
            <w:pPr>
              <w:widowControl/>
              <w:adjustRightInd w:val="0"/>
              <w:snapToGrid w:val="0"/>
              <w:rPr>
                <w:rFonts w:ascii="方正书宋_GBK" w:eastAsia="方正书宋_GBK"/>
              </w:rPr>
            </w:pPr>
          </w:p>
        </w:tc>
        <w:tc>
          <w:tcPr>
            <w:tcW w:w="992" w:type="dxa"/>
            <w:tcBorders>
              <w:tl2br w:val="nil"/>
              <w:tr2bl w:val="nil"/>
            </w:tcBorders>
            <w:vAlign w:val="center"/>
          </w:tcPr>
          <w:p>
            <w:pPr>
              <w:widowControl/>
              <w:adjustRightInd w:val="0"/>
              <w:snapToGrid w:val="0"/>
              <w:rPr>
                <w:rFonts w:ascii="方正书宋_GBK" w:eastAsia="方正书宋_GBK"/>
              </w:rPr>
            </w:pPr>
          </w:p>
        </w:tc>
        <w:tc>
          <w:tcPr>
            <w:tcW w:w="2410" w:type="dxa"/>
            <w:tcBorders>
              <w:tl2br w:val="nil"/>
              <w:tr2bl w:val="nil"/>
            </w:tcBorders>
            <w:vAlign w:val="center"/>
          </w:tcPr>
          <w:p>
            <w:pPr>
              <w:widowControl/>
              <w:adjustRightInd w:val="0"/>
              <w:snapToGrid w:val="0"/>
              <w:rPr>
                <w:rFonts w:ascii="方正书宋_GBK" w:eastAsia="方正书宋_GBK"/>
              </w:rPr>
            </w:pPr>
          </w:p>
        </w:tc>
        <w:tc>
          <w:tcPr>
            <w:tcW w:w="1480" w:type="dxa"/>
            <w:tcBorders>
              <w:tl2br w:val="nil"/>
              <w:tr2bl w:val="nil"/>
            </w:tcBorders>
            <w:vAlign w:val="center"/>
          </w:tcPr>
          <w:p>
            <w:pPr>
              <w:widowControl/>
              <w:adjustRightInd w:val="0"/>
              <w:snapToGrid w:val="0"/>
              <w:jc w:val="center"/>
              <w:rPr>
                <w:rFonts w:ascii="方正书宋_GBK" w:eastAsia="方正书宋_GBK"/>
              </w:rPr>
            </w:pPr>
          </w:p>
        </w:tc>
        <w:tc>
          <w:tcPr>
            <w:tcW w:w="577" w:type="dxa"/>
            <w:tcBorders>
              <w:tl2br w:val="nil"/>
              <w:tr2bl w:val="nil"/>
            </w:tcBorders>
            <w:vAlign w:val="center"/>
          </w:tcPr>
          <w:p>
            <w:pPr>
              <w:widowControl/>
              <w:adjustRightInd w:val="0"/>
              <w:snapToGrid w:val="0"/>
              <w:jc w:val="center"/>
              <w:rPr>
                <w:rFonts w:ascii="方正书宋_GBK" w:eastAsia="方正书宋_GBK"/>
              </w:rPr>
            </w:pPr>
          </w:p>
        </w:tc>
        <w:tc>
          <w:tcPr>
            <w:tcW w:w="862" w:type="dxa"/>
            <w:tcBorders>
              <w:tl2br w:val="nil"/>
              <w:tr2bl w:val="nil"/>
            </w:tcBorders>
            <w:vAlign w:val="center"/>
          </w:tcPr>
          <w:p>
            <w:pPr>
              <w:widowControl/>
              <w:adjustRightInd w:val="0"/>
              <w:snapToGrid w:val="0"/>
              <w:jc w:val="center"/>
              <w:rPr>
                <w:rFonts w:ascii="方正书宋_GBK" w:eastAsia="方正书宋_GBK"/>
              </w:rPr>
            </w:pPr>
          </w:p>
        </w:tc>
        <w:tc>
          <w:tcPr>
            <w:tcW w:w="56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85" w:type="dxa"/>
            <w:vMerge w:val="continue"/>
            <w:tcBorders>
              <w:tl2br w:val="nil"/>
              <w:tr2bl w:val="nil"/>
            </w:tcBorders>
            <w:vAlign w:val="center"/>
          </w:tcPr>
          <w:p/>
        </w:tc>
        <w:tc>
          <w:tcPr>
            <w:tcW w:w="56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7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群众满意度</w:t>
            </w:r>
          </w:p>
        </w:tc>
        <w:tc>
          <w:tcPr>
            <w:tcW w:w="99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w:t>
            </w:r>
          </w:p>
        </w:tc>
        <w:tc>
          <w:tcPr>
            <w:tcW w:w="241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满意和较满意的占调查总数的比重</w:t>
            </w:r>
          </w:p>
        </w:tc>
        <w:tc>
          <w:tcPr>
            <w:tcW w:w="14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5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8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56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调查指标</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3"/>
        <w:rPr>
          <w:rFonts w:hint="eastAsia" w:ascii="仿宋" w:hAnsi="仿宋" w:eastAsia="仿宋" w:cs="仿宋"/>
          <w:b w:val="0"/>
          <w:bCs/>
          <w:sz w:val="32"/>
          <w:szCs w:val="32"/>
        </w:rPr>
      </w:pPr>
      <w:bookmarkStart w:id="0" w:name="_Toc67213688"/>
      <w:r>
        <w:rPr>
          <w:rFonts w:hint="eastAsia" w:ascii="仿宋" w:hAnsi="仿宋" w:eastAsia="仿宋" w:cs="仿宋"/>
          <w:b w:val="0"/>
          <w:bCs/>
          <w:sz w:val="32"/>
          <w:szCs w:val="32"/>
        </w:rPr>
        <w:t>1.非公办教师经费绩效目标表</w:t>
      </w:r>
      <w:bookmarkEnd w:id="0"/>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TC 1、非公办教师经费绩效目标表 \f C \l 1 </w:instrText>
      </w:r>
      <w:r>
        <w:rPr>
          <w:rFonts w:hint="eastAsia" w:ascii="仿宋" w:hAnsi="仿宋" w:eastAsia="仿宋" w:cs="仿宋"/>
          <w:b w:val="0"/>
          <w:bCs/>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确保民师工资足额发放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确保民师工资及时发放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及时缴纳民师各类保险</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非公办教师人数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足额发放非公办教师工资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是否足额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及时发放足额</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资金发放准时率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社会保险补贴人均标准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1403</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提高非公办教师整体教学水平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提高非公办教师整体教学水平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调查中满意和较满意的占所调查人数比率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hint="eastAsia" w:ascii="仿宋" w:hAnsi="仿宋" w:eastAsia="仿宋" w:cs="仿宋"/>
          <w:b w:val="0"/>
          <w:bCs/>
          <w:sz w:val="32"/>
          <w:szCs w:val="32"/>
        </w:rPr>
      </w:pPr>
      <w:bookmarkStart w:id="1" w:name="_Toc67213689"/>
      <w:r>
        <w:rPr>
          <w:rFonts w:hint="eastAsia" w:ascii="仿宋" w:hAnsi="仿宋" w:eastAsia="仿宋" w:cs="仿宋"/>
          <w:b w:val="0"/>
          <w:bCs/>
          <w:sz w:val="32"/>
          <w:szCs w:val="32"/>
        </w:rPr>
        <w:t>2.社区招聘人员经费（专款）绩效目标表</w:t>
      </w:r>
      <w:bookmarkEnd w:id="1"/>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TC 2、社区招聘人员经费（专款）绩效目标表 \f C \l 1 </w:instrText>
      </w:r>
      <w:r>
        <w:rPr>
          <w:rFonts w:hint="eastAsia" w:ascii="仿宋" w:hAnsi="仿宋" w:eastAsia="仿宋" w:cs="仿宋"/>
          <w:b w:val="0"/>
          <w:bCs/>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按时发放工资，确保人员稳定。提高社区服务质量，推进治理能力现代化。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社区招聘人员享受此项待遇人数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廊广财社【</w:t>
            </w:r>
            <w:r>
              <w:rPr>
                <w:rFonts w:ascii="方正书宋_GBK" w:eastAsia="方正书宋_GBK"/>
              </w:rPr>
              <w:t>2021</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保险申缴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按标准缴纳保险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按标准缴纳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廊广财社【</w:t>
            </w:r>
            <w:r>
              <w:rPr>
                <w:rFonts w:ascii="方正书宋_GBK" w:eastAsia="方正书宋_GBK"/>
              </w:rPr>
              <w:t>2021</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工资按时发放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工资及时发放</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每月</w:t>
            </w:r>
            <w:r>
              <w:rPr>
                <w:rFonts w:ascii="方正书宋_GBK" w:eastAsia="方正书宋_GBK"/>
              </w:rPr>
              <w:t>25</w:t>
            </w:r>
            <w:r>
              <w:rPr>
                <w:rFonts w:hint="eastAsia" w:ascii="方正书宋_GBK" w:eastAsia="方正书宋_GBK"/>
              </w:rPr>
              <w:t>日前发放</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廊广财社【</w:t>
            </w:r>
            <w:r>
              <w:rPr>
                <w:rFonts w:ascii="方正书宋_GBK" w:eastAsia="方正书宋_GBK"/>
              </w:rPr>
              <w:t>2021</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发放工资水平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发放工资水平是否有序提升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有序提升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廊广财社【</w:t>
            </w:r>
            <w:r>
              <w:rPr>
                <w:rFonts w:ascii="方正书宋_GBK" w:eastAsia="方正书宋_GBK"/>
              </w:rPr>
              <w:t>2021</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完成工作占全年工作的比率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廊广财社【</w:t>
            </w:r>
            <w:r>
              <w:rPr>
                <w:rFonts w:ascii="方正书宋_GBK" w:eastAsia="方正书宋_GBK"/>
              </w:rPr>
              <w:t>2021</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社区居民对社区服务的满意度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满意和较满意的占总调查人数的比率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廊广财社【</w:t>
            </w:r>
            <w:r>
              <w:rPr>
                <w:rFonts w:ascii="方正书宋_GBK" w:eastAsia="方正书宋_GBK"/>
              </w:rPr>
              <w:t>2021</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3"/>
        <w:rPr>
          <w:rFonts w:hint="eastAsia" w:ascii="仿宋" w:hAnsi="仿宋" w:eastAsia="仿宋" w:cs="仿宋"/>
          <w:b w:val="0"/>
          <w:bCs/>
          <w:sz w:val="32"/>
          <w:szCs w:val="32"/>
        </w:rPr>
      </w:pPr>
      <w:bookmarkStart w:id="2" w:name="_Toc67213690"/>
      <w:r>
        <w:rPr>
          <w:rFonts w:hint="eastAsia" w:ascii="仿宋" w:hAnsi="仿宋" w:eastAsia="仿宋" w:cs="仿宋"/>
          <w:b w:val="0"/>
          <w:bCs/>
          <w:sz w:val="32"/>
          <w:szCs w:val="32"/>
        </w:rPr>
        <w:t>3.运维经费绩效目标表</w:t>
      </w:r>
      <w:bookmarkEnd w:id="2"/>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TC 3、运维经费绩效目标表 \f C \l 1 </w:instrText>
      </w:r>
      <w:r>
        <w:rPr>
          <w:rFonts w:hint="eastAsia" w:ascii="仿宋" w:hAnsi="仿宋" w:eastAsia="仿宋" w:cs="仿宋"/>
          <w:b w:val="0"/>
          <w:bCs/>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办公设施及时维护、水电费及时缴纳保障机关的正常运转更好的服务群众。</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办公设备的维护</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办公设备的维护次数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广南政呈【</w:t>
            </w:r>
            <w:r>
              <w:rPr>
                <w:rFonts w:ascii="方正书宋_GBK" w:eastAsia="方正书宋_GBK"/>
              </w:rPr>
              <w:t>2021</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资金使用率占全年计划的比例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广南政呈【</w:t>
            </w:r>
            <w:r>
              <w:rPr>
                <w:rFonts w:ascii="方正书宋_GBK" w:eastAsia="方正书宋_GBK"/>
              </w:rPr>
              <w:t>2021</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水电费缴费率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水电费足额上缴率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广南政呈【</w:t>
            </w:r>
            <w:r>
              <w:rPr>
                <w:rFonts w:ascii="方正书宋_GBK" w:eastAsia="方正书宋_GBK"/>
              </w:rPr>
              <w:t>2021</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运行成本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运行成本</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广南政呈【</w:t>
            </w:r>
            <w:r>
              <w:rPr>
                <w:rFonts w:ascii="方正书宋_GBK" w:eastAsia="方正书宋_GBK"/>
              </w:rPr>
              <w:t>2021</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服务水平提高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服务水平提高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服务水平逐步提高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广南政呈【</w:t>
            </w:r>
            <w:r>
              <w:rPr>
                <w:rFonts w:ascii="方正书宋_GBK" w:eastAsia="方正书宋_GBK"/>
              </w:rPr>
              <w:t>2021</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服务群众的满意度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满意和较满意的占调查总人数的比率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广南政呈【</w:t>
            </w:r>
            <w:r>
              <w:rPr>
                <w:rFonts w:ascii="方正书宋_GBK" w:eastAsia="方正书宋_GBK"/>
              </w:rPr>
              <w:t>2021</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3"/>
        <w:rPr>
          <w:rFonts w:hint="eastAsia" w:ascii="仿宋" w:hAnsi="仿宋" w:eastAsia="仿宋" w:cs="仿宋"/>
          <w:b w:val="0"/>
          <w:bCs/>
          <w:sz w:val="32"/>
          <w:szCs w:val="32"/>
        </w:rPr>
      </w:pPr>
      <w:bookmarkStart w:id="3" w:name="_Toc67213691"/>
      <w:r>
        <w:rPr>
          <w:rFonts w:hint="eastAsia" w:ascii="仿宋" w:hAnsi="仿宋" w:eastAsia="仿宋" w:cs="仿宋"/>
          <w:b w:val="0"/>
          <w:bCs/>
          <w:sz w:val="32"/>
          <w:szCs w:val="32"/>
        </w:rPr>
        <w:t>4.社区招聘人员经费绩效目标表</w:t>
      </w:r>
      <w:bookmarkEnd w:id="3"/>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TC 4、社区招聘人员经费绩效目标表 \f C \l 1 </w:instrText>
      </w:r>
      <w:r>
        <w:rPr>
          <w:rFonts w:hint="eastAsia" w:ascii="仿宋" w:hAnsi="仿宋" w:eastAsia="仿宋" w:cs="仿宋"/>
          <w:b w:val="0"/>
          <w:bCs/>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按时发放社区招聘人员工资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按时缴纳社区招聘人员保险</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社区招聘人员享受此项待遇人员数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2020</w:t>
            </w:r>
            <w:r>
              <w:rPr>
                <w:rFonts w:hint="eastAsia" w:ascii="方正书宋_GBK" w:eastAsia="方正书宋_GBK"/>
              </w:rPr>
              <w:t>】</w:t>
            </w:r>
            <w:r>
              <w:rPr>
                <w:rFonts w:ascii="方正书宋_GBK" w:eastAsia="方正书宋_GBK"/>
              </w:rPr>
              <w:t>48</w:t>
            </w:r>
            <w:r>
              <w:rPr>
                <w:rFonts w:hint="eastAsia" w:ascii="方正书宋_GBK" w:eastAsia="方正书宋_GBK"/>
              </w:rPr>
              <w:t>号廊广组字【</w:t>
            </w:r>
            <w:r>
              <w:rPr>
                <w:rFonts w:ascii="方正书宋_GBK" w:eastAsia="方正书宋_GBK"/>
              </w:rPr>
              <w:t>2020</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保险申缴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社区招聘人员按标准缴纳保险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按标准缴纳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2020</w:t>
            </w:r>
            <w:r>
              <w:rPr>
                <w:rFonts w:hint="eastAsia" w:ascii="方正书宋_GBK" w:eastAsia="方正书宋_GBK"/>
              </w:rPr>
              <w:t>】</w:t>
            </w:r>
            <w:r>
              <w:rPr>
                <w:rFonts w:ascii="方正书宋_GBK" w:eastAsia="方正书宋_GBK"/>
              </w:rPr>
              <w:t>48</w:t>
            </w:r>
            <w:r>
              <w:rPr>
                <w:rFonts w:hint="eastAsia" w:ascii="方正书宋_GBK" w:eastAsia="方正书宋_GBK"/>
              </w:rPr>
              <w:t>号廊广组字【</w:t>
            </w:r>
            <w:r>
              <w:rPr>
                <w:rFonts w:ascii="方正书宋_GBK" w:eastAsia="方正书宋_GBK"/>
              </w:rPr>
              <w:t>2020</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工资按时发放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工资及时发放</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每月</w:t>
            </w:r>
            <w:r>
              <w:rPr>
                <w:rFonts w:ascii="方正书宋_GBK" w:eastAsia="方正书宋_GBK"/>
              </w:rPr>
              <w:t>25</w:t>
            </w:r>
            <w:r>
              <w:rPr>
                <w:rFonts w:hint="eastAsia" w:ascii="方正书宋_GBK" w:eastAsia="方正书宋_GBK"/>
              </w:rPr>
              <w:t>日前及时发放</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2020</w:t>
            </w:r>
            <w:r>
              <w:rPr>
                <w:rFonts w:hint="eastAsia" w:ascii="方正书宋_GBK" w:eastAsia="方正书宋_GBK"/>
              </w:rPr>
              <w:t>】</w:t>
            </w:r>
            <w:r>
              <w:rPr>
                <w:rFonts w:ascii="方正书宋_GBK" w:eastAsia="方正书宋_GBK"/>
              </w:rPr>
              <w:t>48</w:t>
            </w:r>
            <w:r>
              <w:rPr>
                <w:rFonts w:hint="eastAsia" w:ascii="方正书宋_GBK" w:eastAsia="方正书宋_GBK"/>
              </w:rPr>
              <w:t>号廊广组字【</w:t>
            </w:r>
            <w:r>
              <w:rPr>
                <w:rFonts w:ascii="方正书宋_GBK" w:eastAsia="方正书宋_GBK"/>
              </w:rPr>
              <w:t>2020</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发放工资水平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发放工资水平是否有序提升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工资水平有序提升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2020</w:t>
            </w:r>
            <w:r>
              <w:rPr>
                <w:rFonts w:hint="eastAsia" w:ascii="方正书宋_GBK" w:eastAsia="方正书宋_GBK"/>
              </w:rPr>
              <w:t>】</w:t>
            </w:r>
            <w:r>
              <w:rPr>
                <w:rFonts w:ascii="方正书宋_GBK" w:eastAsia="方正书宋_GBK"/>
              </w:rPr>
              <w:t>48</w:t>
            </w:r>
            <w:r>
              <w:rPr>
                <w:rFonts w:hint="eastAsia" w:ascii="方正书宋_GBK" w:eastAsia="方正书宋_GBK"/>
              </w:rPr>
              <w:t>号廊广组字【</w:t>
            </w:r>
            <w:r>
              <w:rPr>
                <w:rFonts w:ascii="方正书宋_GBK" w:eastAsia="方正书宋_GBK"/>
              </w:rPr>
              <w:t>2020</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完成工作占全部工作的比率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2020</w:t>
            </w:r>
            <w:r>
              <w:rPr>
                <w:rFonts w:hint="eastAsia" w:ascii="方正书宋_GBK" w:eastAsia="方正书宋_GBK"/>
              </w:rPr>
              <w:t>】</w:t>
            </w:r>
            <w:r>
              <w:rPr>
                <w:rFonts w:ascii="方正书宋_GBK" w:eastAsia="方正书宋_GBK"/>
              </w:rPr>
              <w:t>48</w:t>
            </w:r>
            <w:r>
              <w:rPr>
                <w:rFonts w:hint="eastAsia" w:ascii="方正书宋_GBK" w:eastAsia="方正书宋_GBK"/>
              </w:rPr>
              <w:t>号廊广组字【</w:t>
            </w:r>
            <w:r>
              <w:rPr>
                <w:rFonts w:ascii="方正书宋_GBK" w:eastAsia="方正书宋_GBK"/>
              </w:rPr>
              <w:t>2020</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社区居民度社区服务的满意度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满意的较满意的占调查总人数的比率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2020</w:t>
            </w:r>
            <w:r>
              <w:rPr>
                <w:rFonts w:hint="eastAsia" w:ascii="方正书宋_GBK" w:eastAsia="方正书宋_GBK"/>
              </w:rPr>
              <w:t>】</w:t>
            </w:r>
            <w:r>
              <w:rPr>
                <w:rFonts w:ascii="方正书宋_GBK" w:eastAsia="方正书宋_GBK"/>
              </w:rPr>
              <w:t>48</w:t>
            </w:r>
            <w:r>
              <w:rPr>
                <w:rFonts w:hint="eastAsia" w:ascii="方正书宋_GBK" w:eastAsia="方正书宋_GBK"/>
              </w:rPr>
              <w:t>号廊广组字【</w:t>
            </w:r>
            <w:r>
              <w:rPr>
                <w:rFonts w:ascii="方正书宋_GBK" w:eastAsia="方正书宋_GBK"/>
              </w:rPr>
              <w:t>2020</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jc w:val="left"/>
        <w:outlineLvl w:val="1"/>
        <w:rPr>
          <w:rFonts w:ascii="Times New Roman" w:hAnsi="Times New Roman" w:eastAsia="仿宋_GB2312" w:cs="Times New Roman"/>
          <w:sz w:val="28"/>
        </w:rPr>
      </w:pPr>
      <w:bookmarkStart w:id="4" w:name="_Toc29799657"/>
      <w:bookmarkEnd w:id="4"/>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p>
      <w:pPr>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7.2</w:t>
      </w:r>
      <w:r>
        <w:rPr>
          <w:rFonts w:ascii="Times New Roman" w:hAnsi="Times New Roman" w:eastAsia="仿宋_GB2312" w:cs="Times New Roman"/>
          <w:sz w:val="32"/>
          <w:szCs w:val="24"/>
        </w:rPr>
        <w:t>万元。具体内容见下表。</w:t>
      </w:r>
    </w:p>
    <w:bookmarkEnd w:id="5"/>
    <w:p>
      <w:pPr>
        <w:spacing w:line="584" w:lineRule="exact"/>
        <w:jc w:val="left"/>
        <w:outlineLvl w:val="0"/>
        <w:rPr>
          <w:rFonts w:ascii="Times New Roman" w:hAnsi="Times New Roman" w:eastAsia="仿宋_GB2312" w:cs="Times New Roman"/>
        </w:rPr>
      </w:pPr>
    </w:p>
    <w:p>
      <w:pPr>
        <w:jc w:val="center"/>
        <w:outlineLvl w:val="1"/>
        <w:rPr>
          <w:rFonts w:cs="Times New Roman" w:asciiTheme="majorEastAsia" w:hAnsiTheme="majorEastAsia" w:eastAsiaTheme="majorEastAsia"/>
          <w:sz w:val="32"/>
        </w:rPr>
      </w:pPr>
      <w:bookmarkStart w:id="6" w:name="_Toc64920910"/>
      <w:r>
        <w:rPr>
          <w:rFonts w:hint="eastAsia" w:cs="Times New Roman" w:asciiTheme="majorEastAsia" w:hAnsiTheme="majorEastAsia" w:eastAsiaTheme="majorEastAsia"/>
          <w:sz w:val="32"/>
        </w:rPr>
        <w:t>部门政府采购预算</w:t>
      </w:r>
      <w:bookmarkEnd w:id="6"/>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2"/>
        <w:gridCol w:w="666"/>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ascii="方正书宋_GBK" w:eastAsia="方正书宋_GBK"/>
                <w:b/>
              </w:rPr>
              <w:t>914</w:t>
            </w:r>
            <w:r>
              <w:rPr>
                <w:rFonts w:hint="eastAsia" w:ascii="方正书宋_GBK" w:eastAsia="方正书宋_GBK"/>
                <w:b/>
              </w:rPr>
              <w:t>廊坊市广阳区南尖塔镇人民政府本级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52"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666"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4" w:hRule="atLeast"/>
          <w:jc w:val="center"/>
        </w:trPr>
        <w:tc>
          <w:tcPr>
            <w:tcW w:w="2452"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666"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7.2</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7.2</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2"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公用类项目</w:t>
            </w:r>
          </w:p>
        </w:tc>
        <w:tc>
          <w:tcPr>
            <w:tcW w:w="666" w:type="dxa"/>
            <w:shd w:val="clear" w:color="auto" w:fill="auto"/>
            <w:vAlign w:val="center"/>
          </w:tcPr>
          <w:p>
            <w:pPr>
              <w:spacing w:line="300" w:lineRule="exact"/>
              <w:jc w:val="right"/>
              <w:rPr>
                <w:rFonts w:cs="Times New Roman" w:asciiTheme="majorEastAsia" w:hAnsiTheme="majorEastAsia" w:eastAsiaTheme="majorEastAsia"/>
                <w:b/>
                <w:sz w:val="13"/>
                <w:szCs w:val="13"/>
              </w:rPr>
            </w:pPr>
            <w:r>
              <w:rPr>
                <w:rFonts w:hint="eastAsia" w:cs="Times New Roman" w:asciiTheme="majorEastAsia" w:hAnsiTheme="majorEastAsia" w:eastAsiaTheme="majorEastAsia"/>
                <w:b/>
                <w:sz w:val="13"/>
                <w:szCs w:val="13"/>
              </w:rPr>
              <w:t>120.48</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台式计算机</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A02010104</w:t>
            </w:r>
          </w:p>
        </w:tc>
        <w:tc>
          <w:tcPr>
            <w:tcW w:w="709"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台</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8</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0.4</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3.2</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3.2</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2"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公用类项目</w:t>
            </w:r>
          </w:p>
        </w:tc>
        <w:tc>
          <w:tcPr>
            <w:tcW w:w="666" w:type="dxa"/>
            <w:shd w:val="clear" w:color="auto" w:fill="auto"/>
            <w:vAlign w:val="center"/>
          </w:tcPr>
          <w:p>
            <w:pPr>
              <w:spacing w:line="300" w:lineRule="exact"/>
              <w:jc w:val="right"/>
              <w:rPr>
                <w:rFonts w:cs="Times New Roman" w:asciiTheme="majorEastAsia" w:hAnsiTheme="majorEastAsia" w:eastAsiaTheme="majorEastAsia"/>
                <w:b/>
                <w:sz w:val="13"/>
                <w:szCs w:val="13"/>
              </w:rPr>
            </w:pPr>
            <w:r>
              <w:rPr>
                <w:rFonts w:hint="eastAsia" w:cs="Times New Roman" w:asciiTheme="majorEastAsia" w:hAnsiTheme="majorEastAsia" w:eastAsiaTheme="majorEastAsia"/>
                <w:b/>
                <w:sz w:val="13"/>
                <w:szCs w:val="13"/>
              </w:rPr>
              <w:t>120.48</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多功能一体机</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A020204</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台</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8</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0.2</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1.6</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1.6</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2"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公用类项目</w:t>
            </w:r>
          </w:p>
        </w:tc>
        <w:tc>
          <w:tcPr>
            <w:tcW w:w="666" w:type="dxa"/>
            <w:shd w:val="clear" w:color="auto" w:fill="auto"/>
            <w:vAlign w:val="center"/>
          </w:tcPr>
          <w:p>
            <w:pPr>
              <w:spacing w:line="300" w:lineRule="exact"/>
              <w:jc w:val="right"/>
              <w:rPr>
                <w:rFonts w:cs="Times New Roman" w:asciiTheme="majorEastAsia" w:hAnsiTheme="majorEastAsia" w:eastAsiaTheme="majorEastAsia"/>
                <w:b/>
                <w:sz w:val="13"/>
                <w:szCs w:val="13"/>
              </w:rPr>
            </w:pPr>
            <w:r>
              <w:rPr>
                <w:rFonts w:hint="eastAsia" w:cs="Times New Roman" w:asciiTheme="majorEastAsia" w:hAnsiTheme="majorEastAsia" w:eastAsiaTheme="majorEastAsia"/>
                <w:b/>
                <w:sz w:val="13"/>
                <w:szCs w:val="13"/>
              </w:rPr>
              <w:t>120.48</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空调机组</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A02052305</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台</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8</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0.3</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2.4</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2.4</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2" w:type="dxa"/>
            <w:shd w:val="clear" w:color="auto" w:fill="auto"/>
            <w:vAlign w:val="center"/>
          </w:tcPr>
          <w:p>
            <w:pPr>
              <w:spacing w:line="300" w:lineRule="exact"/>
              <w:jc w:val="left"/>
              <w:rPr>
                <w:rFonts w:ascii="方正书宋_GBK" w:eastAsia="方正书宋_GBK" w:cs="Times New Roman"/>
              </w:rPr>
            </w:pPr>
          </w:p>
        </w:tc>
        <w:tc>
          <w:tcPr>
            <w:tcW w:w="666"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2" w:type="dxa"/>
            <w:shd w:val="clear" w:color="auto" w:fill="auto"/>
            <w:vAlign w:val="center"/>
          </w:tcPr>
          <w:p>
            <w:pPr>
              <w:spacing w:line="300" w:lineRule="exact"/>
              <w:jc w:val="left"/>
              <w:rPr>
                <w:rFonts w:ascii="方正书宋_GBK" w:eastAsia="方正书宋_GBK" w:cs="Times New Roman"/>
              </w:rPr>
            </w:pPr>
          </w:p>
        </w:tc>
        <w:tc>
          <w:tcPr>
            <w:tcW w:w="666"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2" w:type="dxa"/>
            <w:shd w:val="clear" w:color="auto" w:fill="auto"/>
            <w:vAlign w:val="center"/>
          </w:tcPr>
          <w:p>
            <w:pPr>
              <w:spacing w:line="300" w:lineRule="exact"/>
              <w:jc w:val="left"/>
              <w:rPr>
                <w:rFonts w:ascii="方正书宋_GBK" w:eastAsia="方正书宋_GBK" w:cs="Times New Roman"/>
              </w:rPr>
            </w:pPr>
          </w:p>
        </w:tc>
        <w:tc>
          <w:tcPr>
            <w:tcW w:w="666"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2" w:type="dxa"/>
            <w:shd w:val="clear" w:color="auto" w:fill="auto"/>
            <w:vAlign w:val="center"/>
          </w:tcPr>
          <w:p>
            <w:pPr>
              <w:spacing w:line="300" w:lineRule="exact"/>
              <w:jc w:val="left"/>
              <w:rPr>
                <w:rFonts w:ascii="方正书宋_GBK" w:eastAsia="方正书宋_GBK" w:cs="Times New Roman"/>
              </w:rPr>
            </w:pPr>
          </w:p>
        </w:tc>
        <w:tc>
          <w:tcPr>
            <w:tcW w:w="666"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广阳区南尖塔镇人民政府</w:t>
      </w:r>
      <w:r>
        <w:rPr>
          <w:rFonts w:hint="eastAsia" w:ascii="Times New Roman" w:hAnsi="Times New Roman" w:eastAsia="仿宋_GB2312" w:cs="Times New Roman"/>
          <w:sz w:val="32"/>
          <w:szCs w:val="32"/>
          <w:lang w:eastAsia="zh-CN"/>
        </w:rPr>
        <w:t>（含所属单位）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1101.10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总额为7.2万元，</w:t>
      </w:r>
      <w:r>
        <w:rPr>
          <w:rFonts w:ascii="Times New Roman" w:hAnsi="Times New Roman" w:eastAsia="仿宋_GB2312" w:cs="Times New Roman"/>
          <w:sz w:val="32"/>
          <w:szCs w:val="32"/>
        </w:rPr>
        <w:t>主要为计算机设备、打印设备、空调等，已列入政府采购预算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广阳区南尖塔镇人民政府部门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广阳区南尖塔镇人民政府本级</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1101.10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10581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10581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78.88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522.22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19476"/>
    <w:multiLevelType w:val="singleLevel"/>
    <w:tmpl w:val="31C1947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56CC2"/>
    <w:rsid w:val="00154B0F"/>
    <w:rsid w:val="001C73C0"/>
    <w:rsid w:val="00270DC9"/>
    <w:rsid w:val="00281F55"/>
    <w:rsid w:val="00301F9F"/>
    <w:rsid w:val="00355D85"/>
    <w:rsid w:val="00356683"/>
    <w:rsid w:val="004A54AA"/>
    <w:rsid w:val="00531BF0"/>
    <w:rsid w:val="0055249C"/>
    <w:rsid w:val="00740462"/>
    <w:rsid w:val="007E179A"/>
    <w:rsid w:val="00807A76"/>
    <w:rsid w:val="008F0EB4"/>
    <w:rsid w:val="008F7D1E"/>
    <w:rsid w:val="009505EA"/>
    <w:rsid w:val="00A218C6"/>
    <w:rsid w:val="00B17B32"/>
    <w:rsid w:val="00B71043"/>
    <w:rsid w:val="00B80935"/>
    <w:rsid w:val="00BA1F33"/>
    <w:rsid w:val="00D347CC"/>
    <w:rsid w:val="00E27CE3"/>
    <w:rsid w:val="00F25F68"/>
    <w:rsid w:val="0BF54907"/>
    <w:rsid w:val="18602B90"/>
    <w:rsid w:val="27C4711E"/>
    <w:rsid w:val="5FAE2932"/>
    <w:rsid w:val="64012AE6"/>
    <w:rsid w:val="7DC9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1340</Words>
  <Characters>7644</Characters>
  <Lines>63</Lines>
  <Paragraphs>17</Paragraphs>
  <TotalTime>7</TotalTime>
  <ScaleCrop>false</ScaleCrop>
  <LinksUpToDate>false</LinksUpToDate>
  <CharactersWithSpaces>8967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2022-07-08T08:30:39Z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9550A23CBBB04E4B9B042D7CDF5DB840</vt:lpwstr>
  </property>
</Properties>
</file>