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人民检察院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Times New Roman"/>
          <w:sz w:val="32"/>
          <w:szCs w:val="32"/>
        </w:rPr>
      </w:pPr>
      <w:r>
        <w:rPr>
          <w:rFonts w:hint="eastAsia" w:ascii="仿宋_GB2312" w:eastAsia="仿宋_GB2312"/>
          <w:sz w:val="32"/>
          <w:szCs w:val="32"/>
        </w:rPr>
        <w:t>1、</w:t>
      </w:r>
      <w:r>
        <w:rPr>
          <w:rFonts w:hint="eastAsia" w:ascii="仿宋_GB2312" w:eastAsia="仿宋_GB2312" w:cs="微软雅黑"/>
          <w:sz w:val="32"/>
          <w:szCs w:val="32"/>
        </w:rPr>
        <w:t>深入贯彻习近平新时代中国特色社会主义思想，深入贯彻党的路线方针和决策部署，坚持党对检察工作的绝对领导，坚决维护习近平总书记的核心地位，坚决维护党中央权威和集中统一领导</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微软雅黑"/>
          <w:sz w:val="32"/>
          <w:szCs w:val="32"/>
        </w:rPr>
        <w:t>依法向区人民代表大会及其常务委员会提出议案</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微软雅黑"/>
          <w:sz w:val="32"/>
          <w:szCs w:val="32"/>
        </w:rPr>
        <w:t>贯彻落实检察工作方针、总体规划，研究制定检察工作计划并组织实施</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微软雅黑"/>
          <w:sz w:val="32"/>
          <w:szCs w:val="32"/>
        </w:rPr>
        <w:t>依照法律规定对直接受理的刑事案件行使侦查权</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微软雅黑"/>
          <w:sz w:val="32"/>
          <w:szCs w:val="32"/>
        </w:rPr>
        <w:t>负责对管辖的各类刑事案件依法审查批准逮捕、决定逮捕、提起公诉</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Malgun Gothic Semilight"/>
          <w:sz w:val="32"/>
          <w:szCs w:val="32"/>
        </w:rPr>
        <w:t>、</w:t>
      </w:r>
      <w:r>
        <w:rPr>
          <w:rFonts w:hint="eastAsia" w:ascii="仿宋_GB2312" w:eastAsia="仿宋_GB2312" w:cs="微软雅黑"/>
          <w:sz w:val="32"/>
          <w:szCs w:val="32"/>
        </w:rPr>
        <w:t>负责应由本院承办的刑事、民事、行政诉讼活动及刑事、民事、行政判决和裁定等生效法律文书执行的法律监督工作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微软雅黑"/>
          <w:sz w:val="32"/>
          <w:szCs w:val="32"/>
        </w:rPr>
        <w:t>负责应由本院承办的提起公益诉讼工作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微软雅黑"/>
          <w:sz w:val="32"/>
          <w:szCs w:val="32"/>
        </w:rPr>
        <w:t>依法受理核准追诉案件，审查是否上报</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微软雅黑"/>
          <w:sz w:val="32"/>
          <w:szCs w:val="32"/>
        </w:rPr>
        <w:t>负责应由本院承办的对社区矫正等执法活动的法律监督工作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10、受理向本院的控告申诉。</w:t>
      </w:r>
    </w:p>
    <w:p>
      <w:pPr>
        <w:spacing w:line="570" w:lineRule="exact"/>
        <w:ind w:firstLine="640" w:firstLineChars="200"/>
        <w:rPr>
          <w:rFonts w:ascii="仿宋_GB2312" w:eastAsia="仿宋_GB2312" w:cs="微软雅黑"/>
          <w:sz w:val="32"/>
          <w:szCs w:val="32"/>
        </w:rPr>
      </w:pPr>
      <w:r>
        <w:rPr>
          <w:rFonts w:hint="eastAsia" w:ascii="仿宋_GB2312" w:eastAsia="仿宋_GB2312" w:cs="微软雅黑"/>
          <w:sz w:val="32"/>
          <w:szCs w:val="32"/>
        </w:rPr>
        <w:t>11、组织检察工作中法律政策具体应用问题的研究；组织开展检察理论研究工作。</w:t>
      </w:r>
    </w:p>
    <w:p>
      <w:pPr>
        <w:spacing w:line="570" w:lineRule="exact"/>
        <w:ind w:firstLine="640" w:firstLineChars="200"/>
        <w:rPr>
          <w:rFonts w:ascii="仿宋_GB2312" w:eastAsia="仿宋_GB2312" w:cs="Malgun Gothic Semilight"/>
          <w:sz w:val="32"/>
          <w:szCs w:val="32"/>
        </w:rPr>
      </w:pPr>
      <w:r>
        <w:rPr>
          <w:rFonts w:hint="eastAsia" w:ascii="仿宋_GB2312" w:eastAsia="仿宋_GB2312" w:cs="微软雅黑"/>
          <w:sz w:val="32"/>
          <w:szCs w:val="32"/>
        </w:rPr>
        <w:t>12、负责检察人员思想政治教育和业务培训工作；按照权限管理检察官和其他工作人员。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eastAsia="仿宋_GB2312" w:cs="微软雅黑"/>
          <w:sz w:val="32"/>
          <w:szCs w:val="32"/>
        </w:rPr>
        <w:t>负责本院检务督查工作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cs="Malgun Gothic Semilight"/>
          <w:sz w:val="32"/>
          <w:szCs w:val="32"/>
        </w:rPr>
      </w:pPr>
      <w:r>
        <w:rPr>
          <w:rFonts w:hint="eastAsia" w:ascii="仿宋_GB2312" w:eastAsia="仿宋_GB2312"/>
          <w:sz w:val="32"/>
          <w:szCs w:val="32"/>
        </w:rPr>
        <w:t>14、</w:t>
      </w:r>
      <w:r>
        <w:rPr>
          <w:rFonts w:hint="eastAsia" w:ascii="仿宋_GB2312" w:eastAsia="仿宋_GB2312" w:cs="微软雅黑"/>
          <w:sz w:val="32"/>
          <w:szCs w:val="32"/>
        </w:rPr>
        <w:t>负责本院检务保障以及检察技术、信息化建设工作</w:t>
      </w:r>
      <w:r>
        <w:rPr>
          <w:rFonts w:hint="eastAsia" w:ascii="仿宋_GB2312" w:eastAsia="仿宋_GB2312" w:cs="Malgun Gothic Semilight"/>
          <w:sz w:val="32"/>
          <w:szCs w:val="32"/>
        </w:rPr>
        <w:t>。</w:t>
      </w:r>
    </w:p>
    <w:p>
      <w:pPr>
        <w:autoSpaceDE w:val="0"/>
        <w:autoSpaceDN w:val="0"/>
        <w:adjustRightInd w:val="0"/>
        <w:spacing w:line="584"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15、完成其他应当由本院负责的工作。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廊坊市广阳区人民检察院</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副处级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1604.37</w:t>
      </w:r>
      <w:r>
        <w:rPr>
          <w:rFonts w:ascii="Times New Roman" w:hAnsi="Times New Roman" w:eastAsia="仿宋_GB2312" w:cs="Times New Roman"/>
          <w:sz w:val="32"/>
          <w:szCs w:val="32"/>
        </w:rPr>
        <w:t>万元，其中：一般公共预算收入1604.37万元，基金预算收入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年支出预算1604.37万元，其中基本支出1485.55万元，包括人员类项目经费1323.49万元和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公用项目经费162.06万元；运转类其他及特定目标类项目支出118.82万元。</w:t>
      </w:r>
      <w:r>
        <w:rPr>
          <w:rFonts w:hint="eastAsia" w:ascii="Times New Roman" w:hAnsi="Times New Roman" w:eastAsia="仿宋_GB2312" w:cs="Times New Roman"/>
          <w:sz w:val="32"/>
          <w:szCs w:val="32"/>
        </w:rPr>
        <w:t>主要为聘用制书记员经费等其他支出。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年预算收支安排1604.37万元，较20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10.2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83.18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；项目支出减少</w:t>
      </w:r>
      <w:r>
        <w:rPr>
          <w:rFonts w:hint="eastAsia" w:ascii="Times New Roman" w:hAnsi="Times New Roman" w:eastAsia="仿宋_GB2312" w:cs="Times New Roman"/>
          <w:sz w:val="32"/>
          <w:szCs w:val="32"/>
        </w:rPr>
        <w:t>93.38</w:t>
      </w:r>
      <w:r>
        <w:rPr>
          <w:rFonts w:ascii="Times New Roman" w:hAnsi="Times New Roman" w:eastAsia="仿宋_GB2312" w:cs="Times New Roman"/>
          <w:sz w:val="32"/>
          <w:szCs w:val="32"/>
        </w:rPr>
        <w:t>万元，主要为</w:t>
      </w:r>
      <w:r>
        <w:rPr>
          <w:rFonts w:hint="eastAsia" w:ascii="仿宋" w:hAnsi="仿宋" w:eastAsia="仿宋" w:cs="仿宋"/>
          <w:sz w:val="32"/>
          <w:szCs w:val="32"/>
        </w:rPr>
        <w:t>办案业务经费及业务装备费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机关运行经费共计安排162.06万元，主要用于</w:t>
      </w:r>
      <w:r>
        <w:rPr>
          <w:rFonts w:hint="eastAsia" w:ascii="Times New Roman" w:hAnsi="Times New Roman" w:eastAsia="仿宋_GB2312" w:cs="Times New Roman"/>
          <w:sz w:val="32"/>
          <w:szCs w:val="32"/>
        </w:rPr>
        <w:t>廊坊市广阳区人民检察院</w:t>
      </w:r>
      <w:r>
        <w:rPr>
          <w:rFonts w:ascii="Times New Roman" w:hAnsi="Times New Roman" w:eastAsia="仿宋_GB2312" w:cs="Times New Roman"/>
          <w:sz w:val="32"/>
          <w:szCs w:val="32"/>
        </w:rPr>
        <w:t>办公区的日常维修、办公用房水电费、</w:t>
      </w:r>
      <w:r>
        <w:rPr>
          <w:rFonts w:hint="eastAsia" w:ascii="Times New Roman" w:hAnsi="Times New Roman" w:eastAsia="仿宋_GB2312" w:cs="Times New Roman"/>
          <w:sz w:val="32"/>
          <w:szCs w:val="32"/>
        </w:rPr>
        <w:t>办公用房取暖费、</w:t>
      </w:r>
      <w:r>
        <w:rPr>
          <w:rFonts w:ascii="Times New Roman" w:hAnsi="Times New Roman" w:eastAsia="仿宋_GB2312" w:cs="Times New Roman"/>
          <w:sz w:val="32"/>
          <w:szCs w:val="32"/>
        </w:rPr>
        <w:t>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财政拨款“三公”经费预算安排28.47万元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万元；公务用车购置及运维费28.47万元（其中：公务用车购置费为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万元，公务用车运维费28.47万元)；公务接待费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高举习近平新时代中国特色社会主义思想伟大旗帜，深入学习贯彻党的十九大精神，认真落实中央、省、市、区政法工作会议暨扫黑除恶电视电话会议和全国、全省、全市检察长会议精神，围绕“精神、精致、精彩”的工作定位和争创全省一流、全国先进检察院的工作目标，全面履行检察职责，全面强化队伍建设，全面提升工作成效，为建设经济强区、美丽广阳提供有力司法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1、加强普通刑事犯罪检察工作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依法严肃打击侵犯公民财产权、人身权、扰乱社会秩序等各类刑事犯罪；深入推进扫黑除恶专项斗争工作；持续做好认罪认罚从宽工作，不断提升办案质效；以规范化、专业化为导向，加强普通刑事犯罪检察人才队伍和工作机制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依法履行审查逮捕、审查起诉职责，加强立案监督、侦查监督和审判监督，坚决打击“法轮功”、“全能神”等邪教组织破坏法律实施犯罪等各类犯罪；关注民生，挂牌督办一批危害环境资源类的犯罪案件，全力推进扫黑除恶专项斗争，对涉黑和重大涉恶案件统一严格把关，加强扫黑除恶典型案件评比宣传工作，适时推出典型案例；坚决完成高检院提出的认罪认罚从宽案件适用率70%以上的目标，同时坚持稳中求升，不断提升监督质效。</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2、进一步提升重大刑事犯罪办案质效</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绩效目标：充分发挥重罪检察职能，坚持以司法办案为中心，依法严厉打击危害国家安全、危害公共安全、故意杀人、抢劫、毒品等重大刑事犯罪，进一步提升办案质效，维护社会和谐稳定。</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绩效指标：规范案件办理，在法定期限内依法结案。提升办案效率，减少发回案件数量，降低案件比。自觉履行法律监督职能，强化侦查监督、审判监督，依法制发纠正违法通知书、检察建议。</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3、为反腐败深入发展提供有力司法保障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绩效目标：充分履行职务犯罪检察职能，着力提高案件办理质效。与监察机关、审判机关、公安机关的协调配合，形成反腐败的工作合力。</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绩效指标：有针对性地展开调研不少于一次，提出解决问题的建议；进一步加强案件分析工作，每季度形成的分析报告定期向同级监委进行通报。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4、全面履行民事检察职能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绩效指标：提高办案效率，办案人员所办理的案件法定期限内结案率提升至70%；提高案件监督质量，尤其是抗诉和再审检察建议案件的质量；加大审判违法监督、执行监督和虚假诉讼监督规模和力度。</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5、有效履行新时期未检职能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落实“谁执法谁普法”普法责任制要求，积极参与青少年法治教育工作，继续深入推进法治进校园等各类法治宣传活动。 </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绩效指标：审查逮捕案件、审查起诉案件中法律援助、社会调查、亲职教育、帮教等特殊制度适用率20%以上；在全区持续推动未成年人检察社会支持体系建设工作。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部门职责1：检察监督   </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批准立案错误率为0，批延准确率达到100%，侦查监督完成率达到80%及以上，批捕错误率为0，公诉案件有罪判决率率达到99%及以上，公诉抗诉案件再审改变率达到75%及以上，公诉案件审结率达到100%，出庭意见采纳率达到96%及以上，提起公诉完成率达到100%，检察建议采纳率达到85%及以上，抗诉案件再审改变率达到89%及以上，刑事执行工作全市排名达到第7名及以上，未成年人刑事检察工作出庭意见采纳率达到95%及以上，未成年人刑事检察工作未成年人刑事检察工作达到70%及以上，未成年人刑事检察工作批准立案错误率为0，未成年人刑事检察工作侦查监督完成率达到95%及以上，未成年人刑事检察工作批捕错误率为0，司法辅助工作完成率达到90%及以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部门职责2：控告和刑事申诉检察   </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有效化解涉检信访矛盾率达到99%及以上，涉检信访案件办结率达到100%，国家赔偿案件办结率达到100%，息诉罢访率达到99%及以上，举报线索处置率达到99%及以上。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部门职责3：检察事务监督</w:t>
      </w:r>
    </w:p>
    <w:p>
      <w:pPr>
        <w:spacing w:line="500" w:lineRule="exact"/>
        <w:ind w:firstLine="640" w:firstLineChars="200"/>
        <w:jc w:val="left"/>
        <w:rPr>
          <w:rFonts w:ascii="Times New Roman" w:eastAsia="方正仿宋_GBK"/>
          <w:sz w:val="28"/>
        </w:rPr>
      </w:pPr>
      <w:r>
        <w:rPr>
          <w:rFonts w:ascii="Times New Roman" w:hAnsi="Times New Roman" w:eastAsia="仿宋_GB2312" w:cs="Times New Roman"/>
          <w:sz w:val="32"/>
          <w:szCs w:val="32"/>
        </w:rPr>
        <w:t>各项检察事务管理工作完成率达到95%及以上，各项检务保障工作完成率达到95%及以上</w:t>
      </w:r>
      <w:r>
        <w:rPr>
          <w:rFonts w:ascii="Times New Roman" w:eastAsia="方正仿宋_GBK"/>
          <w:sz w:val="28"/>
        </w:rPr>
        <w:t>。</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工作完成率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工作完成数量占总工作量的比例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提起公诉完成率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提起公诉完成案件数量占提起公诉案件的比例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公诉案件审结率</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审结的公诉案件占总公诉案件的比例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批准立案错误率</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错误立案数量占批准立案数量的比例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仿宋_GB2312" w:hAnsi="仿宋_GB2312" w:eastAsia="仿宋_GB2312" w:cs="仿宋_GB2312"/>
              </w:rPr>
              <w:t>部门效果</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出庭意见采纳率</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出庭意见采纳数量占总意见数的比例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经济</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国家赔偿案件办结率</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国家赔偿案件占总案件比例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公益诉讼案件办结率</w:t>
            </w:r>
          </w:p>
        </w:tc>
        <w:tc>
          <w:tcPr>
            <w:tcW w:w="217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公益诉讼案件办结占原有案件比例</w:t>
            </w:r>
            <w:r>
              <w:rPr>
                <w:rFonts w:hint="eastAsia" w:ascii="仿宋_GB2312" w:hAnsi="仿宋_GB2312" w:eastAsia="仿宋_GB2312" w:cs="仿宋_GB2312"/>
              </w:rPr>
              <w:tab/>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tab/>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提高执法办案效率</w:t>
            </w:r>
          </w:p>
        </w:tc>
        <w:tc>
          <w:tcPr>
            <w:tcW w:w="217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提高执法办效率产生的深远影响</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当事人对案件满意度</w:t>
            </w:r>
          </w:p>
        </w:tc>
        <w:tc>
          <w:tcPr>
            <w:tcW w:w="217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当事人对民事行政申请监督案件的满意程度</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98</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2021年工作计划</w:t>
            </w:r>
          </w:p>
        </w:tc>
      </w:tr>
    </w:tbl>
    <w:p>
      <w:pPr>
        <w:spacing w:line="584" w:lineRule="exact"/>
        <w:rPr>
          <w:rFonts w:hint="eastAsia"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聘用制书记员经费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600"/>
        <w:gridCol w:w="164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仿宋_GB2312" w:hAnsi="Times New Roman" w:eastAsia="仿宋_GB2312" w:cs="Times New Roman"/>
                <w:b/>
              </w:rPr>
            </w:pPr>
            <w:r>
              <w:rPr>
                <w:rFonts w:hint="eastAsia" w:ascii="仿宋_GB2312" w:eastAsia="仿宋_GB2312"/>
              </w:rPr>
              <w:t>招录聘用制书记员，更好的适应检察工作需要，为检察事业服务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6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4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办理案件数</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当年实际办理案件数</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≥300件数</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提起公诉完成率</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提起公诉并完成的数量占提起公诉的比例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公诉案件审结率</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诉讼期限内审结案件占全部案件比例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批准立案错误率</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错误立案数量占批准立案数量的比例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检察建议采纳率</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被采纳的检察建议占全部检察建议的比例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公益诉讼案件办结率</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公益诉讼案件办结占原有案件比例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当事人对民事行政案件满意度</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当事人满意人数占调查人数比例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仿宋_GB2312" w:hAnsi="仿宋_GB2312" w:eastAsia="仿宋_GB2312" w:cs="仿宋_GB2312"/>
              </w:rPr>
            </w:pPr>
          </w:p>
        </w:tc>
        <w:tc>
          <w:tcPr>
            <w:tcW w:w="2268"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当事人对民事监督案件满意度</w:t>
            </w:r>
          </w:p>
        </w:tc>
        <w:tc>
          <w:tcPr>
            <w:tcW w:w="3600"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当事人满意人数占调查人数比例</w:t>
            </w:r>
          </w:p>
        </w:tc>
        <w:tc>
          <w:tcPr>
            <w:tcW w:w="164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2021年工作计划</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55</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黑体" w:hAnsi="黑体" w:eastAsia="黑体" w:cs="黑体"/>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[360001]廊坊市广阳区人民检察院</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162.06</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物业管理服务</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C1204</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52.00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52.00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52.00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公用类项目</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162.06</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物业管理服务</w:t>
            </w:r>
          </w:p>
        </w:tc>
        <w:tc>
          <w:tcPr>
            <w:tcW w:w="153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C1204</w:t>
            </w:r>
          </w:p>
        </w:tc>
        <w:tc>
          <w:tcPr>
            <w:tcW w:w="7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907"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3.00</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广阳区人民检察院（含所属单位）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1917.58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广阳区人民检察院部门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广阳区人民检察院</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1917.58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241.66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1207.18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swiss"/>
    <w:pitch w:val="default"/>
    <w:sig w:usb0="00000000" w:usb1="00000000"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A07F5"/>
    <w:rsid w:val="000B2562"/>
    <w:rsid w:val="00160F9F"/>
    <w:rsid w:val="001F5032"/>
    <w:rsid w:val="00301F9F"/>
    <w:rsid w:val="00356683"/>
    <w:rsid w:val="003F353D"/>
    <w:rsid w:val="00431D8E"/>
    <w:rsid w:val="004A54AA"/>
    <w:rsid w:val="005244C5"/>
    <w:rsid w:val="005F621A"/>
    <w:rsid w:val="00635EF5"/>
    <w:rsid w:val="006E721D"/>
    <w:rsid w:val="006F02C4"/>
    <w:rsid w:val="006F7E93"/>
    <w:rsid w:val="007135AE"/>
    <w:rsid w:val="007B0276"/>
    <w:rsid w:val="00807A76"/>
    <w:rsid w:val="00835150"/>
    <w:rsid w:val="008861F7"/>
    <w:rsid w:val="008F0EB4"/>
    <w:rsid w:val="00950ECC"/>
    <w:rsid w:val="00A218C6"/>
    <w:rsid w:val="00A77C03"/>
    <w:rsid w:val="00B17B32"/>
    <w:rsid w:val="00B5799B"/>
    <w:rsid w:val="00B80935"/>
    <w:rsid w:val="00C518A2"/>
    <w:rsid w:val="00CA3144"/>
    <w:rsid w:val="00CB7924"/>
    <w:rsid w:val="00D058E0"/>
    <w:rsid w:val="00D347CC"/>
    <w:rsid w:val="00D57BBE"/>
    <w:rsid w:val="00DB186A"/>
    <w:rsid w:val="00DB6D84"/>
    <w:rsid w:val="00DC6C8A"/>
    <w:rsid w:val="00DE085B"/>
    <w:rsid w:val="00E27CE3"/>
    <w:rsid w:val="00EC5FA3"/>
    <w:rsid w:val="00F349E7"/>
    <w:rsid w:val="00FF5A9A"/>
    <w:rsid w:val="05B22583"/>
    <w:rsid w:val="127E28FD"/>
    <w:rsid w:val="140A239D"/>
    <w:rsid w:val="21117765"/>
    <w:rsid w:val="3D95740E"/>
    <w:rsid w:val="4172259C"/>
    <w:rsid w:val="44B31319"/>
    <w:rsid w:val="49FF4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857</Words>
  <Characters>4885</Characters>
  <Lines>40</Lines>
  <Paragraphs>11</Paragraphs>
  <TotalTime>8946</TotalTime>
  <ScaleCrop>false</ScaleCrop>
  <LinksUpToDate>false</LinksUpToDate>
  <CharactersWithSpaces>5731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2022-07-08T03:24:21Z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BC7A56B839EF4DD1899BB384311BE50E</vt:lpwstr>
  </property>
</Properties>
</file>