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3" w:name="_GoBack"/>
      <w:r>
        <w:rPr>
          <w:rFonts w:hint="eastAsia" w:ascii="Times New Roman" w:hAnsi="Times New Roman" w:eastAsia="方正小标宋简体" w:cs="Times New Roman"/>
          <w:sz w:val="44"/>
          <w:szCs w:val="44"/>
        </w:rPr>
        <w:t>中国人民政治协商会议</w:t>
      </w: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中国人民政治协商会议廊坊市广阳区委员会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根据《中国人民政治协商会议廊坊市广阳区委员会职能配置、内设机构和人员编制规定》， 中国人民政治协商会议廊坊市广阳区委员会的主要职责是：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（一）按照中国人民政治协商会议章程进行工作。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（二）主要职能是政治协商和民主监督，组织参加本会的各党派、团体和各族各界人士参政议政。</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（三）宣传和贯彻执行国家的宪法法律和各项方针、政策，推动社会力量积极参加物质文明和社会主义精神文明建设，协助国家机关打击经济领域和其他领域内破坏社会主义的犯罪活动。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密切联系各族各界人士，反映他们及其所联系的群众意见和要求，对国家机关和机关工作人员的工作提出建议和批评，协助国家机关进行机构改革和体制改革，改进工作提高工作效率，克服官僚主义，加强廉政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（五）调整和处理统一战线各方面的关系和人民政协内部合作的重要事项。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（六）通过各种形式，积极传播先进思想，开展爱祖国、爱人民、爱劳动、爱科学、爱社会主义的公德及革命的理想、道德和纪律的宣传教育工作。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坚持发展科学、繁荣文化的“百花齐放、百鸟齐鸣”的方针，密切联系国家机关和其他有关组织，在政治、法律、经济、教育、科学、技术、文化艺术、医药卫生、体育等方面开展调整研究等活动，广开言路，广开才路，充分发挥委员的专长和作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（八）组织委员视察、参观和调查，了解情况，就各项事业和群众生活的重要问题进行研究，通过建议案、提案和其他形式向党委、政府和其他有关组织提出建议和批评。</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（九）推动委员在自愿的基础上学习马克思列宁主义、毛泽东思想和邓小平理论，学习时事政治、学习和交流业务和科学技术知识，增强为祖国服务的才能。</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（十）宣传和参与贯彻执行国家关于统一祖国的方针政策，积极开展同台湾同胞和各界人士的联系，促进祖国统一大业的实现。</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（十一）宣传和协助贯彻执行国家的知识分子政策，以利于充分发挥知识分子在社会主义现代化建设中的作用。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宣传和协助贯彻执行国家的民族政策，反映少数民族的意见和要求，为发展少数民族地区的经济、文化，维护少数民族的合法权利和利益，改善和发展社会主义的民族关系，增进各族人民的大团结和维护祖国统一贡献力量。</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（十三）宣传和协助贯彻执行国家的宗教政策，团结宗教界爱国人士和宗教信仰者为祖国的建设和统一贡献力量。</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（十四）宣传和协助贯彻执行国家的侨务政策。加强同国外侨胞的联系和团结，鼓励他们为祖国的建设事业和统一祖国的大业作出贡献。</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（十五）根据统一战线组织的特点进行关于地方近代、现代史料的征集研究和出版工作。</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sectPr>
          <w:footerReference r:id="rId3" w:type="default"/>
          <w:pgSz w:w="11907" w:h="16839"/>
          <w:pgMar w:top="1531" w:right="1134" w:bottom="1474" w:left="1134" w:header="851" w:footer="992" w:gutter="0"/>
          <w:pgNumType w:start="1"/>
          <w:cols w:space="425" w:num="1"/>
          <w:docGrid w:type="lines" w:linePitch="312" w:charSpace="0"/>
        </w:sect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tcPr>
          <w:p>
            <w:pPr>
              <w:spacing w:line="584" w:lineRule="exact"/>
              <w:jc w:val="center"/>
              <w:rPr>
                <w:rFonts w:ascii="仿宋" w:eastAsia="仿宋" w:cs="ArialUnicodeMS"/>
                <w:kern w:val="0"/>
                <w:sz w:val="24"/>
              </w:rPr>
            </w:pPr>
            <w:r>
              <w:rPr>
                <w:rFonts w:hint="eastAsia" w:ascii="Times New Roman" w:hAnsi="Times New Roman" w:eastAsia="仿宋_GB2312" w:cs="Times New Roman"/>
                <w:b/>
              </w:rPr>
              <w:t>中国人民政治协商会议廊坊市广阳区委员会(本级)</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部门预算的编制实行综合预算制度，即全部收入和支出都反映在预算中。中国人民政治协商会议廊坊市广阳区委员会机关的收支包含在部门预算中。</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917.21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917.21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ascii="Times New Roman" w:hAnsi="Times New Roman" w:eastAsia="楷体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中国人民政治协商会议廊坊市广阳区委员会2021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917.21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805.21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709.52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95.69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112</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工作经费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会议费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培训费、互联网接入口检测器经费</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ascii="Times New Roman" w:hAnsi="Times New Roman" w:eastAsia="楷体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917.21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39.19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人员工资</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37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工作经费和互联网接入口检测器经费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color w:val="000000" w:themeColor="text1"/>
          <w:sz w:val="32"/>
          <w:szCs w:val="32"/>
        </w:rPr>
        <w:t>95.69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仿宋_GB2312" w:hAnsi="Times New Roman" w:eastAsia="仿宋_GB2312" w:cs="仿宋_GB2312"/>
          <w:sz w:val="32"/>
          <w:szCs w:val="32"/>
        </w:rPr>
        <w:t>2021</w:t>
      </w:r>
      <w:r>
        <w:rPr>
          <w:rFonts w:hint="eastAsia" w:ascii="仿宋_GB2312" w:hAnsi="Times New Roman" w:eastAsia="仿宋_GB2312" w:cs="仿宋_GB2312"/>
          <w:sz w:val="32"/>
          <w:szCs w:val="32"/>
        </w:rPr>
        <w:t>年，我单位财政拨款“三公”经费预算安排37.26万元。其中，因公出国（境）费</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万元；公务用车购置及运维费</w:t>
      </w:r>
      <w:r>
        <w:rPr>
          <w:rFonts w:ascii="仿宋_GB2312" w:hAnsi="Times New Roman" w:eastAsia="仿宋_GB2312" w:cs="仿宋_GB2312"/>
          <w:sz w:val="32"/>
          <w:szCs w:val="32"/>
        </w:rPr>
        <w:t>8.76</w:t>
      </w:r>
      <w:r>
        <w:rPr>
          <w:rFonts w:hint="eastAsia" w:ascii="仿宋_GB2312" w:hAnsi="Times New Roman" w:eastAsia="仿宋_GB2312" w:cs="仿宋_GB2312"/>
          <w:sz w:val="32"/>
          <w:szCs w:val="32"/>
        </w:rPr>
        <w:t>万元（其中：公务用车购置费为</w:t>
      </w:r>
      <w:r>
        <w:rPr>
          <w:rFonts w:ascii="仿宋_GB2312" w:hAnsi="Times New Roman" w:eastAsia="仿宋_GB2312" w:cs="仿宋_GB2312"/>
          <w:sz w:val="32"/>
          <w:szCs w:val="32"/>
        </w:rPr>
        <w:t>0</w:t>
      </w:r>
      <w:r>
        <w:rPr>
          <w:rFonts w:hint="eastAsia" w:ascii="仿宋_GB2312" w:hAnsi="Times New Roman" w:eastAsia="仿宋_GB2312" w:cs="仿宋_GB2312"/>
          <w:sz w:val="32"/>
          <w:szCs w:val="32"/>
        </w:rPr>
        <w:t>万元，公务用车运维费</w:t>
      </w:r>
      <w:r>
        <w:rPr>
          <w:rFonts w:ascii="仿宋_GB2312" w:hAnsi="Times New Roman" w:eastAsia="仿宋_GB2312" w:cs="仿宋_GB2312"/>
          <w:sz w:val="32"/>
          <w:szCs w:val="32"/>
        </w:rPr>
        <w:t>8.76</w:t>
      </w:r>
      <w:r>
        <w:rPr>
          <w:rFonts w:hint="eastAsia" w:ascii="仿宋_GB2312" w:hAnsi="Times New Roman" w:eastAsia="仿宋_GB2312" w:cs="仿宋_GB2312"/>
          <w:sz w:val="32"/>
          <w:szCs w:val="32"/>
        </w:rPr>
        <w:t>万元</w:t>
      </w:r>
      <w:r>
        <w:rPr>
          <w:rFonts w:ascii="仿宋_GB2312" w:hAnsi="Times New Roman" w:eastAsia="仿宋_GB2312" w:cs="仿宋_GB2312"/>
          <w:sz w:val="32"/>
          <w:szCs w:val="32"/>
        </w:rPr>
        <w:t>)</w:t>
      </w:r>
      <w:r>
        <w:rPr>
          <w:rFonts w:hint="eastAsia" w:ascii="仿宋_GB2312" w:hAnsi="Times New Roman" w:eastAsia="仿宋_GB2312" w:cs="仿宋_GB2312"/>
          <w:sz w:val="32"/>
          <w:szCs w:val="32"/>
        </w:rPr>
        <w:t>；公务接待费</w:t>
      </w:r>
      <w:r>
        <w:rPr>
          <w:rFonts w:ascii="仿宋_GB2312" w:hAnsi="Times New Roman" w:eastAsia="仿宋_GB2312" w:cs="仿宋_GB2312"/>
          <w:sz w:val="32"/>
          <w:szCs w:val="32"/>
        </w:rPr>
        <w:t>28.50</w:t>
      </w:r>
      <w:r>
        <w:rPr>
          <w:rFonts w:hint="eastAsia" w:ascii="仿宋_GB2312" w:hAnsi="Times New Roman" w:eastAsia="仿宋_GB2312" w:cs="仿宋_GB2312"/>
          <w:sz w:val="32"/>
          <w:szCs w:val="32"/>
        </w:rPr>
        <w:t>万元。与</w:t>
      </w:r>
      <w:r>
        <w:rPr>
          <w:rFonts w:ascii="仿宋_GB2312" w:hAnsi="Times New Roman" w:eastAsia="仿宋_GB2312" w:cs="仿宋_GB2312"/>
          <w:sz w:val="32"/>
          <w:szCs w:val="32"/>
        </w:rPr>
        <w:t>2020</w:t>
      </w:r>
      <w:r>
        <w:rPr>
          <w:rFonts w:hint="eastAsia" w:ascii="仿宋_GB2312" w:hAnsi="Times New Roman" w:eastAsia="仿宋_GB2312" w:cs="仿宋_GB2312"/>
          <w:sz w:val="32"/>
          <w:szCs w:val="32"/>
        </w:rPr>
        <w:t>年相比持平，</w:t>
      </w:r>
      <w:r>
        <w:rPr>
          <w:rFonts w:hint="eastAsia" w:ascii="仿宋_GB2312" w:hAnsi="Times New Roman" w:eastAsia="仿宋_GB2312" w:cs="仿宋_GB2312"/>
          <w:color w:val="000000"/>
          <w:sz w:val="32"/>
          <w:szCs w:val="32"/>
        </w:rPr>
        <w:t>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习近平新时代中国特色社会主义思想为指导，全面学习贯彻党的十九大和十九届二中、三中、四中、五中全会及中央和省、市、区委政协工作会议精神，深入贯彻落实习近平关于加强和改进人民政协工作的重要思想，聚焦新方位新使命，抓好机关干部教育、委员专题培训，政协理论研究等工作，改进学习方法，提高学习效果，提升理论学习的吸引力和感染力；突出工作主轴主线，把握履职中心环节，围绕区委五届八次全会确定的“全域主城区”发展理念和“一核两区五带”发展战略，主动在新时代全局中定位，聚焦全区中心任务，科学制定年度协商计划，报区委审议后狠抓落实；丰富协商形式，完善以全体会议为龙头、以专题议政性常委会议和专题协商会、协商座谈会等为重点的协商议政格局，更加灵活、更为经常地开展专题协商、对口协商、界别协商、提案办理协商。积极探索网络议政、远程协商等新形式；彰显政协责任担当，加强政协常委会建设，深化委员能力建设，充分发挥区政协党组在政协工作中的领导核心作用，切实担负起把党中央决策部署和省、市、区委要求落实下去，把各方面智慧和力量凝聚起来的政治责任，为决胜全面建成小康社会，加快建设新时代经济强区、美丽广阳做出应有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一、组织召开政协会议活动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 完善各项会议制度，规范会议程序，提高会议质量，提高政治协商水平。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绩效指标：组织召开六届一次全体会议、政协常委会议、委员座谈会等活动。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二、组织开展民主协商和考察学习活动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绩效目标：充分发挥人民政协专门协商机构的作用，明确职责任务，完善制度机制，规范协商内容，丰富协商形式，提高协商议政质量。加强与兄弟县区联谊活动，增进友谊，加强借鉴和学习。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绩效指标：1.按照政协党组协商计划组织召开专题协商活动。</w:t>
      </w:r>
    </w:p>
    <w:p>
      <w:pPr>
        <w:autoSpaceDE w:val="0"/>
        <w:autoSpaceDN w:val="0"/>
        <w:adjustRightInd w:val="0"/>
        <w:spacing w:line="584" w:lineRule="exact"/>
        <w:ind w:left="197" w:leftChars="94" w:firstLine="2240" w:firstLineChars="7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2.组织区政协领导到先进县区进行考察学习经验。</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三、组织开展民主监督工作和提案办理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紧扣区委区政府决策部署和政策措施的贯彻落实开展民主监督，协助党委政府更好地解决问题、推动工作。完善提案审查、立案、办理、反馈和协商机制，做到提案程序更加规范，制度更加完善，委员提案质量和办理效果不断提高，政协委员履职作用更有成效。</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绩效指标：1.按照政协党组监督计划，组织委员开展民主监督活动。</w:t>
      </w:r>
    </w:p>
    <w:p>
      <w:pPr>
        <w:autoSpaceDE w:val="0"/>
        <w:autoSpaceDN w:val="0"/>
        <w:adjustRightInd w:val="0"/>
        <w:spacing w:line="584" w:lineRule="exact"/>
        <w:ind w:left="197" w:leftChars="94" w:firstLine="2240" w:firstLineChars="7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2.通过提案对口协商会、界别协商会和督办会等形式，提案交办率和办结率达到100%。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四、组织开展专题调研活动、做好社情民意信息反映工作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围绕全区大局和政协工作，深入开展调查研究，打牢协商议政和咨政建言的基础。通过调研就区委和区政府关注的问题，提出客观、有价值、有分量、有影响的意见建议，促进党委决策民主化和科学化。通过界别群众渠道密切联系群众，反映社情民意，努力做到协商关系、化解矛盾、理顺情绪，增进社会的和谐稳定。</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一、精心谋划，精准发力。协商活动由区政协办公室和有关专委会负责组织开展。各有关部门要根据选题，认真研究制定具体工作方案，明确时间、地点、协商参与单位、出席人员、成果运用及报送方式等，责任到人，落实到位，切实提高协商活动的质量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突出重点，搞好调研。协商活动要建立在充分调研的基础上，每次协商都要抓住关键问题，深入细致地开展调查研究。要以调研的深入促进协商的深度，围绕年度调研课题，坚持高标准，深挖掘，努力形成高质量、有深度的调研报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加强协作，形成合力。积极争取党委、政府有关部门支持与配合，加强与政协参加单位、区直有关部门、大专院校和科研院所的沟通协调，促进各方密切协作。区政协办公室和各专委会之间要加强协作配合，形成协商工作合力。</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注重成效，抓好落实。搞好政协协商与党政部门的工作衔接，综合运用建议案、情况报告、调研报告、重点提案、社情民意信息等形式，向区委、区政府及有关部门报送重要意见和建议。加强跟踪调研和视察，推动协商成果转化为党委、政府决策。</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862"/>
        <w:gridCol w:w="1642"/>
        <w:gridCol w:w="2722"/>
        <w:gridCol w:w="1492"/>
        <w:gridCol w:w="3622"/>
        <w:gridCol w:w="442"/>
        <w:gridCol w:w="562"/>
        <w:gridCol w:w="742"/>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0" w:type="auto"/>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0" w:type="auto"/>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0" w:type="auto"/>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62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0" w:type="auto"/>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0" w:type="auto"/>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0" w:type="auto"/>
            <w:vMerge w:val="continue"/>
            <w:tcBorders>
              <w:tl2br w:val="nil"/>
              <w:tr2bl w:val="nil"/>
            </w:tcBorders>
            <w:vAlign w:val="center"/>
          </w:tcPr>
          <w:p/>
        </w:tc>
        <w:tc>
          <w:tcPr>
            <w:tcW w:w="0" w:type="auto"/>
            <w:vMerge w:val="continue"/>
            <w:tcBorders>
              <w:tl2br w:val="nil"/>
              <w:tr2bl w:val="nil"/>
            </w:tcBorders>
            <w:vAlign w:val="center"/>
          </w:tcPr>
          <w:p/>
        </w:tc>
        <w:tc>
          <w:tcPr>
            <w:tcW w:w="0" w:type="auto"/>
            <w:vMerge w:val="continue"/>
            <w:tcBorders>
              <w:tl2br w:val="nil"/>
              <w:tr2bl w:val="nil"/>
            </w:tcBorders>
            <w:vAlign w:val="center"/>
          </w:tcPr>
          <w:p/>
        </w:tc>
        <w:tc>
          <w:tcPr>
            <w:tcW w:w="1492" w:type="dxa"/>
            <w:vMerge w:val="continue"/>
            <w:tcBorders>
              <w:tl2br w:val="nil"/>
              <w:tr2bl w:val="nil"/>
            </w:tcBorders>
            <w:vAlign w:val="center"/>
          </w:tcPr>
          <w:p/>
        </w:tc>
        <w:tc>
          <w:tcPr>
            <w:tcW w:w="3622" w:type="dxa"/>
            <w:vMerge w:val="continue"/>
            <w:tcBorders>
              <w:tl2br w:val="nil"/>
              <w:tr2bl w:val="nil"/>
            </w:tcBorders>
            <w:vAlign w:val="center"/>
          </w:tcPr>
          <w:p/>
        </w:tc>
        <w:tc>
          <w:tcPr>
            <w:tcW w:w="0" w:type="auto"/>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0" w:type="auto"/>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0" w:type="auto"/>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0" w:type="auto"/>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0" w:type="auto"/>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会议活动参加人数</w:t>
            </w:r>
          </w:p>
        </w:tc>
        <w:tc>
          <w:tcPr>
            <w:tcW w:w="1492" w:type="dxa"/>
            <w:tcBorders>
              <w:tl2br w:val="nil"/>
              <w:tr2bl w:val="nil"/>
            </w:tcBorders>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5</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组织参会人数</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340.00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39" w:hRule="atLeast"/>
          <w:jc w:val="center"/>
        </w:trPr>
        <w:tc>
          <w:tcPr>
            <w:tcW w:w="0" w:type="auto"/>
            <w:vMerge w:val="continue"/>
            <w:tcBorders>
              <w:tl2br w:val="nil"/>
              <w:tr2bl w:val="nil"/>
            </w:tcBorders>
            <w:vAlign w:val="center"/>
          </w:tcPr>
          <w:p>
            <w:pPr>
              <w:widowControl/>
              <w:adjustRightInd w:val="0"/>
              <w:snapToGrid w:val="0"/>
              <w:jc w:val="center"/>
              <w:rPr>
                <w:rFonts w:ascii="方正书宋_GBK" w:eastAsia="方正书宋_GBK"/>
              </w:rPr>
            </w:p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参加学习培训委员人数</w:t>
            </w:r>
          </w:p>
        </w:tc>
        <w:tc>
          <w:tcPr>
            <w:tcW w:w="1492" w:type="dxa"/>
            <w:tcBorders>
              <w:tl2br w:val="nil"/>
              <w:tr2bl w:val="nil"/>
            </w:tcBorders>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5</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参加学习培训委员人数</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150.00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人</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1" w:hRule="atLeast"/>
          <w:jc w:val="center"/>
        </w:trPr>
        <w:tc>
          <w:tcPr>
            <w:tcW w:w="0" w:type="auto"/>
            <w:vMerge w:val="continue"/>
            <w:tcBorders>
              <w:tl2br w:val="nil"/>
              <w:tr2bl w:val="nil"/>
            </w:tcBorders>
            <w:vAlign w:val="center"/>
          </w:tcPr>
          <w:p>
            <w:pPr>
              <w:widowControl/>
              <w:adjustRightInd w:val="0"/>
              <w:snapToGrid w:val="0"/>
              <w:jc w:val="center"/>
              <w:rPr>
                <w:rFonts w:ascii="方正书宋_GBK" w:eastAsia="方正书宋_GBK"/>
              </w:rPr>
            </w:p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工作计划执行率</w:t>
            </w:r>
          </w:p>
        </w:tc>
        <w:tc>
          <w:tcPr>
            <w:tcW w:w="1492" w:type="dxa"/>
            <w:tcBorders>
              <w:tl2br w:val="nil"/>
              <w:tr2bl w:val="nil"/>
            </w:tcBorders>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5</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实际工作占全年总计划的比重</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95.00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0" w:hRule="atLeast"/>
          <w:jc w:val="center"/>
        </w:trPr>
        <w:tc>
          <w:tcPr>
            <w:tcW w:w="0" w:type="auto"/>
            <w:vMerge w:val="continue"/>
            <w:tcBorders>
              <w:tl2br w:val="nil"/>
              <w:tr2bl w:val="nil"/>
            </w:tcBorders>
            <w:vAlign w:val="center"/>
          </w:tcPr>
          <w:p>
            <w:pPr>
              <w:widowControl/>
              <w:adjustRightInd w:val="0"/>
              <w:snapToGrid w:val="0"/>
              <w:jc w:val="center"/>
              <w:rPr>
                <w:rFonts w:ascii="方正书宋_GBK" w:eastAsia="方正书宋_GBK"/>
              </w:rPr>
            </w:p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数量</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采购设备数量</w:t>
            </w:r>
          </w:p>
        </w:tc>
        <w:tc>
          <w:tcPr>
            <w:tcW w:w="1492" w:type="dxa"/>
            <w:tcBorders>
              <w:tl2br w:val="nil"/>
              <w:tr2bl w:val="nil"/>
            </w:tcBorders>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3</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需要采购互联网接入口监测器数量</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台</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4" w:hRule="atLeast"/>
          <w:jc w:val="center"/>
        </w:trPr>
        <w:tc>
          <w:tcPr>
            <w:tcW w:w="0" w:type="auto"/>
            <w:vMerge w:val="continue"/>
            <w:tcBorders>
              <w:tl2br w:val="nil"/>
              <w:tr2bl w:val="nil"/>
            </w:tcBorders>
            <w:vAlign w:val="center"/>
          </w:tcPr>
          <w:p>
            <w:pPr>
              <w:widowControl/>
              <w:adjustRightInd w:val="0"/>
              <w:snapToGrid w:val="0"/>
              <w:jc w:val="center"/>
              <w:rPr>
                <w:rFonts w:ascii="方正书宋_GBK" w:eastAsia="方正书宋_GBK"/>
              </w:rPr>
            </w:p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质量</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会议资料保管率</w:t>
            </w:r>
          </w:p>
        </w:tc>
        <w:tc>
          <w:tcPr>
            <w:tcW w:w="1492" w:type="dxa"/>
            <w:tcBorders>
              <w:tl2br w:val="nil"/>
              <w:tr2bl w:val="nil"/>
            </w:tcBorders>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3</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妥善保管会议资料占应保管相关资料的比例</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1" w:hRule="atLeast"/>
          <w:jc w:val="center"/>
        </w:trPr>
        <w:tc>
          <w:tcPr>
            <w:tcW w:w="0" w:type="auto"/>
            <w:vMerge w:val="continue"/>
            <w:tcBorders>
              <w:tl2br w:val="nil"/>
              <w:tr2bl w:val="nil"/>
            </w:tcBorders>
            <w:vAlign w:val="center"/>
          </w:tcPr>
          <w:p>
            <w:pPr>
              <w:widowControl/>
              <w:adjustRightInd w:val="0"/>
              <w:snapToGrid w:val="0"/>
              <w:jc w:val="center"/>
              <w:rPr>
                <w:rFonts w:ascii="方正书宋_GBK" w:eastAsia="方正书宋_GBK"/>
              </w:rPr>
            </w:p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质量</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培训资料保管率</w:t>
            </w:r>
          </w:p>
        </w:tc>
        <w:tc>
          <w:tcPr>
            <w:tcW w:w="1492" w:type="dxa"/>
            <w:tcBorders>
              <w:tl2br w:val="nil"/>
              <w:tr2bl w:val="nil"/>
            </w:tcBorders>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3</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妥善保管培训资料占应保管相关资料的比例</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7" w:hRule="atLeast"/>
          <w:jc w:val="center"/>
        </w:trPr>
        <w:tc>
          <w:tcPr>
            <w:tcW w:w="0" w:type="auto"/>
            <w:vMerge w:val="continue"/>
            <w:tcBorders>
              <w:tl2br w:val="nil"/>
              <w:tr2bl w:val="nil"/>
            </w:tcBorders>
            <w:vAlign w:val="center"/>
          </w:tcPr>
          <w:p>
            <w:pPr>
              <w:widowControl/>
              <w:adjustRightInd w:val="0"/>
              <w:snapToGrid w:val="0"/>
              <w:jc w:val="center"/>
              <w:rPr>
                <w:rFonts w:ascii="方正书宋_GBK" w:eastAsia="方正书宋_GBK"/>
              </w:rPr>
            </w:p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质量</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购置合格率</w:t>
            </w:r>
          </w:p>
        </w:tc>
        <w:tc>
          <w:tcPr>
            <w:tcW w:w="1492" w:type="dxa"/>
            <w:tcBorders>
              <w:tl2br w:val="nil"/>
              <w:tr2bl w:val="nil"/>
            </w:tcBorders>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5</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采购质量合格率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100.00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4" w:hRule="atLeast"/>
          <w:jc w:val="center"/>
        </w:trPr>
        <w:tc>
          <w:tcPr>
            <w:tcW w:w="0" w:type="auto"/>
            <w:vMerge w:val="continue"/>
            <w:tcBorders>
              <w:tl2br w:val="nil"/>
              <w:tr2bl w:val="nil"/>
            </w:tcBorders>
            <w:vAlign w:val="center"/>
          </w:tcPr>
          <w:p>
            <w:pPr>
              <w:widowControl/>
              <w:adjustRightInd w:val="0"/>
              <w:snapToGrid w:val="0"/>
              <w:jc w:val="center"/>
              <w:rPr>
                <w:rFonts w:ascii="方正书宋_GBK" w:eastAsia="方正书宋_GBK"/>
              </w:rPr>
            </w:p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时效</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会议活动完成情况</w:t>
            </w:r>
          </w:p>
        </w:tc>
        <w:tc>
          <w:tcPr>
            <w:tcW w:w="1492" w:type="dxa"/>
            <w:tcBorders>
              <w:tl2br w:val="nil"/>
              <w:tr2bl w:val="nil"/>
            </w:tcBorders>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5</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按工作计划安排是否按时完成会议组织任务</w:t>
            </w:r>
          </w:p>
        </w:tc>
        <w:tc>
          <w:tcPr>
            <w:tcW w:w="0" w:type="auto"/>
            <w:tcBorders>
              <w:tl2br w:val="nil"/>
              <w:tr2bl w:val="nil"/>
            </w:tcBorders>
            <w:vAlign w:val="center"/>
          </w:tcPr>
          <w:p>
            <w:pPr>
              <w:jc w:val="left"/>
              <w:rPr>
                <w:rFonts w:ascii="宋体" w:hAnsi="宋体" w:cs="宋体"/>
                <w:color w:val="000000"/>
                <w:sz w:val="18"/>
                <w:szCs w:val="18"/>
              </w:rPr>
            </w:pP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365.00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天</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1" w:hRule="atLeast"/>
          <w:jc w:val="center"/>
        </w:trPr>
        <w:tc>
          <w:tcPr>
            <w:tcW w:w="0" w:type="auto"/>
            <w:vMerge w:val="continue"/>
            <w:tcBorders>
              <w:tl2br w:val="nil"/>
              <w:tr2bl w:val="nil"/>
            </w:tcBorders>
            <w:vAlign w:val="center"/>
          </w:tc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时效</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培训活动完成情况</w:t>
            </w:r>
          </w:p>
        </w:tc>
        <w:tc>
          <w:tcPr>
            <w:tcW w:w="1492" w:type="dxa"/>
            <w:tcBorders>
              <w:tl2br w:val="nil"/>
              <w:tr2bl w:val="nil"/>
            </w:tcBorders>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5</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按区政协计划安排是否按时完成培训组织任务</w:t>
            </w:r>
          </w:p>
        </w:tc>
        <w:tc>
          <w:tcPr>
            <w:tcW w:w="0" w:type="auto"/>
            <w:tcBorders>
              <w:tl2br w:val="nil"/>
              <w:tr2bl w:val="nil"/>
            </w:tcBorders>
            <w:vAlign w:val="center"/>
          </w:tcPr>
          <w:p>
            <w:pPr>
              <w:jc w:val="left"/>
              <w:rPr>
                <w:rFonts w:ascii="宋体" w:hAnsi="宋体" w:cs="宋体"/>
                <w:color w:val="000000"/>
                <w:sz w:val="18"/>
                <w:szCs w:val="18"/>
              </w:rPr>
            </w:pP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次</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2021年工作计划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8" w:hRule="atLeast"/>
          <w:jc w:val="center"/>
        </w:trPr>
        <w:tc>
          <w:tcPr>
            <w:tcW w:w="0" w:type="auto"/>
            <w:vMerge w:val="continue"/>
            <w:tcBorders>
              <w:tl2br w:val="nil"/>
              <w:tr2bl w:val="nil"/>
            </w:tcBorders>
            <w:vAlign w:val="center"/>
          </w:tcP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时效</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工作完成时效性</w:t>
            </w:r>
          </w:p>
        </w:tc>
        <w:tc>
          <w:tcPr>
            <w:tcW w:w="1492" w:type="dxa"/>
            <w:tcBorders>
              <w:tl2br w:val="nil"/>
              <w:tr2bl w:val="nil"/>
            </w:tcBorders>
            <w:vAlign w:val="center"/>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5</w:t>
            </w:r>
          </w:p>
        </w:tc>
        <w:tc>
          <w:tcPr>
            <w:tcW w:w="362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完成任务占任务总数的比率</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95.00</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7" w:hRule="atLeast"/>
          <w:jc w:val="center"/>
        </w:trPr>
        <w:tc>
          <w:tcPr>
            <w:tcW w:w="0" w:type="auto"/>
            <w:vMerge w:val="continue"/>
            <w:tcBorders>
              <w:tl2br w:val="nil"/>
              <w:tr2bl w:val="nil"/>
            </w:tcBorders>
            <w:vAlign w:val="center"/>
          </w:tcP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成本</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会议费标准</w:t>
            </w:r>
          </w:p>
        </w:tc>
        <w:tc>
          <w:tcPr>
            <w:tcW w:w="1492" w:type="dxa"/>
            <w:tcBorders>
              <w:tl2br w:val="nil"/>
              <w:tr2bl w:val="nil"/>
            </w:tcBorders>
            <w:vAlign w:val="center"/>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5</w:t>
            </w:r>
          </w:p>
        </w:tc>
        <w:tc>
          <w:tcPr>
            <w:tcW w:w="362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会议费支付标准（一类）</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500.00</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元/人/天</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市、区两级会议费管理办法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38" w:hRule="atLeast"/>
          <w:jc w:val="center"/>
        </w:trPr>
        <w:tc>
          <w:tcPr>
            <w:tcW w:w="0" w:type="auto"/>
            <w:vMerge w:val="continue"/>
            <w:tcBorders>
              <w:tl2br w:val="nil"/>
              <w:tr2bl w:val="nil"/>
            </w:tcBorders>
            <w:vAlign w:val="center"/>
          </w:tcP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成本</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培训费标准</w:t>
            </w:r>
          </w:p>
        </w:tc>
        <w:tc>
          <w:tcPr>
            <w:tcW w:w="1492" w:type="dxa"/>
            <w:tcBorders>
              <w:tl2br w:val="nil"/>
              <w:tr2bl w:val="nil"/>
            </w:tcBorders>
            <w:vAlign w:val="center"/>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5</w:t>
            </w:r>
          </w:p>
        </w:tc>
        <w:tc>
          <w:tcPr>
            <w:tcW w:w="362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培训费支付标准（二类）</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450.00</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元/人/天</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市、区两级培训费管理办法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38" w:hRule="atLeast"/>
          <w:jc w:val="center"/>
        </w:trPr>
        <w:tc>
          <w:tcPr>
            <w:tcW w:w="0" w:type="auto"/>
            <w:vMerge w:val="continue"/>
            <w:tcBorders>
              <w:tl2br w:val="nil"/>
              <w:tr2bl w:val="nil"/>
            </w:tcBorders>
            <w:vAlign w:val="center"/>
          </w:tcP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成本</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降低成本厉行节约</w:t>
            </w:r>
          </w:p>
        </w:tc>
        <w:tc>
          <w:tcPr>
            <w:tcW w:w="1492" w:type="dxa"/>
            <w:tcBorders>
              <w:tl2br w:val="nil"/>
              <w:tr2bl w:val="nil"/>
            </w:tcBorders>
            <w:vAlign w:val="center"/>
          </w:tcPr>
          <w:p>
            <w:pPr>
              <w:widowControl/>
              <w:jc w:val="left"/>
              <w:textAlignment w:val="top"/>
              <w:rPr>
                <w:rFonts w:ascii="宋体" w:hAnsi="宋体" w:cs="宋体"/>
                <w:color w:val="000000"/>
                <w:sz w:val="18"/>
                <w:szCs w:val="18"/>
              </w:rPr>
            </w:pPr>
            <w:r>
              <w:rPr>
                <w:rFonts w:hint="eastAsia" w:ascii="宋体" w:hAnsi="宋体" w:cs="宋体"/>
                <w:color w:val="000000"/>
                <w:sz w:val="18"/>
                <w:szCs w:val="18"/>
              </w:rPr>
              <w:t>5</w:t>
            </w:r>
          </w:p>
        </w:tc>
        <w:tc>
          <w:tcPr>
            <w:tcW w:w="3622"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较前一年压减支出率</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方正书宋_GBK" w:eastAsia="方正书宋_GBK"/>
              </w:rPr>
            </w:pPr>
            <w:r>
              <w:rPr>
                <w:rFonts w:hint="eastAsia" w:ascii="宋体" w:hAnsi="宋体" w:cs="宋体"/>
                <w:color w:val="000000"/>
                <w:kern w:val="0"/>
                <w:sz w:val="18"/>
                <w:szCs w:val="18"/>
              </w:rPr>
              <w:t>5.00</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04" w:hRule="atLeast"/>
          <w:jc w:val="center"/>
        </w:trPr>
        <w:tc>
          <w:tcPr>
            <w:tcW w:w="0" w:type="auto"/>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经济效益指标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任务完成率</w:t>
            </w:r>
          </w:p>
        </w:tc>
        <w:tc>
          <w:tcPr>
            <w:tcW w:w="149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完成任务占任务总数的比率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95.00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98" w:hRule="atLeast"/>
          <w:jc w:val="center"/>
        </w:trPr>
        <w:tc>
          <w:tcPr>
            <w:tcW w:w="0" w:type="auto"/>
            <w:vMerge w:val="continue"/>
            <w:tcBorders>
              <w:tl2br w:val="nil"/>
              <w:tr2bl w:val="nil"/>
            </w:tcBorders>
            <w:vAlign w:val="center"/>
          </w:tc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推动工作开展</w:t>
            </w:r>
          </w:p>
        </w:tc>
        <w:tc>
          <w:tcPr>
            <w:tcW w:w="149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会议中委员就社会发展所提意见建议比例提升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0" w:hRule="atLeast"/>
          <w:jc w:val="center"/>
        </w:trPr>
        <w:tc>
          <w:tcPr>
            <w:tcW w:w="0" w:type="auto"/>
            <w:vMerge w:val="continue"/>
            <w:tcBorders>
              <w:tl2br w:val="nil"/>
              <w:tr2bl w:val="nil"/>
            </w:tcBorders>
            <w:vAlign w:val="center"/>
          </w:tc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推动工作开展</w:t>
            </w:r>
          </w:p>
        </w:tc>
        <w:tc>
          <w:tcPr>
            <w:tcW w:w="149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培训中委员就社会发展所提意见建议比例提升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0" w:hRule="atLeast"/>
          <w:jc w:val="center"/>
        </w:trPr>
        <w:tc>
          <w:tcPr>
            <w:tcW w:w="0" w:type="auto"/>
            <w:vMerge w:val="continue"/>
            <w:tcBorders>
              <w:tl2br w:val="nil"/>
              <w:tr2bl w:val="nil"/>
            </w:tcBorders>
            <w:vAlign w:val="center"/>
          </w:tc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故障减少率</w:t>
            </w:r>
          </w:p>
        </w:tc>
        <w:tc>
          <w:tcPr>
            <w:tcW w:w="149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5</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更换完成后故障的减少次数占总次数的比率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1" w:hRule="atLeast"/>
          <w:jc w:val="center"/>
        </w:trPr>
        <w:tc>
          <w:tcPr>
            <w:tcW w:w="0" w:type="auto"/>
            <w:vMerge w:val="continue"/>
            <w:tcBorders>
              <w:tl2br w:val="nil"/>
              <w:tr2bl w:val="nil"/>
            </w:tcBorders>
            <w:vAlign w:val="center"/>
          </w:tcPr>
          <w:p>
            <w:pPr>
              <w:adjustRightInd w:val="0"/>
              <w:snapToGrid w:val="0"/>
              <w:jc w:val="center"/>
              <w:rPr>
                <w:rFonts w:ascii="方正书宋_GBK" w:eastAsia="方正书宋_GBK"/>
              </w:rPr>
            </w:p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政协委员满意度</w:t>
            </w:r>
          </w:p>
        </w:tc>
        <w:tc>
          <w:tcPr>
            <w:tcW w:w="149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4</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参会委员满意人数占全部委员的比例</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95.00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4" w:hRule="atLeast"/>
          <w:jc w:val="center"/>
        </w:trPr>
        <w:tc>
          <w:tcPr>
            <w:tcW w:w="0" w:type="auto"/>
            <w:vMerge w:val="continue"/>
            <w:tcBorders>
              <w:tl2br w:val="nil"/>
              <w:tr2bl w:val="nil"/>
            </w:tcBorders>
            <w:vAlign w:val="center"/>
          </w:tc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政协委员满意的</w:t>
            </w:r>
          </w:p>
        </w:tc>
        <w:tc>
          <w:tcPr>
            <w:tcW w:w="149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4</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参训委员满意人数占全部委员的比例</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95.00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37" w:hRule="atLeast"/>
          <w:jc w:val="center"/>
        </w:trPr>
        <w:tc>
          <w:tcPr>
            <w:tcW w:w="0" w:type="auto"/>
            <w:vMerge w:val="continue"/>
            <w:tcBorders>
              <w:tl2br w:val="nil"/>
              <w:tr2bl w:val="nil"/>
            </w:tcBorders>
            <w:vAlign w:val="center"/>
          </w:tc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w:t>
            </w:r>
          </w:p>
        </w:tc>
        <w:tc>
          <w:tcPr>
            <w:tcW w:w="149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4</w:t>
            </w:r>
          </w:p>
        </w:tc>
        <w:tc>
          <w:tcPr>
            <w:tcW w:w="3622" w:type="dxa"/>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机关人员、政协委员满意率</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统计测评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33" w:hRule="atLeast"/>
          <w:jc w:val="center"/>
        </w:trPr>
        <w:tc>
          <w:tcPr>
            <w:tcW w:w="0" w:type="auto"/>
            <w:vMerge w:val="continue"/>
            <w:tcBorders>
              <w:tl2br w:val="nil"/>
              <w:tr2bl w:val="nil"/>
            </w:tcBorders>
            <w:vAlign w:val="center"/>
          </w:tcP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服务对象满意度指标</w:t>
            </w:r>
          </w:p>
        </w:tc>
        <w:tc>
          <w:tcPr>
            <w:tcW w:w="0" w:type="auto"/>
            <w:tcBorders>
              <w:tl2br w:val="nil"/>
              <w:tr2bl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使用者对替代设备及系统的满意度</w:t>
            </w:r>
          </w:p>
        </w:tc>
        <w:tc>
          <w:tcPr>
            <w:tcW w:w="1492" w:type="dxa"/>
            <w:tcBorders>
              <w:tl2br w:val="nil"/>
              <w:tr2bl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4</w:t>
            </w:r>
          </w:p>
        </w:tc>
        <w:tc>
          <w:tcPr>
            <w:tcW w:w="3622" w:type="dxa"/>
            <w:tcBorders>
              <w:tl2br w:val="nil"/>
              <w:tr2bl w:val="nil"/>
            </w:tcBorders>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使用者对替代设备及系统的满意度</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90.00</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w:t>
            </w:r>
          </w:p>
        </w:tc>
        <w:tc>
          <w:tcPr>
            <w:tcW w:w="0" w:type="auto"/>
            <w:tcBorders>
              <w:tl2br w:val="nil"/>
              <w:tr2bl w:val="nil"/>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计划标准</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32"/>
          <w:szCs w:val="32"/>
        </w:rPr>
      </w:pPr>
      <w:r>
        <w:rPr>
          <w:rFonts w:ascii="Times New Roman" w:hAnsi="Times New Roman" w:eastAsia="仿宋_GB2312" w:cs="Times New Roman"/>
          <w:sz w:val="28"/>
        </w:rPr>
        <w:t>1.</w:t>
      </w:r>
      <w:r>
        <w:rPr>
          <w:rFonts w:hint="eastAsia" w:ascii="Times New Roman" w:hAnsi="Times New Roman" w:eastAsia="仿宋_GB2312" w:cs="Times New Roman"/>
          <w:sz w:val="32"/>
          <w:szCs w:val="32"/>
        </w:rPr>
        <w:t>工作经费</w:t>
      </w:r>
      <w:r>
        <w:rPr>
          <w:rFonts w:ascii="Times New Roman" w:hAnsi="Times New Roman" w:eastAsia="仿宋_GB2312" w:cs="Times New Roman"/>
          <w:sz w:val="32"/>
          <w:szCs w:val="32"/>
        </w:rPr>
        <w:t>绩效目标表</w:t>
      </w:r>
      <w:bookmarkStart w:id="0" w:name="_Toc29799657"/>
      <w:bookmarkEnd w:id="0"/>
      <w:r>
        <w:rPr>
          <w:rFonts w:ascii="Times New Roman" w:hAnsi="Times New Roman" w:eastAsia="仿宋_GB2312" w:cs="Times New Roman"/>
          <w:vanish/>
          <w:sz w:val="32"/>
          <w:szCs w:val="32"/>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宋体" w:hAnsi="宋体" w:cs="宋体"/>
                <w:color w:val="000000"/>
                <w:kern w:val="0"/>
                <w:sz w:val="18"/>
                <w:szCs w:val="18"/>
              </w:rPr>
              <w:t>经费到达后专款专用，用于机关印刷耗材、报刊、设备维护、维修等支出。达到机关正常运转，改善办公环境，提高办公效率的作用。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数量</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工作计划执行率</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实际工作占全年总计划的比重</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≧95%</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2021年工作计划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质量</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采购质量合格率</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采购质量合格率</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=100%</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时效</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经费保障完成时间</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经费保障完成时间</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≧365天</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2021年工作计划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成本</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降低成本率节约</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较前一年压减支出率</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≧5%</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统计测评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任务完成率</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完成任务占任务总数的比率</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≧95%</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统计测评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服务对象满意率</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机关人员、政协委员满意率</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≧90%</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统计测评</w:t>
            </w:r>
          </w:p>
        </w:tc>
      </w:tr>
    </w:tbl>
    <w:p>
      <w:pPr>
        <w:ind w:firstLine="560" w:firstLineChars="200"/>
        <w:jc w:val="left"/>
        <w:outlineLvl w:val="1"/>
        <w:rPr>
          <w:rFonts w:ascii="Times New Roman" w:hAnsi="Times New Roman" w:eastAsia="仿宋_GB2312" w:cs="Times New Roman"/>
          <w:sz w:val="32"/>
          <w:szCs w:val="32"/>
        </w:rPr>
      </w:pPr>
      <w:r>
        <w:rPr>
          <w:rFonts w:ascii="Times New Roman" w:hAnsi="Times New Roman" w:eastAsia="仿宋_GB2312" w:cs="Times New Roman"/>
          <w:sz w:val="28"/>
        </w:rPr>
        <w:t>2.</w:t>
      </w:r>
      <w:r>
        <w:rPr>
          <w:rFonts w:hint="eastAsia" w:ascii="Times New Roman" w:hAnsi="Times New Roman" w:eastAsia="仿宋_GB2312" w:cs="Times New Roman"/>
          <w:sz w:val="32"/>
          <w:szCs w:val="32"/>
        </w:rPr>
        <w:t>会议费</w:t>
      </w:r>
      <w:r>
        <w:rPr>
          <w:rFonts w:ascii="Times New Roman" w:hAnsi="Times New Roman" w:eastAsia="仿宋_GB2312" w:cs="Times New Roman"/>
          <w:sz w:val="32"/>
          <w:szCs w:val="32"/>
        </w:rPr>
        <w:t>绩效目标表</w:t>
      </w:r>
      <w:r>
        <w:rPr>
          <w:rFonts w:ascii="Times New Roman" w:hAnsi="Times New Roman" w:eastAsia="仿宋_GB2312" w:cs="Times New Roman"/>
          <w:vanish/>
          <w:sz w:val="32"/>
          <w:szCs w:val="32"/>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满足组织召开广阳区政协全会及常委会、主席会所需经费开支，做到专款专用，为委员政治协商、民主监督、参政议政做好保障，为区委、政府提出建设性意见、为广阳发展经济建设献计献策。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数量</w:t>
            </w:r>
            <w:r>
              <w:rPr>
                <w:rFonts w:hint="eastAsia" w:ascii="宋体" w:hAnsi="宋体" w:cs="宋体"/>
                <w:color w:val="000000"/>
                <w:kern w:val="0"/>
                <w:sz w:val="18"/>
                <w:szCs w:val="18"/>
              </w:rPr>
              <w:tab/>
            </w:r>
            <w:r>
              <w:rPr>
                <w:rFonts w:hint="eastAsia" w:ascii="宋体" w:hAnsi="宋体" w:cs="宋体"/>
                <w:color w:val="000000"/>
                <w:kern w:val="0"/>
                <w:sz w:val="18"/>
                <w:szCs w:val="18"/>
              </w:rPr>
              <w:tab/>
            </w:r>
            <w:r>
              <w:rPr>
                <w:rFonts w:hint="eastAsia" w:ascii="宋体" w:hAnsi="宋体" w:cs="宋体"/>
                <w:color w:val="000000"/>
                <w:kern w:val="0"/>
                <w:sz w:val="18"/>
                <w:szCs w:val="18"/>
              </w:rPr>
              <w:tab/>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会议活动参加人数</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组织参会人数</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≧340人</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质量</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会议资料保管率</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妥善保管会议资料占应保管相关资料的比例</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≧90%</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时效</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会议活动完成情况</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按工作计划安排是否按时完成会议组织任务</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≧365天</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2021年工作计划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成本</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会议费标准</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会议费支付标准（一类）</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≦500元/人/天</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市、区两级会议费管理办法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推动工作开展</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会议中委员就社会发展所提意见建议比例提升</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≧5%</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政协委员满意度</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参会委员满意人数占全部委员的比例</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≧95%</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统计测评</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32"/>
          <w:szCs w:val="32"/>
        </w:rPr>
        <w:t>培训费</w:t>
      </w:r>
      <w:r>
        <w:rPr>
          <w:rFonts w:ascii="Times New Roman" w:hAnsi="Times New Roman" w:eastAsia="仿宋_GB2312" w:cs="Times New Roman"/>
          <w:sz w:val="32"/>
          <w:szCs w:val="32"/>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满足组织委员及机关干部培训所需经费开支，做到专款专用，为政协委员提高政治协商、民主监督、参政议政能力做好保障。增强委员政治把握能力、调查研究能力、联系群众能力、合作共事能力。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数量</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参加学习培训委员人数</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参加学习培训委员人数</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≧150人</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政协2021年工作计划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ascii="Times New Roman" w:hAnsi="Times New Roman" w:eastAsia="仿宋_GB2312" w:cs="Times New Roman"/>
              </w:rPr>
            </w:pP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质量</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培训资料保管率</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妥善保管培训资料占应保管相关资料的比例</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≧90%</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培训方案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ascii="Times New Roman" w:hAnsi="Times New Roman" w:eastAsia="仿宋_GB2312" w:cs="Times New Roman"/>
              </w:rPr>
            </w:pP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时效</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培训活动完成情况</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按区政协计划安排是否按时完成培训组织任务</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≧2次</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区政协工作安排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continue"/>
            <w:shd w:val="clear" w:color="auto" w:fill="auto"/>
            <w:vAlign w:val="center"/>
          </w:tcPr>
          <w:p>
            <w:pPr>
              <w:spacing w:line="300" w:lineRule="exact"/>
              <w:jc w:val="left"/>
              <w:rPr>
                <w:rFonts w:ascii="Times New Roman" w:hAnsi="Times New Roman" w:eastAsia="仿宋_GB2312" w:cs="Times New Roman"/>
              </w:rPr>
            </w:pP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成本</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培训费标准</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培训费支付标准（二类）</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≦450元/人/天</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区级机关培训费管理办法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推动工作开展</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会议中委员就社会发展所提意见建议比例提升</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≧5%</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政协委员满意度</w:t>
            </w:r>
          </w:p>
        </w:tc>
        <w:tc>
          <w:tcPr>
            <w:tcW w:w="198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参训委员满意人数占全部委员的比例</w:t>
            </w:r>
          </w:p>
        </w:tc>
        <w:tc>
          <w:tcPr>
            <w:tcW w:w="3402"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政协委员满意度</w:t>
            </w:r>
          </w:p>
        </w:tc>
        <w:tc>
          <w:tcPr>
            <w:tcW w:w="1843"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≧95%</w:t>
            </w:r>
          </w:p>
        </w:tc>
        <w:tc>
          <w:tcPr>
            <w:tcW w:w="2155" w:type="dxa"/>
            <w:shd w:val="clear" w:color="auto" w:fill="auto"/>
            <w:vAlign w:val="center"/>
          </w:tcPr>
          <w:p>
            <w:pPr>
              <w:spacing w:line="300" w:lineRule="exact"/>
              <w:rPr>
                <w:rFonts w:ascii="宋体" w:hAnsi="宋体" w:cs="宋体"/>
                <w:color w:val="000000"/>
                <w:kern w:val="0"/>
                <w:sz w:val="18"/>
                <w:szCs w:val="18"/>
              </w:rPr>
            </w:pPr>
            <w:r>
              <w:rPr>
                <w:rFonts w:hint="eastAsia" w:ascii="宋体" w:hAnsi="宋体" w:cs="宋体"/>
                <w:color w:val="000000"/>
                <w:kern w:val="0"/>
                <w:sz w:val="18"/>
                <w:szCs w:val="18"/>
              </w:rPr>
              <w:t>统计测评</w:t>
            </w:r>
          </w:p>
        </w:tc>
      </w:tr>
    </w:tbl>
    <w:p>
      <w:pPr>
        <w:spacing w:line="300" w:lineRule="exact"/>
        <w:jc w:val="left"/>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32"/>
          <w:szCs w:val="32"/>
        </w:rPr>
        <w:t>互联网接入口检测器经费</w:t>
      </w:r>
      <w:r>
        <w:rPr>
          <w:rFonts w:ascii="Times New Roman" w:hAnsi="Times New Roman" w:eastAsia="仿宋_GB2312" w:cs="Times New Roman"/>
          <w:sz w:val="32"/>
          <w:szCs w:val="32"/>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购买互联网接入口检测器，于2021年底前安装完成并纳入市级“056”平台监管范围，实现对互联网接入口、电子政务外网、政务平台等全面保密监管，大幅度提升对互联网攻击窃密和传输泄密信息等违法行为的检测发现和应急处置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采购设备数量</w:t>
            </w:r>
          </w:p>
        </w:tc>
        <w:tc>
          <w:tcPr>
            <w:tcW w:w="3402"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需要采购的设备数量</w:t>
            </w:r>
          </w:p>
        </w:tc>
        <w:tc>
          <w:tcPr>
            <w:tcW w:w="1843"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=1台</w:t>
            </w:r>
          </w:p>
        </w:tc>
        <w:tc>
          <w:tcPr>
            <w:tcW w:w="215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ascii="Times New Roman" w:hAnsi="Times New Roman" w:eastAsia="仿宋_GB2312" w:cs="Times New Roman"/>
              </w:rPr>
            </w:pPr>
          </w:p>
        </w:tc>
        <w:tc>
          <w:tcPr>
            <w:tcW w:w="2268"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采购设备合格率</w:t>
            </w:r>
          </w:p>
        </w:tc>
        <w:tc>
          <w:tcPr>
            <w:tcW w:w="3402"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采购合格设备数量占采购设备总量的比率</w:t>
            </w:r>
          </w:p>
        </w:tc>
        <w:tc>
          <w:tcPr>
            <w:tcW w:w="1843"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ascii="Times New Roman" w:hAnsi="Times New Roman" w:eastAsia="仿宋_GB2312" w:cs="Times New Roman"/>
              </w:rPr>
            </w:pPr>
          </w:p>
        </w:tc>
        <w:tc>
          <w:tcPr>
            <w:tcW w:w="2268"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工作完成率</w:t>
            </w:r>
          </w:p>
        </w:tc>
        <w:tc>
          <w:tcPr>
            <w:tcW w:w="3402"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按时完成的工作占计划工作的比率</w:t>
            </w:r>
          </w:p>
        </w:tc>
        <w:tc>
          <w:tcPr>
            <w:tcW w:w="1843"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2409" w:type="dxa"/>
            <w:vMerge w:val="continue"/>
            <w:shd w:val="clear" w:color="auto" w:fill="auto"/>
            <w:vAlign w:val="center"/>
          </w:tcPr>
          <w:p>
            <w:pPr>
              <w:spacing w:line="300" w:lineRule="exact"/>
              <w:jc w:val="left"/>
              <w:rPr>
                <w:rFonts w:ascii="Times New Roman" w:hAnsi="Times New Roman" w:eastAsia="仿宋_GB2312" w:cs="Times New Roman"/>
              </w:rPr>
            </w:pPr>
          </w:p>
        </w:tc>
        <w:tc>
          <w:tcPr>
            <w:tcW w:w="2268"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成本控制率</w:t>
            </w:r>
          </w:p>
        </w:tc>
        <w:tc>
          <w:tcPr>
            <w:tcW w:w="3402"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节约成本占总计划成本的比率</w:t>
            </w:r>
          </w:p>
        </w:tc>
        <w:tc>
          <w:tcPr>
            <w:tcW w:w="1843"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≧5%</w:t>
            </w:r>
          </w:p>
        </w:tc>
        <w:tc>
          <w:tcPr>
            <w:tcW w:w="215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故障减少率</w:t>
            </w:r>
          </w:p>
        </w:tc>
        <w:tc>
          <w:tcPr>
            <w:tcW w:w="3402"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更换完成后故障的减少次数占总次数的比率</w:t>
            </w:r>
          </w:p>
        </w:tc>
        <w:tc>
          <w:tcPr>
            <w:tcW w:w="1843"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≧5%</w:t>
            </w:r>
          </w:p>
        </w:tc>
        <w:tc>
          <w:tcPr>
            <w:tcW w:w="215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left"/>
              <w:rPr>
                <w:rFonts w:ascii="Times New Roman" w:hAnsi="Times New Roman" w:eastAsia="仿宋_GB2312" w:cs="Times New Roman"/>
              </w:rPr>
            </w:pPr>
          </w:p>
        </w:tc>
        <w:tc>
          <w:tcPr>
            <w:tcW w:w="2268"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可持续效益</w:t>
            </w:r>
          </w:p>
        </w:tc>
        <w:tc>
          <w:tcPr>
            <w:tcW w:w="198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替代设备使用年限</w:t>
            </w:r>
          </w:p>
        </w:tc>
        <w:tc>
          <w:tcPr>
            <w:tcW w:w="3402"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替代设备使用年限</w:t>
            </w:r>
          </w:p>
        </w:tc>
        <w:tc>
          <w:tcPr>
            <w:tcW w:w="1843"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≧6年</w:t>
            </w:r>
          </w:p>
        </w:tc>
        <w:tc>
          <w:tcPr>
            <w:tcW w:w="215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使用者对替代设备及系统的满意度</w:t>
            </w:r>
          </w:p>
        </w:tc>
        <w:tc>
          <w:tcPr>
            <w:tcW w:w="3402"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使用者对替代设备及系统的满意程度</w:t>
            </w:r>
          </w:p>
        </w:tc>
        <w:tc>
          <w:tcPr>
            <w:tcW w:w="1843"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计划标准</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jc w:val="center"/>
        <w:outlineLvl w:val="1"/>
        <w:rPr>
          <w:rFonts w:ascii="Times New Roman" w:hAnsi="Times New Roman" w:cs="Times New Roman"/>
          <w:sz w:val="32"/>
        </w:rPr>
      </w:pPr>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cs="Times New Roman"/>
                <w:sz w:val="32"/>
                <w:szCs w:val="32"/>
              </w:rPr>
            </w:pPr>
            <w:r>
              <w:rPr>
                <w:rFonts w:hint="eastAsia" w:ascii="仿宋" w:hAnsi="仿宋" w:eastAsia="仿宋" w:cs="Times New Roman"/>
                <w:sz w:val="32"/>
                <w:szCs w:val="32"/>
              </w:rPr>
              <w:t>131001</w:t>
            </w:r>
            <w:r>
              <w:rPr>
                <w:rFonts w:hint="eastAsia" w:ascii="方正小标宋_GBK" w:eastAsia="方正小标宋_GBK" w:cs="Times New Roman"/>
                <w:sz w:val="24"/>
              </w:rPr>
              <w:t>中国人民政治协商会议廊坊市广阳区委员会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sz w:val="18"/>
                <w:szCs w:val="18"/>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4"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中国人民政治协商会议廊坊市广阳区委员会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33.40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中国人民政治协商会议廊坊市广阳区委员会</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方正小标宋_GBK" w:eastAsia="方正小标宋_GBK" w:cs="Times New Roman"/>
                <w:sz w:val="24"/>
              </w:rPr>
              <w:t>编制部门：中国人民政治协商会议廊坊市广阳区委员会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33.40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483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29.65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UnicodeMS">
    <w:altName w:val="Arial"/>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3</w:t>
    </w:r>
    <w:r>
      <w:rPr>
        <w:rStyle w:val="10"/>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15</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77A4B"/>
    <w:multiLevelType w:val="singleLevel"/>
    <w:tmpl w:val="B9077A4B"/>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463CC"/>
    <w:rsid w:val="002F3B31"/>
    <w:rsid w:val="00301F9F"/>
    <w:rsid w:val="00321574"/>
    <w:rsid w:val="00356683"/>
    <w:rsid w:val="00412725"/>
    <w:rsid w:val="004A54AA"/>
    <w:rsid w:val="006E0EF5"/>
    <w:rsid w:val="00773CF2"/>
    <w:rsid w:val="00807A76"/>
    <w:rsid w:val="008F0EB4"/>
    <w:rsid w:val="009162B0"/>
    <w:rsid w:val="00A218C6"/>
    <w:rsid w:val="00B17B32"/>
    <w:rsid w:val="00B74585"/>
    <w:rsid w:val="00B80935"/>
    <w:rsid w:val="00C21093"/>
    <w:rsid w:val="00CF0464"/>
    <w:rsid w:val="00D347CC"/>
    <w:rsid w:val="00D66A9B"/>
    <w:rsid w:val="00E27CE3"/>
    <w:rsid w:val="00E352D3"/>
    <w:rsid w:val="013E5938"/>
    <w:rsid w:val="07C81F94"/>
    <w:rsid w:val="0A1C2FB3"/>
    <w:rsid w:val="0D2E3553"/>
    <w:rsid w:val="0DBF3160"/>
    <w:rsid w:val="0FE80786"/>
    <w:rsid w:val="1B9327D5"/>
    <w:rsid w:val="232B2E85"/>
    <w:rsid w:val="369B34FE"/>
    <w:rsid w:val="3B781E05"/>
    <w:rsid w:val="404B49F4"/>
    <w:rsid w:val="4279557E"/>
    <w:rsid w:val="45897F50"/>
    <w:rsid w:val="4AA960DC"/>
    <w:rsid w:val="4BD81917"/>
    <w:rsid w:val="4C9D3E20"/>
    <w:rsid w:val="4CB570A7"/>
    <w:rsid w:val="6103643B"/>
    <w:rsid w:val="61A21678"/>
    <w:rsid w:val="70D074AE"/>
    <w:rsid w:val="7B391F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semiHidden/>
    <w:unhideWhenUsed/>
    <w:qFormat/>
    <w:uiPriority w:val="99"/>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B1A6A-0F8A-4898-BA92-DE1E86AC3A1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1172</Words>
  <Characters>6687</Characters>
  <Lines>55</Lines>
  <Paragraphs>15</Paragraphs>
  <TotalTime>43</TotalTime>
  <ScaleCrop>false</ScaleCrop>
  <LinksUpToDate>false</LinksUpToDate>
  <CharactersWithSpaces>7844</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2022-07-08T02:32:24Z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200023018_btnclosed</vt:lpwstr>
  </property>
  <property fmtid="{D5CDD505-2E9C-101B-9397-08002B2CF9AE}" pid="3" name="KSOProductBuildVer">
    <vt:lpwstr>2052-11.1.0.11339</vt:lpwstr>
  </property>
  <property fmtid="{D5CDD505-2E9C-101B-9397-08002B2CF9AE}" pid="4" name="ICV">
    <vt:lpwstr>D45F6077A2994EEE91BC5BF17033F6F6</vt:lpwstr>
  </property>
</Properties>
</file>