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宋体" w:cs="宋体"/>
          <w:color w:val="000000"/>
          <w:sz w:val="32"/>
          <w:szCs w:val="32"/>
        </w:rPr>
      </w:pPr>
    </w:p>
    <w:p>
      <w:pPr>
        <w:widowControl/>
        <w:spacing w:line="1200" w:lineRule="exact"/>
        <w:jc w:val="center"/>
        <w:rPr>
          <w:rFonts w:ascii="??" w:hAnsi="??"/>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 w:hAnsi="??"/>
          <w:color w:val="002060"/>
          <w:sz w:val="72"/>
          <w:szCs w:val="72"/>
        </w:rPr>
      </w:pPr>
    </w:p>
    <w:p>
      <w:pPr>
        <w:widowControl/>
        <w:jc w:val="center"/>
        <w:rPr>
          <w:rFonts w:ascii="??" w:hAnsi="??"/>
          <w:b/>
          <w:sz w:val="72"/>
          <w:szCs w:val="72"/>
        </w:rPr>
      </w:pPr>
    </w:p>
    <w:p>
      <w:pPr>
        <w:widowControl/>
        <w:jc w:val="center"/>
        <w:rPr>
          <w:rFonts w:ascii="??" w:hAnsi="??"/>
          <w:b/>
          <w:sz w:val="72"/>
          <w:szCs w:val="72"/>
        </w:rPr>
      </w:pPr>
    </w:p>
    <w:p>
      <w:pPr>
        <w:widowControl/>
        <w:jc w:val="center"/>
        <w:rPr>
          <w:rFonts w:ascii="??" w:hAnsi="??"/>
          <w:b/>
          <w:sz w:val="72"/>
          <w:szCs w:val="72"/>
        </w:rPr>
      </w:pPr>
    </w:p>
    <w:p>
      <w:pPr>
        <w:widowControl/>
        <w:jc w:val="center"/>
        <w:rPr>
          <w:rFonts w:ascii="??" w:hAnsi="??"/>
          <w:b/>
          <w:sz w:val="72"/>
          <w:szCs w:val="72"/>
        </w:rPr>
      </w:pPr>
    </w:p>
    <w:p>
      <w:pPr>
        <w:widowControl/>
        <w:jc w:val="center"/>
        <w:rPr>
          <w:rFonts w:ascii="??" w:hAnsi="??"/>
          <w:b/>
          <w:sz w:val="72"/>
          <w:szCs w:val="72"/>
        </w:rPr>
      </w:pPr>
    </w:p>
    <w:p>
      <w:pPr>
        <w:jc w:val="center"/>
        <w:rPr>
          <w:sz w:val="44"/>
          <w:szCs w:val="44"/>
        </w:rPr>
      </w:pPr>
      <w:r>
        <w:rPr>
          <w:rFonts w:hint="eastAsia"/>
          <w:sz w:val="44"/>
          <w:szCs w:val="44"/>
        </w:rPr>
        <w:t>廊坊市广阳区粮食局</w:t>
      </w:r>
    </w:p>
    <w:p/>
    <w:p/>
    <w:p/>
    <w:p/>
    <w:p/>
    <w:p>
      <w:pPr>
        <w:widowControl/>
        <w:jc w:val="center"/>
        <w:rPr>
          <w:color w:val="000000"/>
          <w:sz w:val="72"/>
          <w:szCs w:val="72"/>
        </w:rPr>
      </w:pPr>
      <w:r>
        <w:rPr>
          <w:rFonts w:ascii="??" w:hAnsi="??" w:hint="eastAsia"/>
          <w:color w:val="000000"/>
          <w:sz w:val="72"/>
          <w:szCs w:val="72"/>
        </w:rPr>
        <w:t>第一部分</w:t>
      </w:r>
      <w:r>
        <w:rPr>
          <w:rFonts w:ascii="??" w:hAnsi="??"/>
          <w:color w:val="000000"/>
          <w:sz w:val="72"/>
          <w:szCs w:val="72"/>
        </w:rPr>
        <w:t xml:space="preserve">  </w:t>
      </w:r>
      <w:r>
        <w:rPr>
          <w:rFonts w:ascii="??" w:hAnsi="??" w:hint="eastAsia"/>
          <w:color w:val="000000"/>
          <w:sz w:val="72"/>
          <w:szCs w:val="72"/>
        </w:rPr>
        <w:t>部门概况</w:t>
      </w:r>
    </w:p>
    <w:p/>
    <w:p/>
    <w:p/>
    <w:p/>
    <w:p/>
    <w:p/>
    <w:p/>
    <w:p/>
    <w:p/>
    <w:p/>
    <w:p/>
    <w:p/>
    <w:p>
      <w:pPr>
        <w:pStyle w:val="1"/>
        <w:spacing w:before="0" w:after="0" w:line="600" w:lineRule="exact"/>
        <w:ind w:firstLineChars="200" w:firstLine="640"/>
        <w:jc w:val="left"/>
        <w:rPr>
          <w:rFonts w:ascii="??" w:cs="??" w:hAnsi="??"/>
          <w:b w:val="0"/>
          <w:bCs w:val="0"/>
          <w:kern w:val="0"/>
          <w:sz w:val="32"/>
          <w:szCs w:val="32"/>
        </w:rPr>
      </w:pPr>
      <w:r>
        <w:rPr>
          <w:rFonts w:ascii="??" w:cs="??" w:hAnsi="??" w:hint="eastAsia"/>
          <w:b w:val="0"/>
          <w:bCs w:val="0"/>
          <w:kern w:val="0"/>
          <w:sz w:val="32"/>
          <w:szCs w:val="32"/>
        </w:rPr>
        <w:t>一、部门职责</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kern w:val="0"/>
          <w:sz w:val="32"/>
          <w:szCs w:val="32"/>
        </w:rPr>
        <w:t>1</w:t>
      </w:r>
      <w:r>
        <w:rPr>
          <w:rFonts w:ascii="仿宋_GB2312" w:eastAsia="仿宋_GB2312" w:cs="ArialUnicodeMS" w:hint="eastAsia"/>
          <w:kern w:val="0"/>
          <w:sz w:val="32"/>
          <w:szCs w:val="32"/>
        </w:rPr>
        <w:t>、负责全区粮食流通管理，对从事粮食收购经营者，按照有关规定进行行政审批；对粮食经营者从事的粮食收购、储存、运输和政策性用粮购销活动进行监督检查，维护粮食市场秩序。</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kern w:val="0"/>
          <w:sz w:val="32"/>
          <w:szCs w:val="32"/>
        </w:rPr>
        <w:t>2</w:t>
      </w:r>
      <w:r>
        <w:rPr>
          <w:rFonts w:ascii="仿宋_GB2312" w:eastAsia="仿宋_GB2312" w:cs="ArialUnicodeMS" w:hint="eastAsia"/>
          <w:kern w:val="0"/>
          <w:sz w:val="32"/>
          <w:szCs w:val="32"/>
        </w:rPr>
        <w:t>、引导国有粮食企业深化改革；指导、监督国有独资、国有控股企业对国家粮食各项政策的贯彻落实，管理好国有资产，使国有资产保值增值，不流失。</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kern w:val="0"/>
          <w:sz w:val="32"/>
          <w:szCs w:val="32"/>
        </w:rPr>
        <w:t>3</w:t>
      </w:r>
      <w:r>
        <w:rPr>
          <w:rFonts w:ascii="仿宋_GB2312" w:eastAsia="仿宋_GB2312" w:cs="ArialUnicodeMS" w:hint="eastAsia"/>
          <w:kern w:val="0"/>
          <w:sz w:val="32"/>
          <w:szCs w:val="32"/>
        </w:rPr>
        <w:t>、建立科学的粮食市场信息和价格监控体系，及时掌握市场信息；以稳定粮价，稳定市场为重点，引导粮食生产和流通，当好政府粮食宏观调控助手和参谋。</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kern w:val="0"/>
          <w:sz w:val="32"/>
          <w:szCs w:val="32"/>
        </w:rPr>
        <w:t>4</w:t>
      </w:r>
      <w:r>
        <w:rPr>
          <w:rFonts w:ascii="仿宋_GB2312" w:eastAsia="仿宋_GB2312" w:cs="ArialUnicodeMS" w:hint="eastAsia"/>
          <w:kern w:val="0"/>
          <w:sz w:val="32"/>
          <w:szCs w:val="32"/>
        </w:rPr>
        <w:t>、建立粮食储备体系，落实宏观调控措施，保证粮食市场安全；建立粮食应急预案；推广安全储粮技术，确保储粮安全。</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kern w:val="0"/>
          <w:sz w:val="32"/>
          <w:szCs w:val="32"/>
        </w:rPr>
        <w:t>5</w:t>
      </w:r>
      <w:r>
        <w:rPr>
          <w:rFonts w:ascii="仿宋_GB2312" w:eastAsia="仿宋_GB2312" w:cs="ArialUnicodeMS" w:hint="eastAsia"/>
          <w:kern w:val="0"/>
          <w:sz w:val="32"/>
          <w:szCs w:val="32"/>
        </w:rPr>
        <w:t>、负责对全社会粮食流通统计及粮情调查工作，并及时上报各种统计报表。</w:t>
      </w:r>
    </w:p>
    <w:p>
      <w:pPr>
        <w:pStyle w:val="1"/>
        <w:spacing w:before="0" w:after="0" w:line="600" w:lineRule="exact"/>
        <w:ind w:firstLineChars="200" w:firstLine="640"/>
        <w:jc w:val="left"/>
        <w:rPr>
          <w:rFonts w:ascii="??" w:cs="??" w:hAnsi="??"/>
          <w:b w:val="0"/>
          <w:bCs w:val="0"/>
          <w:kern w:val="0"/>
          <w:sz w:val="32"/>
          <w:szCs w:val="32"/>
        </w:rPr>
      </w:pPr>
      <w:r>
        <w:rPr>
          <w:rFonts w:ascii="??" w:cs="??" w:hAnsi="??"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5"/>
        <w:gridCol w:w="3810"/>
        <w:gridCol w:w="2230"/>
        <w:gridCol w:w="2665"/>
      </w:tblGrid>
      <w:tr>
        <w:trPr>
          <w:trHeight w:val="811"/>
        </w:trPr>
        <w:tc>
          <w:tcPr>
            <w:tcW w:w="87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810"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230"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87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810" w:type="dxa"/>
          </w:tcPr>
          <w:p>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廊坊市广阳区粮食局</w:t>
            </w:r>
            <w:r>
              <w:rPr>
                <w:rFonts w:ascii="仿宋_GB2312" w:eastAsia="仿宋_GB2312" w:cs="ArialUnicodeMS"/>
                <w:kern w:val="0"/>
                <w:sz w:val="28"/>
                <w:szCs w:val="28"/>
              </w:rPr>
              <w:t xml:space="preserve"> (</w:t>
            </w:r>
            <w:r>
              <w:rPr>
                <w:rFonts w:ascii="仿宋_GB2312" w:eastAsia="仿宋_GB2312" w:cs="ArialUnicodeMS" w:hint="eastAsia"/>
                <w:kern w:val="0"/>
                <w:sz w:val="28"/>
                <w:szCs w:val="28"/>
              </w:rPr>
              <w:t>本级</w:t>
            </w:r>
            <w:r>
              <w:rPr>
                <w:rFonts w:ascii="仿宋_GB2312" w:eastAsia="仿宋_GB2312" w:cs="ArialUnicodeMS"/>
                <w:kern w:val="0"/>
                <w:sz w:val="28"/>
                <w:szCs w:val="28"/>
              </w:rPr>
              <w:t>)</w:t>
            </w:r>
          </w:p>
        </w:tc>
        <w:tc>
          <w:tcPr>
            <w:tcW w:w="2230"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参公事业单位</w:t>
            </w:r>
          </w:p>
        </w:tc>
        <w:tc>
          <w:tcPr>
            <w:tcW w:w="266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bl>
    <w:p>
      <w:pPr>
        <w:widowControl/>
        <w:spacing w:line="560" w:lineRule="exact"/>
        <w:rPr>
          <w:rFonts w:ascii="??" w:cs="MS-UIGothic,Bold" w:hAnsi="??"/>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 w:hAnsi="??"/>
          <w:color w:val="000000"/>
          <w:sz w:val="72"/>
          <w:szCs w:val="96"/>
        </w:rPr>
      </w:pPr>
    </w:p>
    <w:p>
      <w:pPr>
        <w:widowControl/>
        <w:spacing w:line="1200" w:lineRule="exact"/>
        <w:jc w:val="center"/>
        <w:rPr>
          <w:rFonts w:ascii="??" w:hAnsi="??"/>
          <w:color w:val="000000"/>
          <w:sz w:val="72"/>
          <w:szCs w:val="96"/>
        </w:rPr>
      </w:pPr>
    </w:p>
    <w:p>
      <w:pPr>
        <w:widowControl/>
        <w:spacing w:line="1200" w:lineRule="exact"/>
        <w:jc w:val="center"/>
        <w:rPr>
          <w:rFonts w:ascii="??" w:hAnsi="??"/>
          <w:color w:val="000000"/>
          <w:sz w:val="72"/>
          <w:szCs w:val="96"/>
        </w:rPr>
      </w:pPr>
    </w:p>
    <w:p>
      <w:pPr>
        <w:widowControl/>
        <w:spacing w:line="1200" w:lineRule="exact"/>
        <w:jc w:val="center"/>
        <w:rPr>
          <w:rFonts w:ascii="??" w:hAnsi="??"/>
          <w:color w:val="000000"/>
          <w:sz w:val="72"/>
          <w:szCs w:val="96"/>
        </w:rPr>
      </w:pPr>
      <w:r>
        <w:rPr>
          <w:rFonts w:ascii="??" w:hAnsi="??" w:hint="eastAsia"/>
          <w:color w:val="000000"/>
          <w:sz w:val="72"/>
          <w:szCs w:val="96"/>
        </w:rPr>
        <w:t>第二部分</w:t>
      </w:r>
    </w:p>
    <w:p>
      <w:pPr>
        <w:widowControl/>
        <w:spacing w:line="1200" w:lineRule="exact"/>
        <w:jc w:val="center"/>
        <w:rPr>
          <w:color w:val="000000"/>
          <w:sz w:val="72"/>
          <w:szCs w:val="96"/>
        </w:rPr>
      </w:pPr>
      <w:r>
        <w:rPr>
          <w:rFonts w:ascii="??" w:hAnsi="??"/>
          <w:color w:val="000000"/>
          <w:sz w:val="72"/>
          <w:szCs w:val="96"/>
        </w:rPr>
        <w:t>2018</w:t>
      </w:r>
      <w:r>
        <w:rPr>
          <w:rFonts w:ascii="??" w:hAnsi="??" w:hint="eastAsia"/>
          <w:color w:val="000000"/>
          <w:sz w:val="72"/>
          <w:szCs w:val="96"/>
        </w:rPr>
        <w:t>年度部门决算报表</w:t>
      </w:r>
    </w:p>
    <w:p>
      <w:pPr>
        <w:widowControl/>
        <w:spacing w:line="560" w:lineRule="exact"/>
        <w:jc w:val="center"/>
        <w:rPr>
          <w:rFonts w:ascii="??" w:cs="MS-UIGothic,Bold" w:hAnsi="??"/>
          <w:bCs/>
          <w:kern w:val="0"/>
          <w:sz w:val="52"/>
          <w:szCs w:val="52"/>
        </w:rPr>
      </w:pPr>
    </w:p>
    <w:p>
      <w:pPr>
        <w:widowControl/>
        <w:spacing w:line="560" w:lineRule="exact"/>
        <w:jc w:val="center"/>
        <w:rPr>
          <w:rFonts w:ascii="??" w:cs="MS-UIGothic,Bold" w:hAnsi="??"/>
          <w:bCs/>
          <w:kern w:val="0"/>
          <w:sz w:val="52"/>
          <w:szCs w:val="52"/>
        </w:rPr>
      </w:pPr>
    </w:p>
    <w:p>
      <w:pPr>
        <w:widowControl/>
        <w:spacing w:line="560" w:lineRule="exact"/>
        <w:jc w:val="center"/>
        <w:rPr>
          <w:rFonts w:ascii="??" w:cs="MS-UIGothic,Bold" w:hAnsi="??"/>
          <w:bCs/>
          <w:kern w:val="0"/>
          <w:sz w:val="52"/>
          <w:szCs w:val="52"/>
        </w:rPr>
      </w:pPr>
    </w:p>
    <w:p>
      <w:pPr>
        <w:widowControl/>
        <w:spacing w:line="560" w:lineRule="exact"/>
        <w:jc w:val="center"/>
        <w:rPr>
          <w:rFonts w:ascii="??" w:cs="MS-UIGothic,Bold" w:hAnsi="??"/>
          <w:bCs/>
          <w:kern w:val="0"/>
          <w:sz w:val="52"/>
          <w:szCs w:val="52"/>
        </w:rPr>
      </w:pPr>
    </w:p>
    <w:p>
      <w:pPr>
        <w:widowControl/>
        <w:spacing w:line="560" w:lineRule="exact"/>
        <w:jc w:val="center"/>
        <w:rPr>
          <w:rFonts w:ascii="??" w:cs="MS-UIGothic,Bold" w:hAnsi="??"/>
          <w:bCs/>
          <w:kern w:val="0"/>
          <w:sz w:val="52"/>
          <w:szCs w:val="52"/>
        </w:rPr>
      </w:pPr>
    </w:p>
    <w:p>
      <w:pPr>
        <w:widowControl/>
        <w:spacing w:line="560" w:lineRule="exact"/>
        <w:jc w:val="center"/>
        <w:rPr>
          <w:rFonts w:ascii="??" w:cs="MS-UIGothic,Bold" w:hAnsi="??"/>
          <w:bCs/>
          <w:kern w:val="0"/>
          <w:sz w:val="52"/>
          <w:szCs w:val="52"/>
        </w:rPr>
      </w:pPr>
    </w:p>
    <w:p>
      <w:pPr>
        <w:widowControl/>
        <w:spacing w:line="560" w:lineRule="exact"/>
        <w:jc w:val="center"/>
        <w:rPr>
          <w:rFonts w:ascii="??" w:cs="MS-UIGothic,Bold" w:hAnsi="??"/>
          <w:bCs/>
          <w:kern w:val="0"/>
          <w:sz w:val="52"/>
          <w:szCs w:val="52"/>
        </w:rPr>
      </w:pPr>
    </w:p>
    <w:p>
      <w:pPr>
        <w:widowControl/>
        <w:spacing w:line="560" w:lineRule="exact"/>
        <w:jc w:val="center"/>
        <w:rPr>
          <w:rFonts w:ascii="??" w:cs="MS-UIGothic,Bold" w:hAnsi="??"/>
          <w:bCs/>
          <w:kern w:val="0"/>
          <w:sz w:val="52"/>
          <w:szCs w:val="52"/>
        </w:rPr>
      </w:pPr>
    </w:p>
    <w:p>
      <w:pPr>
        <w:widowControl/>
        <w:spacing w:line="580" w:lineRule="exact"/>
        <w:ind w:firstLineChars="200" w:firstLine="400"/>
        <w:rPr>
          <w:rFonts w:eastAsia="仿宋_GB2312"/>
          <w:sz w:val="20"/>
          <w:szCs w:val="32"/>
        </w:rPr>
      </w:pPr>
    </w:p>
    <w:p>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tab/>
      </w:r>
    </w:p>
    <w:p>
      <w:pPr>
        <w:widowControl/>
        <w:spacing w:line="1200" w:lineRule="exact"/>
        <w:jc w:val="center"/>
        <w:rPr>
          <w:rFonts w:ascii="??" w:hAnsi="??"/>
          <w:color w:val="000000"/>
          <w:sz w:val="96"/>
          <w:szCs w:val="96"/>
        </w:rPr>
      </w:pPr>
    </w:p>
    <w:p>
      <w:pPr>
        <w:widowControl/>
        <w:spacing w:line="1200" w:lineRule="exact"/>
        <w:jc w:val="center"/>
        <w:rPr>
          <w:rFonts w:ascii="??" w:hAnsi="??"/>
          <w:color w:val="000000"/>
          <w:sz w:val="96"/>
          <w:szCs w:val="96"/>
        </w:rPr>
      </w:pPr>
    </w:p>
    <w:p>
      <w:pPr>
        <w:widowControl/>
        <w:spacing w:line="1200" w:lineRule="exact"/>
        <w:jc w:val="center"/>
        <w:rPr>
          <w:rFonts w:ascii="??" w:hAnsi="??"/>
          <w:color w:val="000000"/>
          <w:sz w:val="96"/>
          <w:szCs w:val="96"/>
        </w:rPr>
      </w:pPr>
    </w:p>
    <w:p>
      <w:pPr>
        <w:widowControl/>
        <w:spacing w:line="1200" w:lineRule="exact"/>
        <w:jc w:val="center"/>
        <w:rPr>
          <w:rFonts w:ascii="??" w:hAnsi="??"/>
          <w:color w:val="000000"/>
          <w:sz w:val="72"/>
          <w:szCs w:val="72"/>
        </w:rPr>
      </w:pPr>
      <w:r>
        <w:rPr>
          <w:rFonts w:ascii="??" w:hAnsi="??" w:hint="eastAsia"/>
          <w:color w:val="000000"/>
          <w:sz w:val="72"/>
          <w:szCs w:val="72"/>
        </w:rPr>
        <w:t>第三部分</w:t>
      </w:r>
    </w:p>
    <w:p>
      <w:pPr>
        <w:widowControl/>
        <w:spacing w:line="1200" w:lineRule="exact"/>
        <w:jc w:val="center"/>
        <w:rPr>
          <w:color w:val="000000"/>
          <w:sz w:val="72"/>
          <w:szCs w:val="72"/>
        </w:rPr>
      </w:pPr>
      <w:r>
        <w:rPr>
          <w:rFonts w:ascii="??" w:hAnsi="??"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 w:hAnsi="??"/>
          <w:b w:val="0"/>
          <w:bCs w:val="0"/>
        </w:rPr>
      </w:pPr>
      <w:r>
        <w:rPr>
          <w:rFonts w:ascii="??" w:hAnsi="??" w:hint="eastAsia"/>
          <w:b w:val="0"/>
          <w:bCs w:val="0"/>
        </w:rPr>
        <w:t>一、收入</w:t>
      </w:r>
      <w:r>
        <w:rPr>
          <w:rFonts w:ascii="??" w:cs="??" w:hAnsi="??" w:hint="eastAsia"/>
          <w:b w:val="0"/>
          <w:bCs w:val="0"/>
          <w:kern w:val="0"/>
        </w:rPr>
        <w:t>支出</w:t>
      </w:r>
      <w:r>
        <w:rPr>
          <w:rFonts w:ascii="??" w:hAnsi="??"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669.3</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年度决算相比，收支分别增加</w:t>
      </w:r>
      <w:r>
        <w:rPr>
          <w:rFonts w:ascii="仿宋_GB2312" w:eastAsia="仿宋_GB2312" w:cs="DengXian-Regular"/>
          <w:sz w:val="32"/>
          <w:szCs w:val="32"/>
        </w:rPr>
        <w:t>203.32</w:t>
      </w:r>
      <w:r>
        <w:rPr>
          <w:rFonts w:ascii="仿宋_GB2312" w:eastAsia="仿宋_GB2312" w:cs="DengXian-Regular" w:hint="eastAsia"/>
          <w:sz w:val="32"/>
          <w:szCs w:val="32"/>
        </w:rPr>
        <w:t>万元，增长</w:t>
      </w:r>
      <w:r>
        <w:rPr>
          <w:rFonts w:ascii="仿宋_GB2312" w:eastAsia="仿宋_GB2312" w:cs="DengXian-Regular"/>
          <w:sz w:val="32"/>
          <w:szCs w:val="32"/>
        </w:rPr>
        <w:t>44%</w:t>
      </w:r>
      <w:r>
        <w:rPr>
          <w:rFonts w:ascii="仿宋_GB2312" w:eastAsia="仿宋_GB2312" w:cs="DengXian-Regular" w:hint="eastAsia"/>
          <w:sz w:val="32"/>
          <w:szCs w:val="32"/>
        </w:rPr>
        <w:t>，主要原因是对企业储备粮库的建设和人员经费的增加。</w:t>
      </w:r>
    </w:p>
    <w:p>
      <w:pPr>
        <w:pStyle w:val="2"/>
        <w:spacing w:before="0" w:after="0" w:line="580" w:lineRule="exact"/>
        <w:ind w:firstLineChars="200" w:firstLine="640"/>
        <w:rPr>
          <w:rFonts w:ascii="??" w:hAnsi="??"/>
          <w:b w:val="0"/>
          <w:bCs w:val="0"/>
        </w:rPr>
      </w:pPr>
      <w:r>
        <w:rPr>
          <w:rFonts w:ascii="??" w:hAnsi="??" w:hint="eastAsia"/>
          <w:b w:val="0"/>
          <w:bCs w:val="0"/>
        </w:rPr>
        <w:t>二、收入决算情况说明</w:t>
      </w:r>
    </w:p>
    <w:p>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658.61</w:t>
      </w:r>
      <w:r>
        <w:rPr>
          <w:rFonts w:ascii="仿宋_GB2312" w:eastAsia="仿宋_GB2312" w:cs="DengXian-Regular" w:hint="eastAsia"/>
          <w:sz w:val="32"/>
          <w:szCs w:val="32"/>
        </w:rPr>
        <w:t>万元，其中：财政拨款收入</w:t>
      </w:r>
      <w:r>
        <w:rPr>
          <w:rFonts w:ascii="仿宋_GB2312" w:eastAsia="仿宋_GB2312" w:cs="DengXian-Regular"/>
          <w:sz w:val="32"/>
          <w:szCs w:val="32"/>
        </w:rPr>
        <w:t>600.33</w:t>
      </w:r>
      <w:r>
        <w:rPr>
          <w:rFonts w:ascii="仿宋_GB2312" w:eastAsia="仿宋_GB2312" w:cs="DengXian-Regular" w:hint="eastAsia"/>
          <w:sz w:val="32"/>
          <w:szCs w:val="32"/>
        </w:rPr>
        <w:t>万元，占</w:t>
      </w:r>
      <w:r>
        <w:rPr>
          <w:rFonts w:ascii="仿宋_GB2312" w:eastAsia="仿宋_GB2312" w:cs="DengXian-Regular"/>
          <w:sz w:val="32"/>
          <w:szCs w:val="32"/>
        </w:rPr>
        <w:t>91.0%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58.27</w:t>
      </w:r>
      <w:r>
        <w:rPr>
          <w:rFonts w:ascii="仿宋_GB2312" w:eastAsia="仿宋_GB2312" w:cs="DengXian-Regular" w:hint="eastAsia"/>
          <w:sz w:val="32"/>
          <w:szCs w:val="32"/>
        </w:rPr>
        <w:t>万元，占</w:t>
      </w:r>
      <w:r>
        <w:rPr>
          <w:rFonts w:ascii="仿宋_GB2312" w:eastAsia="仿宋_GB2312" w:cs="DengXian-Regular"/>
          <w:sz w:val="32"/>
          <w:szCs w:val="32"/>
        </w:rPr>
        <w:t>9.0%</w:t>
      </w:r>
      <w:r>
        <w:rPr>
          <w:rFonts w:ascii="仿宋_GB2312" w:eastAsia="仿宋_GB2312" w:cs="DengXian-Regular" w:hint="eastAsia"/>
          <w:sz w:val="32"/>
          <w:szCs w:val="32"/>
        </w:rPr>
        <w:t>。</w:t>
      </w:r>
    </w:p>
    <w:p>
      <w:pPr>
        <w:pStyle w:val="2"/>
        <w:spacing w:before="0" w:after="0" w:line="580" w:lineRule="exact"/>
        <w:ind w:firstLineChars="200" w:firstLine="640"/>
        <w:rPr>
          <w:rFonts w:ascii="??" w:hAnsi="??"/>
          <w:b w:val="0"/>
          <w:bCs w:val="0"/>
        </w:rPr>
      </w:pPr>
      <w:r>
        <w:rPr>
          <w:rFonts w:ascii="??" w:hAnsi="??"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666.29</w:t>
      </w:r>
      <w:r>
        <w:rPr>
          <w:rFonts w:ascii="仿宋_GB2312" w:eastAsia="仿宋_GB2312" w:cs="DengXian-Regular" w:hint="eastAsia"/>
          <w:sz w:val="32"/>
          <w:szCs w:val="32"/>
        </w:rPr>
        <w:t>万元，其中：基本支出</w:t>
      </w:r>
      <w:r>
        <w:rPr>
          <w:rFonts w:ascii="仿宋_GB2312" w:eastAsia="仿宋_GB2312" w:cs="DengXian-Regular"/>
          <w:sz w:val="32"/>
          <w:szCs w:val="32"/>
        </w:rPr>
        <w:t>666.29</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；项目支出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pPr>
        <w:pStyle w:val="2"/>
        <w:spacing w:before="0" w:after="0" w:line="580" w:lineRule="exact"/>
        <w:ind w:firstLineChars="200" w:firstLine="640"/>
        <w:rPr>
          <w:rFonts w:ascii="??" w:hAnsi="??"/>
          <w:b w:val="0"/>
          <w:bCs w:val="0"/>
        </w:rPr>
      </w:pPr>
      <w:r>
        <w:rPr>
          <w:rFonts w:ascii="??" w:hAnsi="??" w:hint="eastAsia"/>
          <w:b w:val="0"/>
          <w:bCs w:val="0"/>
        </w:rPr>
        <w:t>四、</w:t>
      </w:r>
      <w:r>
        <w:rPr>
          <w:rFonts w:ascii="??" w:cs="??" w:hAnsi="??" w:hint="eastAsia"/>
          <w:b w:val="0"/>
          <w:bCs w:val="0"/>
          <w:kern w:val="0"/>
        </w:rPr>
        <w:t>财政</w:t>
      </w:r>
      <w:r>
        <w:rPr>
          <w:rFonts w:ascii="??" w:hAnsi="??"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600.33</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164.9</w:t>
      </w:r>
      <w:r>
        <w:rPr>
          <w:rFonts w:ascii="仿宋_GB2312" w:eastAsia="仿宋_GB2312" w:cs="DengXian-Regular" w:hint="eastAsia"/>
          <w:sz w:val="32"/>
          <w:szCs w:val="32"/>
        </w:rPr>
        <w:t>万元，增长</w:t>
      </w:r>
      <w:r>
        <w:rPr>
          <w:rFonts w:ascii="仿宋_GB2312" w:eastAsia="仿宋_GB2312" w:cs="DengXian-Regular"/>
          <w:sz w:val="32"/>
          <w:szCs w:val="32"/>
        </w:rPr>
        <w:t>37.0%</w:t>
      </w:r>
      <w:r>
        <w:rPr>
          <w:rFonts w:ascii="仿宋_GB2312" w:eastAsia="仿宋_GB2312" w:cs="DengXian-Regular" w:hint="eastAsia"/>
          <w:sz w:val="32"/>
          <w:szCs w:val="32"/>
        </w:rPr>
        <w:t>，主要原因是对企业储备粮库的建设和人员经费的增加；本年支出</w:t>
      </w:r>
      <w:r>
        <w:rPr>
          <w:rFonts w:ascii="仿宋_GB2312" w:eastAsia="仿宋_GB2312" w:cs="DengXian-Regular"/>
          <w:sz w:val="32"/>
          <w:szCs w:val="32"/>
        </w:rPr>
        <w:t>608.01</w:t>
      </w:r>
      <w:r>
        <w:rPr>
          <w:rFonts w:ascii="仿宋_GB2312" w:eastAsia="仿宋_GB2312" w:cs="DengXian-Regular" w:hint="eastAsia"/>
          <w:sz w:val="32"/>
          <w:szCs w:val="32"/>
        </w:rPr>
        <w:t>万元，增加</w:t>
      </w:r>
      <w:r>
        <w:rPr>
          <w:rFonts w:ascii="仿宋_GB2312" w:eastAsia="仿宋_GB2312" w:cs="DengXian-Regular"/>
          <w:sz w:val="32"/>
          <w:szCs w:val="32"/>
        </w:rPr>
        <w:t>174.59</w:t>
      </w:r>
      <w:r>
        <w:rPr>
          <w:rFonts w:ascii="仿宋_GB2312" w:eastAsia="仿宋_GB2312" w:cs="DengXian-Regular" w:hint="eastAsia"/>
          <w:sz w:val="32"/>
          <w:szCs w:val="32"/>
        </w:rPr>
        <w:t>万元，增长</w:t>
      </w:r>
      <w:r>
        <w:rPr>
          <w:rFonts w:ascii="仿宋_GB2312" w:eastAsia="仿宋_GB2312" w:cs="DengXian-Regular"/>
          <w:sz w:val="32"/>
          <w:szCs w:val="32"/>
        </w:rPr>
        <w:t>40.0%</w:t>
      </w:r>
      <w:r>
        <w:rPr>
          <w:rFonts w:ascii="仿宋_GB2312" w:eastAsia="仿宋_GB2312" w:cs="DengXian-Regular" w:hint="eastAsia"/>
          <w:sz w:val="32"/>
          <w:szCs w:val="32"/>
        </w:rPr>
        <w:t>，主要原因是对企业储备粮库的建设和人员经费的增加。</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600.33</w:t>
      </w:r>
      <w:r>
        <w:rPr>
          <w:rFonts w:ascii="仿宋_GB2312" w:eastAsia="仿宋_GB2312" w:cs="DengXian-Regular" w:hint="eastAsia"/>
          <w:sz w:val="32"/>
          <w:szCs w:val="32"/>
        </w:rPr>
        <w:t>万元，完成年初预算的</w:t>
      </w:r>
      <w:r>
        <w:rPr>
          <w:rFonts w:ascii="仿宋_GB2312" w:eastAsia="仿宋_GB2312" w:cs="DengXian-Regular"/>
          <w:sz w:val="32"/>
          <w:szCs w:val="32"/>
        </w:rPr>
        <w:t>142.0%,</w:t>
      </w:r>
      <w:r>
        <w:rPr>
          <w:rFonts w:ascii="仿宋_GB2312" w:eastAsia="仿宋_GB2312" w:cs="DengXian-Regular" w:hint="eastAsia"/>
          <w:sz w:val="32"/>
          <w:szCs w:val="32"/>
        </w:rPr>
        <w:t>比年初预算增加</w:t>
      </w:r>
      <w:r>
        <w:rPr>
          <w:rFonts w:ascii="仿宋_GB2312" w:eastAsia="仿宋_GB2312" w:cs="DengXian-Regular"/>
          <w:sz w:val="32"/>
          <w:szCs w:val="32"/>
        </w:rPr>
        <w:t>179.33</w:t>
      </w:r>
      <w:r>
        <w:rPr>
          <w:rFonts w:ascii="仿宋_GB2312" w:eastAsia="仿宋_GB2312" w:cs="DengXian-Regular" w:hint="eastAsia"/>
          <w:sz w:val="32"/>
          <w:szCs w:val="32"/>
        </w:rPr>
        <w:t>万元，决算数大于预算数，主要原因是对企业储备粮库的建设和人员经费的增加；本年支出</w:t>
      </w:r>
      <w:r>
        <w:rPr>
          <w:rFonts w:ascii="仿宋_GB2312" w:eastAsia="仿宋_GB2312" w:cs="DengXian-Regular"/>
          <w:sz w:val="32"/>
          <w:szCs w:val="32"/>
        </w:rPr>
        <w:t>666.29</w:t>
      </w:r>
      <w:r>
        <w:rPr>
          <w:rFonts w:ascii="仿宋_GB2312" w:eastAsia="仿宋_GB2312" w:cs="DengXian-Regular" w:hint="eastAsia"/>
          <w:sz w:val="32"/>
          <w:szCs w:val="32"/>
        </w:rPr>
        <w:t>万元，完成年初预算的</w:t>
      </w:r>
      <w:r>
        <w:rPr>
          <w:rFonts w:ascii="仿宋_GB2312" w:eastAsia="仿宋_GB2312" w:cs="DengXian-Regular"/>
          <w:sz w:val="32"/>
          <w:szCs w:val="32"/>
        </w:rPr>
        <w:t>158.0%,</w:t>
      </w:r>
      <w:r>
        <w:rPr>
          <w:rFonts w:ascii="仿宋_GB2312" w:eastAsia="仿宋_GB2312" w:cs="DengXian-Regular" w:hint="eastAsia"/>
          <w:sz w:val="32"/>
          <w:szCs w:val="32"/>
        </w:rPr>
        <w:t>比年初预算增加</w:t>
      </w:r>
      <w:r>
        <w:rPr>
          <w:rFonts w:ascii="仿宋_GB2312" w:eastAsia="仿宋_GB2312" w:cs="DengXian-Regular"/>
          <w:sz w:val="32"/>
          <w:szCs w:val="32"/>
        </w:rPr>
        <w:t>245.29</w:t>
      </w:r>
      <w:r>
        <w:rPr>
          <w:rFonts w:ascii="仿宋_GB2312" w:eastAsia="仿宋_GB2312" w:cs="DengXian-Regular" w:hint="eastAsia"/>
          <w:sz w:val="32"/>
          <w:szCs w:val="32"/>
        </w:rPr>
        <w:t>万元，决算数大于预算数，主要原因是对企业储备粮库的建设和人员经费的增加。</w:t>
      </w: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666.29</w:t>
      </w:r>
      <w:r>
        <w:rPr>
          <w:rFonts w:ascii="仿宋_GB2312" w:eastAsia="仿宋_GB2312" w:cs="DengXian-Regular" w:hint="eastAsia"/>
          <w:sz w:val="32"/>
          <w:szCs w:val="32"/>
        </w:rPr>
        <w:t>万元，主要用于以下方面：社会保障和就业（类）支出</w:t>
      </w:r>
      <w:r>
        <w:rPr>
          <w:rFonts w:ascii="仿宋_GB2312" w:eastAsia="仿宋_GB2312" w:cs="DengXian-Regular"/>
          <w:sz w:val="32"/>
          <w:szCs w:val="32"/>
        </w:rPr>
        <w:t>126.62</w:t>
      </w:r>
      <w:r>
        <w:rPr>
          <w:rFonts w:ascii="仿宋_GB2312" w:eastAsia="仿宋_GB2312" w:cs="DengXian-Regular" w:hint="eastAsia"/>
          <w:sz w:val="32"/>
          <w:szCs w:val="32"/>
        </w:rPr>
        <w:t>万元，占</w:t>
      </w:r>
      <w:r>
        <w:rPr>
          <w:rFonts w:ascii="仿宋_GB2312" w:eastAsia="仿宋_GB2312" w:cs="DengXian-Regular"/>
          <w:sz w:val="32"/>
          <w:szCs w:val="32"/>
        </w:rPr>
        <w:t>20.0%</w:t>
      </w:r>
      <w:r>
        <w:rPr>
          <w:rFonts w:ascii="仿宋_GB2312" w:eastAsia="仿宋_GB2312" w:cs="DengXian-Regular" w:hint="eastAsia"/>
          <w:sz w:val="32"/>
          <w:szCs w:val="32"/>
        </w:rPr>
        <w:t>；医疗卫生与计划生育支出</w:t>
      </w:r>
      <w:r>
        <w:rPr>
          <w:rFonts w:ascii="仿宋_GB2312" w:eastAsia="仿宋_GB2312" w:cs="DengXian-Regular"/>
          <w:sz w:val="32"/>
          <w:szCs w:val="32"/>
        </w:rPr>
        <w:t>8.93</w:t>
      </w:r>
      <w:r>
        <w:rPr>
          <w:rFonts w:ascii="仿宋_GB2312" w:eastAsia="仿宋_GB2312" w:cs="DengXian-Regular" w:hint="eastAsia"/>
          <w:sz w:val="32"/>
          <w:szCs w:val="32"/>
        </w:rPr>
        <w:t>万元，占</w:t>
      </w:r>
      <w:r>
        <w:rPr>
          <w:rFonts w:ascii="仿宋_GB2312" w:eastAsia="仿宋_GB2312" w:cs="DengXian-Regular"/>
          <w:sz w:val="32"/>
          <w:szCs w:val="32"/>
        </w:rPr>
        <w:t>1%</w:t>
      </w:r>
      <w:r>
        <w:rPr>
          <w:rFonts w:ascii="仿宋_GB2312" w:eastAsia="仿宋_GB2312" w:cs="DengXian-Regular" w:hint="eastAsia"/>
          <w:sz w:val="32"/>
          <w:szCs w:val="32"/>
        </w:rPr>
        <w:t>；粮油物资储备支出</w:t>
      </w:r>
      <w:r>
        <w:rPr>
          <w:rFonts w:ascii="仿宋_GB2312" w:eastAsia="仿宋_GB2312" w:cs="DengXian-Regular"/>
          <w:sz w:val="32"/>
          <w:szCs w:val="32"/>
        </w:rPr>
        <w:t>514.4</w:t>
      </w:r>
      <w:r>
        <w:rPr>
          <w:rFonts w:ascii="仿宋_GB2312" w:eastAsia="仿宋_GB2312" w:cs="DengXian-Regular" w:hint="eastAsia"/>
          <w:sz w:val="32"/>
          <w:szCs w:val="32"/>
        </w:rPr>
        <w:t>万元，占</w:t>
      </w:r>
      <w:r>
        <w:rPr>
          <w:rFonts w:ascii="仿宋_GB2312" w:eastAsia="仿宋_GB2312" w:cs="DengXian-Regular"/>
          <w:sz w:val="32"/>
          <w:szCs w:val="32"/>
        </w:rPr>
        <w:t>77.0%</w:t>
      </w:r>
      <w:r>
        <w:rPr>
          <w:rFonts w:ascii="仿宋_GB2312" w:eastAsia="仿宋_GB2312" w:cs="DengXian-Regular" w:hint="eastAsia"/>
          <w:sz w:val="32"/>
          <w:szCs w:val="32"/>
        </w:rPr>
        <w:t>；住房保障（类）支出</w:t>
      </w:r>
      <w:r>
        <w:rPr>
          <w:rFonts w:ascii="仿宋_GB2312" w:eastAsia="仿宋_GB2312" w:cs="DengXian-Regular"/>
          <w:sz w:val="32"/>
          <w:szCs w:val="32"/>
        </w:rPr>
        <w:t>16.33</w:t>
      </w:r>
      <w:r>
        <w:rPr>
          <w:rFonts w:ascii="仿宋_GB2312" w:eastAsia="仿宋_GB2312" w:cs="DengXian-Regular" w:hint="eastAsia"/>
          <w:sz w:val="32"/>
          <w:szCs w:val="32"/>
        </w:rPr>
        <w:t>万元，占</w:t>
      </w:r>
      <w:r>
        <w:rPr>
          <w:rFonts w:ascii="仿宋_GB2312" w:eastAsia="仿宋_GB2312" w:cs="DengXian-Regular"/>
          <w:sz w:val="32"/>
          <w:szCs w:val="32"/>
        </w:rPr>
        <w:t>3.0%</w:t>
      </w:r>
      <w:r>
        <w:rPr>
          <w:rFonts w:ascii="仿宋_GB2312" w:eastAsia="仿宋_GB2312" w:cs="DengXian-Regular" w:hint="eastAsia"/>
          <w:sz w:val="32"/>
          <w:szCs w:val="32"/>
        </w:rPr>
        <w:t>。</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479.21</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454.81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24.4</w:t>
      </w:r>
      <w:r>
        <w:rPr>
          <w:rFonts w:ascii="仿宋_GB2312" w:eastAsia="仿宋_GB2312" w:cs="DengXian-Regular" w:hint="eastAsia"/>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 w:hAnsi="??"/>
          <w:b w:val="0"/>
          <w:bCs w:val="0"/>
        </w:rPr>
      </w:pPr>
      <w:r>
        <w:rPr>
          <w:rFonts w:ascii="??" w:hAnsi="??" w:hint="eastAsia"/>
          <w:b w:val="0"/>
          <w:bCs w:val="0"/>
        </w:rPr>
        <w:t>五、一般公共预算财政拨款</w:t>
      </w:r>
      <w:r>
        <w:rPr>
          <w:rFonts w:ascii="??" w:hAnsi="??"/>
          <w:b w:val="0"/>
          <w:bCs w:val="0"/>
        </w:rPr>
        <w:t>“</w:t>
      </w:r>
      <w:r>
        <w:rPr>
          <w:rFonts w:ascii="??" w:hAnsi="??" w:hint="eastAsia"/>
          <w:b w:val="0"/>
          <w:bCs w:val="0"/>
        </w:rPr>
        <w:t>三公</w:t>
      </w:r>
      <w:r>
        <w:rPr>
          <w:rFonts w:ascii="??" w:hAnsi="??"/>
          <w:b w:val="0"/>
          <w:bCs w:val="0"/>
        </w:rPr>
        <w:t xml:space="preserve">” </w:t>
      </w:r>
      <w:r>
        <w:rPr>
          <w:rFonts w:ascii="??" w:hAnsi="??" w:hint="eastAsia"/>
          <w:b w:val="0"/>
          <w:bCs w:val="0"/>
        </w:rPr>
        <w:t>经费支出决算情况说明</w:t>
      </w:r>
    </w:p>
    <w:p>
      <w:pPr>
        <w:adjustRightInd w:val="0"/>
        <w:snapToGrid w:val="0"/>
        <w:spacing w:line="584"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w:t>
      </w:r>
      <w:r>
        <w:rPr>
          <w:rFonts w:ascii="仿宋_GB2312" w:eastAsia="仿宋_GB2312" w:cs="DengXian-Regular"/>
          <w:sz w:val="32"/>
          <w:szCs w:val="32"/>
        </w:rPr>
        <w:t>“</w:t>
      </w:r>
      <w:r>
        <w:rPr>
          <w:rFonts w:ascii="仿宋_GB2312" w:eastAsia="仿宋_GB2312" w:cs="DengXian-Regular" w:hint="eastAsia"/>
          <w:sz w:val="32"/>
          <w:szCs w:val="32"/>
        </w:rPr>
        <w:t>三公</w:t>
      </w:r>
      <w:r>
        <w:rPr>
          <w:rFonts w:ascii="仿宋_GB2312" w:eastAsia="仿宋_GB2312" w:cs="DengXian-Regular"/>
          <w:sz w:val="32"/>
          <w:szCs w:val="32"/>
        </w:rPr>
        <w:t>”</w:t>
      </w:r>
      <w:r>
        <w:rPr>
          <w:rFonts w:ascii="仿宋_GB2312" w:eastAsia="仿宋_GB2312" w:cs="DengXian-Regular" w:hint="eastAsia"/>
          <w:sz w:val="32"/>
          <w:szCs w:val="32"/>
        </w:rPr>
        <w:t>经费支出共计</w:t>
      </w:r>
      <w:r>
        <w:rPr>
          <w:rFonts w:ascii="仿宋_GB2312" w:eastAsia="仿宋_GB2312" w:cs="DengXian-Regular"/>
          <w:sz w:val="32"/>
          <w:szCs w:val="32"/>
        </w:rPr>
        <w:t>1.8</w:t>
      </w:r>
      <w:r>
        <w:rPr>
          <w:rFonts w:ascii="仿宋_GB2312" w:eastAsia="仿宋_GB2312" w:cs="DengXian-Regular" w:hint="eastAsia"/>
          <w:sz w:val="32"/>
          <w:szCs w:val="32"/>
        </w:rPr>
        <w:t>万元，比年初预算减少</w:t>
      </w:r>
      <w:r>
        <w:rPr>
          <w:rFonts w:ascii="仿宋_GB2312" w:eastAsia="仿宋_GB2312" w:cs="DengXian-Regular"/>
          <w:sz w:val="32"/>
          <w:szCs w:val="32"/>
        </w:rPr>
        <w:t>0.5</w:t>
      </w:r>
      <w:r>
        <w:rPr>
          <w:rFonts w:ascii="仿宋_GB2312" w:eastAsia="仿宋_GB2312" w:cs="DengXian-Regular" w:hint="eastAsia"/>
          <w:sz w:val="32"/>
          <w:szCs w:val="32"/>
        </w:rPr>
        <w:t>万元，降低</w:t>
      </w:r>
      <w:r>
        <w:rPr>
          <w:rFonts w:ascii="仿宋_GB2312" w:eastAsia="仿宋_GB2312" w:cs="DengXian-Regular"/>
          <w:sz w:val="32"/>
          <w:szCs w:val="32"/>
        </w:rPr>
        <w:t>22.0%</w:t>
      </w:r>
      <w:r>
        <w:rPr>
          <w:rFonts w:ascii="仿宋_GB2312" w:eastAsia="仿宋_GB2312" w:cs="DengXian-Regular" w:hint="eastAsia"/>
          <w:sz w:val="32"/>
          <w:szCs w:val="32"/>
        </w:rPr>
        <w:t>，主要原因是厉行节约原则；比</w:t>
      </w:r>
      <w:r>
        <w:rPr>
          <w:rFonts w:ascii="仿宋_GB2312" w:eastAsia="仿宋_GB2312" w:cs="DengXian-Regular"/>
          <w:sz w:val="32"/>
          <w:szCs w:val="32"/>
        </w:rPr>
        <w:t>2017</w:t>
      </w:r>
      <w:r>
        <w:rPr>
          <w:rFonts w:ascii="仿宋_GB2312" w:eastAsia="仿宋_GB2312" w:cs="DengXian-Regular" w:hint="eastAsia"/>
          <w:sz w:val="32"/>
          <w:szCs w:val="32"/>
        </w:rPr>
        <w:t>年度决算增加</w:t>
      </w:r>
      <w:r>
        <w:rPr>
          <w:rFonts w:ascii="仿宋_GB2312" w:eastAsia="仿宋_GB2312" w:cs="DengXian-Regular"/>
          <w:sz w:val="32"/>
          <w:szCs w:val="32"/>
        </w:rPr>
        <w:t>0.64</w:t>
      </w:r>
      <w:r>
        <w:rPr>
          <w:rFonts w:ascii="仿宋_GB2312" w:eastAsia="仿宋_GB2312" w:cs="DengXian-Regular" w:hint="eastAsia"/>
          <w:sz w:val="32"/>
          <w:szCs w:val="32"/>
        </w:rPr>
        <w:t>万元，增长</w:t>
      </w:r>
      <w:r>
        <w:rPr>
          <w:rFonts w:ascii="仿宋_GB2312" w:eastAsia="仿宋_GB2312" w:cs="DengXian-Regular"/>
          <w:sz w:val="32"/>
          <w:szCs w:val="32"/>
        </w:rPr>
        <w:t>45.0%</w:t>
      </w:r>
      <w:r>
        <w:rPr>
          <w:rFonts w:ascii="仿宋_GB2312" w:eastAsia="仿宋_GB2312" w:cs="DengXian-Regular" w:hint="eastAsia"/>
          <w:sz w:val="32"/>
          <w:szCs w:val="32"/>
        </w:rPr>
        <w:t>，主要原因是工作量的增多。具体情况如下：</w:t>
      </w:r>
    </w:p>
    <w:p>
      <w:pPr>
        <w:adjustRightInd w:val="0"/>
        <w:snapToGrid w:val="0"/>
        <w:spacing w:line="584" w:lineRule="exact"/>
        <w:ind w:firstLineChars="200" w:firstLine="640"/>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年初预算增加0万元，增长0.0%，主要是无此类支出；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年度决算增加0万元，增长0.0%，主要是无此类支出</w:t>
      </w:r>
      <w:r>
        <w:rPr>
          <w:rFonts w:eastAsia="仿宋_GB2312" w:hint="eastAsia"/>
          <w:sz w:val="32"/>
          <w:szCs w:val="32"/>
        </w:rPr>
        <w:t>。</w:t>
      </w:r>
    </w:p>
    <w:p>
      <w:pPr>
        <w:adjustRightInd w:val="0"/>
        <w:snapToGrid w:val="0"/>
        <w:spacing w:line="584" w:lineRule="exact"/>
        <w:ind w:firstLineChars="200" w:firstLine="640"/>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1.8</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减少</w:t>
      </w:r>
      <w:r>
        <w:rPr>
          <w:rFonts w:eastAsia="仿宋_GB2312"/>
          <w:sz w:val="32"/>
          <w:szCs w:val="32"/>
        </w:rPr>
        <w:t>0.5</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22.0%</w:t>
      </w:r>
      <w:r>
        <w:rPr>
          <w:rFonts w:ascii="仿宋_GB2312" w:eastAsia="仿宋_GB2312" w:cs="DengXian-Regular"/>
          <w:sz w:val="32"/>
          <w:szCs w:val="32"/>
        </w:rPr>
        <w:t>,</w:t>
      </w:r>
      <w:r>
        <w:rPr>
          <w:rFonts w:ascii="仿宋_GB2312" w:eastAsia="仿宋_GB2312" w:cs="DengXian-Regular" w:hint="eastAsia"/>
          <w:sz w:val="32"/>
          <w:szCs w:val="32"/>
        </w:rPr>
        <w:t>主要原因是</w:t>
      </w:r>
      <w:r>
        <w:rPr>
          <w:rFonts w:eastAsia="仿宋_GB2312" w:hint="eastAsia"/>
          <w:sz w:val="32"/>
          <w:szCs w:val="32"/>
        </w:rPr>
        <w:t>厉行节约原则</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0.64</w:t>
      </w:r>
      <w:r>
        <w:rPr>
          <w:rFonts w:eastAsia="仿宋_GB2312" w:hint="eastAsia"/>
          <w:sz w:val="32"/>
          <w:szCs w:val="32"/>
        </w:rPr>
        <w:t>万元，增长</w:t>
      </w:r>
      <w:r>
        <w:rPr>
          <w:rFonts w:eastAsia="仿宋_GB2312"/>
          <w:sz w:val="32"/>
          <w:szCs w:val="32"/>
        </w:rPr>
        <w:t>45.0%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是单位工作量的增多。</w:t>
      </w:r>
      <w:r>
        <w:rPr>
          <w:rFonts w:eastAsia="仿宋_GB2312" w:hint="eastAsia"/>
          <w:b/>
          <w:bCs/>
          <w:sz w:val="32"/>
          <w:szCs w:val="32"/>
        </w:rPr>
        <w:t>其中：</w:t>
      </w:r>
    </w:p>
    <w:p>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sz w:val="32"/>
          <w:szCs w:val="32"/>
        </w:rPr>
        <w:t>0</w:t>
      </w:r>
      <w:r>
        <w:rPr>
          <w:rFonts w:eastAsia="仿宋_GB2312" w:hint="eastAsia"/>
          <w:sz w:val="32"/>
          <w:szCs w:val="32"/>
        </w:rPr>
        <w:t>辆。公务用车购置费支出</w:t>
      </w:r>
      <w:r>
        <w:rPr>
          <w:rFonts w:eastAsia="仿宋_GB2312" w:hint="eastAsia"/>
          <w:color w:val="000000"/>
          <w:sz w:val="32"/>
          <w:szCs w:val="32"/>
        </w:rPr>
        <w:t>较年初预算无增减变化</w:t>
      </w:r>
      <w:r>
        <w:rPr>
          <w:rFonts w:eastAsia="仿宋_GB2312" w:hint="eastAsia"/>
          <w:sz w:val="32"/>
          <w:szCs w:val="32"/>
        </w:rPr>
        <w:t>；</w:t>
      </w:r>
      <w:r>
        <w:rPr>
          <w:rFonts w:eastAsia="仿宋_GB2312" w:hint="eastAsia"/>
          <w:color w:val="000000"/>
          <w:sz w:val="32"/>
          <w:szCs w:val="32"/>
        </w:rPr>
        <w:t>较</w:t>
      </w:r>
      <w:r>
        <w:rPr>
          <w:rFonts w:eastAsia="仿宋_GB2312"/>
          <w:color w:val="000000"/>
          <w:sz w:val="32"/>
          <w:szCs w:val="32"/>
        </w:rPr>
        <w:t>2017</w:t>
      </w:r>
      <w:r>
        <w:rPr>
          <w:rFonts w:eastAsia="仿宋_GB2312" w:hint="eastAsia"/>
          <w:color w:val="000000"/>
          <w:sz w:val="32"/>
          <w:szCs w:val="32"/>
        </w:rPr>
        <w:t>年度决算无增减变化</w:t>
      </w:r>
      <w:r>
        <w:rPr>
          <w:rFonts w:eastAsia="仿宋_GB2312" w:hint="eastAsia"/>
          <w:sz w:val="32"/>
          <w:szCs w:val="32"/>
        </w:rPr>
        <w:t>。</w:t>
      </w:r>
    </w:p>
    <w:p>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1.8</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辆。公车运行维护费支出比年初预算减少</w:t>
      </w:r>
      <w:r>
        <w:rPr>
          <w:rFonts w:eastAsia="仿宋_GB2312"/>
          <w:sz w:val="32"/>
          <w:szCs w:val="32"/>
        </w:rPr>
        <w:t>0.5</w:t>
      </w:r>
      <w:r>
        <w:rPr>
          <w:rFonts w:eastAsia="仿宋_GB2312" w:hint="eastAsia"/>
          <w:sz w:val="32"/>
          <w:szCs w:val="32"/>
        </w:rPr>
        <w:t>万元，降低</w:t>
      </w:r>
      <w:r>
        <w:rPr>
          <w:rFonts w:eastAsia="仿宋_GB2312"/>
          <w:sz w:val="32"/>
          <w:szCs w:val="32"/>
        </w:rPr>
        <w:t>22.0%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是厉行节约原则；比</w:t>
      </w:r>
      <w:r>
        <w:rPr>
          <w:rFonts w:eastAsia="仿宋_GB2312"/>
          <w:sz w:val="32"/>
          <w:szCs w:val="32"/>
        </w:rPr>
        <w:t>2017</w:t>
      </w:r>
      <w:r>
        <w:rPr>
          <w:rFonts w:eastAsia="仿宋_GB2312" w:hint="eastAsia"/>
          <w:sz w:val="32"/>
          <w:szCs w:val="32"/>
        </w:rPr>
        <w:t>年度决算增加</w:t>
      </w:r>
      <w:r>
        <w:rPr>
          <w:rFonts w:eastAsia="仿宋_GB2312"/>
          <w:sz w:val="32"/>
          <w:szCs w:val="32"/>
        </w:rPr>
        <w:t>0.64</w:t>
      </w:r>
      <w:r>
        <w:rPr>
          <w:rFonts w:eastAsia="仿宋_GB2312" w:hint="eastAsia"/>
          <w:sz w:val="32"/>
          <w:szCs w:val="32"/>
        </w:rPr>
        <w:t>万元，增长</w:t>
      </w:r>
      <w:r>
        <w:rPr>
          <w:rFonts w:eastAsia="仿宋_GB2312"/>
          <w:sz w:val="32"/>
          <w:szCs w:val="32"/>
        </w:rPr>
        <w:t>45.0%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是单位工作量的增多。</w:t>
      </w:r>
    </w:p>
    <w:p>
      <w:pPr>
        <w:adjustRightInd w:val="0"/>
        <w:snapToGrid w:val="0"/>
        <w:spacing w:line="584" w:lineRule="exact"/>
        <w:ind w:firstLineChars="200" w:firstLine="640"/>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0</w:t>
      </w:r>
      <w:r>
        <w:rPr>
          <w:rFonts w:eastAsia="仿宋_GB2312" w:hint="eastAsia"/>
          <w:sz w:val="32"/>
          <w:szCs w:val="32"/>
        </w:rPr>
        <w:t>批次、</w:t>
      </w:r>
      <w:r>
        <w:rPr>
          <w:rFonts w:eastAsia="仿宋_GB2312"/>
          <w:sz w:val="32"/>
          <w:szCs w:val="32"/>
        </w:rPr>
        <w:t>0</w:t>
      </w:r>
      <w:r>
        <w:rPr>
          <w:rFonts w:eastAsia="仿宋_GB2312" w:hint="eastAsia"/>
          <w:sz w:val="32"/>
          <w:szCs w:val="32"/>
        </w:rPr>
        <w:t>人次。公务接待费支出</w:t>
      </w:r>
      <w:r>
        <w:rPr>
          <w:rFonts w:eastAsia="仿宋_GB2312" w:hint="eastAsia"/>
          <w:color w:val="000000"/>
          <w:sz w:val="32"/>
          <w:szCs w:val="32"/>
        </w:rPr>
        <w:t>较年初预算无增减变化</w:t>
      </w:r>
      <w:r>
        <w:rPr>
          <w:rFonts w:eastAsia="仿宋_GB2312" w:hint="eastAsia"/>
          <w:sz w:val="32"/>
          <w:szCs w:val="32"/>
        </w:rPr>
        <w:t>；</w:t>
      </w:r>
      <w:r>
        <w:rPr>
          <w:rFonts w:eastAsia="仿宋_GB2312" w:hint="eastAsia"/>
          <w:color w:val="000000"/>
          <w:sz w:val="32"/>
          <w:szCs w:val="32"/>
        </w:rPr>
        <w:t>较</w:t>
      </w:r>
      <w:r>
        <w:rPr>
          <w:rFonts w:eastAsia="仿宋_GB2312"/>
          <w:color w:val="000000"/>
          <w:sz w:val="32"/>
          <w:szCs w:val="32"/>
        </w:rPr>
        <w:t>2017</w:t>
      </w:r>
      <w:r>
        <w:rPr>
          <w:rFonts w:eastAsia="仿宋_GB2312" w:hint="eastAsia"/>
          <w:color w:val="000000"/>
          <w:sz w:val="32"/>
          <w:szCs w:val="32"/>
        </w:rPr>
        <w:t>年度决算无增减变化</w:t>
      </w:r>
      <w:r>
        <w:rPr>
          <w:rFonts w:eastAsia="仿宋_GB2312" w:hint="eastAsia"/>
          <w:sz w:val="32"/>
          <w:szCs w:val="32"/>
        </w:rPr>
        <w:t>。</w:t>
      </w:r>
    </w:p>
    <w:p>
      <w:pPr>
        <w:adjustRightInd w:val="0"/>
        <w:snapToGrid w:val="0"/>
        <w:spacing w:after="0" w:line="580" w:lineRule="exact"/>
        <w:ind w:firstLineChars="200" w:firstLine="640"/>
        <w:rPr>
          <w:rFonts w:ascii="??" w:hAnsi="??"/>
          <w:sz w:val="32"/>
          <w:szCs w:val="40"/>
        </w:rPr>
      </w:pPr>
      <w:r>
        <w:rPr>
          <w:rFonts w:ascii="??" w:hAnsi="??" w:hint="eastAsia"/>
          <w:sz w:val="32"/>
          <w:szCs w:val="40"/>
        </w:rPr>
        <w:t>六、预算绩效情况说明</w:t>
      </w:r>
      <w:bookmarkStart w:id="0" w:name="_GoBack"/>
      <w:bookmarkEnd w:id="0"/>
    </w:p>
    <w:p>
      <w:pPr>
        <w:autoSpaceDE w:val="0"/>
        <w:autoSpaceDN w:val="0"/>
        <w:adjustRightInd w:val="0"/>
        <w:spacing w:line="52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（一）绩效管理工作开展情况。根据预算绩效管理要求，我部门所有预算项目均按照“部门职责</w:t>
      </w:r>
      <w:r>
        <w:rPr>
          <w:rFonts w:eastAsia="仿宋_GB2312"/>
          <w:color w:val="000000"/>
          <w:kern w:val="0"/>
          <w:sz w:val="32"/>
          <w:szCs w:val="32"/>
        </w:rPr>
        <w:t>—</w:t>
      </w:r>
      <w:r>
        <w:rPr>
          <w:rFonts w:eastAsia="仿宋_GB2312" w:hint="eastAsia"/>
          <w:color w:val="000000"/>
          <w:kern w:val="0"/>
          <w:sz w:val="32"/>
          <w:szCs w:val="32"/>
        </w:rPr>
        <w:t>工作活动目录”相关内容加以分类，清晰描述预算项目开支范围，确定预算项目绩效目标和指标体系，为预算绩效控制、绩效评价打下良好的基础。</w:t>
      </w:r>
    </w:p>
    <w:p>
      <w:pPr>
        <w:widowControl/>
        <w:spacing w:line="580" w:lineRule="exact"/>
        <w:ind w:firstLineChars="200" w:firstLine="640"/>
        <w:rPr>
          <w:rFonts w:eastAsia="仿宋_GB2312"/>
          <w:color w:val="000000"/>
          <w:kern w:val="0"/>
          <w:sz w:val="32"/>
          <w:szCs w:val="32"/>
        </w:rPr>
      </w:pPr>
      <w:r>
        <w:rPr>
          <w:rFonts w:eastAsia="仿宋_GB2312" w:hint="eastAsia"/>
          <w:color w:val="000000"/>
          <w:kern w:val="0"/>
          <w:sz w:val="32"/>
          <w:szCs w:val="32"/>
        </w:rPr>
        <w:t>（二）预算项目绩效评价开展情况。我们按照相关工作对项目资金进行绩效评价，切实提高财政资金使用绩效，保障各项资金落实到位。</w:t>
      </w:r>
    </w:p>
    <w:p>
      <w:pPr>
        <w:widowControl/>
        <w:spacing w:line="580" w:lineRule="exact"/>
        <w:ind w:firstLineChars="200" w:firstLine="640"/>
        <w:rPr>
          <w:rFonts w:eastAsia="仿宋_GB2312"/>
          <w:color w:val="000000"/>
          <w:kern w:val="0"/>
          <w:sz w:val="32"/>
          <w:szCs w:val="32"/>
        </w:rPr>
      </w:pPr>
      <w:r>
        <w:rPr>
          <w:rFonts w:eastAsia="仿宋_GB2312" w:hint="eastAsia"/>
          <w:color w:val="000000"/>
          <w:kern w:val="0"/>
          <w:sz w:val="32"/>
          <w:szCs w:val="32"/>
        </w:rPr>
        <w:t>（三）预算项目绩效自评选例。我们对相关资金进行了绩效评价，对发现的问题通知相关单位进行纠正，从评价结果看，专项资金的使用基本达到了既定目标，保证了各项民生政策的落实。此项目绩效评价结果为良好。</w:t>
      </w:r>
    </w:p>
    <w:p>
      <w:pPr>
        <w:pStyle w:val="2"/>
        <w:spacing w:before="0" w:after="0" w:line="580" w:lineRule="exact"/>
        <w:ind w:firstLineChars="200" w:firstLine="640"/>
        <w:rPr>
          <w:rFonts w:ascii="??" w:hAnsi="??"/>
          <w:b w:val="0"/>
          <w:bCs w:val="0"/>
        </w:rPr>
      </w:pPr>
      <w:r>
        <w:rPr>
          <w:rFonts w:ascii="??" w:hAnsi="??"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24.4</w:t>
      </w:r>
      <w:r>
        <w:rPr>
          <w:rFonts w:ascii="仿宋_GB2312" w:eastAsia="仿宋_GB2312" w:cs="DengXian-Regular" w:hint="eastAsia"/>
          <w:sz w:val="32"/>
          <w:szCs w:val="32"/>
        </w:rPr>
        <w:t>万元，比年初预算数减少</w:t>
      </w:r>
      <w:r>
        <w:rPr>
          <w:rFonts w:ascii="仿宋_GB2312" w:eastAsia="仿宋_GB2312" w:cs="DengXian-Regular"/>
          <w:sz w:val="32"/>
          <w:szCs w:val="32"/>
        </w:rPr>
        <w:t>11.33</w:t>
      </w:r>
      <w:r>
        <w:rPr>
          <w:rFonts w:ascii="仿宋_GB2312" w:eastAsia="仿宋_GB2312" w:cs="DengXian-Regular" w:hint="eastAsia"/>
          <w:sz w:val="32"/>
          <w:szCs w:val="32"/>
        </w:rPr>
        <w:t>万元，降低</w:t>
      </w:r>
      <w:r>
        <w:rPr>
          <w:rFonts w:ascii="仿宋_GB2312" w:eastAsia="仿宋_GB2312" w:cs="DengXian-Regular"/>
          <w:sz w:val="32"/>
          <w:szCs w:val="32"/>
        </w:rPr>
        <w:t>44.0</w:t>
      </w:r>
      <w:r>
        <w:rPr>
          <w:rFonts w:eastAsia="仿宋_GB2312"/>
          <w:sz w:val="32"/>
          <w:szCs w:val="32"/>
        </w:rPr>
        <w:t>%</w:t>
      </w:r>
      <w:r>
        <w:rPr>
          <w:rFonts w:ascii="仿宋_GB2312" w:eastAsia="仿宋_GB2312" w:cs="DengXian-Regular" w:hint="eastAsia"/>
          <w:sz w:val="32"/>
          <w:szCs w:val="32"/>
        </w:rPr>
        <w:t>。主要原因是机关厉行节约原则。</w:t>
      </w:r>
      <w:r>
        <w:rPr>
          <w:rFonts w:eastAsia="仿宋_GB2312" w:hint="eastAsia"/>
          <w:sz w:val="32"/>
          <w:szCs w:val="32"/>
        </w:rPr>
        <w:t>较</w:t>
      </w:r>
      <w:r>
        <w:rPr>
          <w:rFonts w:eastAsia="仿宋_GB2312"/>
          <w:sz w:val="32"/>
          <w:szCs w:val="32"/>
        </w:rPr>
        <w:t>2017</w:t>
      </w:r>
      <w:r>
        <w:rPr>
          <w:rFonts w:eastAsia="仿宋_GB2312" w:hint="eastAsia"/>
          <w:sz w:val="32"/>
          <w:szCs w:val="32"/>
        </w:rPr>
        <w:t>年度决算减少</w:t>
      </w:r>
      <w:r>
        <w:rPr>
          <w:rFonts w:eastAsia="仿宋_GB2312"/>
          <w:sz w:val="32"/>
          <w:szCs w:val="32"/>
        </w:rPr>
        <w:t>11.75</w:t>
      </w:r>
      <w:r>
        <w:rPr>
          <w:rFonts w:eastAsia="仿宋_GB2312" w:hint="eastAsia"/>
          <w:sz w:val="32"/>
          <w:szCs w:val="32"/>
        </w:rPr>
        <w:t>万元，降低</w:t>
      </w:r>
      <w:r>
        <w:rPr>
          <w:rFonts w:eastAsia="仿宋_GB2312"/>
          <w:sz w:val="32"/>
          <w:szCs w:val="32"/>
        </w:rPr>
        <w:t>32.0%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机关厉行节约原则</w:t>
      </w:r>
      <w:r>
        <w:rPr>
          <w:rFonts w:eastAsia="仿宋_GB2312" w:hint="eastAsia"/>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Pr>
          <w:rFonts w:ascii="仿宋_GB2312" w:eastAsia="仿宋_GB2312" w:cs="DengXian-Regular"/>
          <w:sz w:val="32"/>
          <w:szCs w:val="32"/>
        </w:rPr>
        <w:t>0</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政府采购货物支出0 万元、政府采购工程支出0万元、政府采购服务支出0万元。授予中小企业合同金0万元，占政府采购支出总额的0.0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其中授予小微企业合同金额0万元，占政府采购支出总额的0%。</w:t>
      </w:r>
      <w:r>
        <w:rPr>
          <w:rFonts w:ascii="仿宋_GB2312" w:eastAsia="仿宋_GB2312" w:cs="DengXian-Regular" w:hint="eastAsia"/>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辆，较上年</w:t>
      </w:r>
      <w:r>
        <w:rPr>
          <w:rFonts w:eastAsia="仿宋_GB2312" w:hint="eastAsia"/>
          <w:color w:val="000000"/>
          <w:sz w:val="32"/>
          <w:szCs w:val="32"/>
        </w:rPr>
        <w:t>无增减变化</w:t>
      </w:r>
      <w:r>
        <w:rPr>
          <w:rFonts w:ascii="仿宋_GB2312" w:eastAsia="仿宋_GB2312" w:cs="DengXian-Regular" w:hint="eastAsia"/>
          <w:sz w:val="32"/>
          <w:szCs w:val="32"/>
        </w:rPr>
        <w:t>。其中，副部（省）级及以上领导用车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w:t>
      </w:r>
      <w:r>
        <w:rPr>
          <w:rFonts w:ascii="仿宋_GB2312" w:eastAsia="仿宋_GB2312" w:cs="DengXian-Regular"/>
          <w:sz w:val="32"/>
          <w:szCs w:val="32"/>
        </w:rPr>
        <w:t>2017</w:t>
      </w:r>
      <w:r>
        <w:rPr>
          <w:rFonts w:ascii="仿宋_GB2312" w:eastAsia="仿宋_GB2312" w:cs="DengXian-Regular" w:hint="eastAsia"/>
          <w:sz w:val="32"/>
          <w:szCs w:val="32"/>
        </w:rPr>
        <w:t>年</w:t>
      </w:r>
      <w:r>
        <w:rPr>
          <w:rFonts w:eastAsia="仿宋_GB2312" w:hint="eastAsia"/>
          <w:color w:val="000000"/>
          <w:sz w:val="32"/>
          <w:szCs w:val="32"/>
        </w:rPr>
        <w:t>无增减变化</w:t>
      </w:r>
      <w:r>
        <w:rPr>
          <w:rFonts w:ascii="仿宋_GB2312" w:eastAsia="仿宋_GB2312" w:cs="DengXian-Regular" w:hint="eastAsia"/>
          <w:sz w:val="32"/>
          <w:szCs w:val="32"/>
        </w:rPr>
        <w:t>，单位价值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台（套），较</w:t>
      </w:r>
      <w:r>
        <w:rPr>
          <w:rFonts w:ascii="仿宋_GB2312" w:eastAsia="仿宋_GB2312" w:cs="DengXian-Regular"/>
          <w:sz w:val="32"/>
          <w:szCs w:val="32"/>
        </w:rPr>
        <w:t>2017</w:t>
      </w:r>
      <w:r>
        <w:rPr>
          <w:rFonts w:ascii="仿宋_GB2312" w:eastAsia="仿宋_GB2312" w:cs="DengXian-Regular" w:hint="eastAsia"/>
          <w:sz w:val="32"/>
          <w:szCs w:val="32"/>
        </w:rPr>
        <w:t>年</w:t>
      </w:r>
      <w:r>
        <w:rPr>
          <w:rFonts w:eastAsia="仿宋_GB2312" w:hint="eastAsia"/>
          <w:color w:val="000000"/>
          <w:sz w:val="32"/>
          <w:szCs w:val="32"/>
        </w:rPr>
        <w:t>无增减变化</w:t>
      </w:r>
      <w:r>
        <w:rPr>
          <w:rFonts w:ascii="仿宋_GB2312" w:eastAsia="仿宋_GB2312" w:cs="DengXian-Regular" w:hint="eastAsia"/>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性基金预算财政拨款、国有资本经营预算财政拨款无收支及结转结余情况，无政府采购情况，故政府性基金预算财政拨款收入支出决算表、国有资本经营预算财政拨款支出决算表、政府采购情况表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 w:hAnsi="??"/>
          <w:color w:val="000000"/>
          <w:sz w:val="96"/>
          <w:szCs w:val="96"/>
        </w:rPr>
      </w:pPr>
    </w:p>
    <w:p>
      <w:pPr>
        <w:widowControl/>
        <w:spacing w:line="1200" w:lineRule="exact"/>
        <w:jc w:val="center"/>
        <w:rPr>
          <w:rFonts w:ascii="??" w:hAnsi="??"/>
          <w:color w:val="000000"/>
          <w:sz w:val="96"/>
          <w:szCs w:val="96"/>
        </w:rPr>
      </w:pPr>
    </w:p>
    <w:p>
      <w:pPr>
        <w:widowControl/>
        <w:spacing w:line="1200" w:lineRule="exact"/>
        <w:jc w:val="center"/>
        <w:rPr>
          <w:rFonts w:ascii="??" w:hAnsi="??"/>
          <w:color w:val="000000"/>
          <w:sz w:val="96"/>
          <w:szCs w:val="96"/>
        </w:rPr>
      </w:pPr>
    </w:p>
    <w:p>
      <w:pPr>
        <w:widowControl/>
        <w:spacing w:line="1200" w:lineRule="exact"/>
        <w:jc w:val="center"/>
        <w:rPr>
          <w:rFonts w:ascii="??" w:hAnsi="??"/>
          <w:color w:val="000000"/>
          <w:sz w:val="96"/>
          <w:szCs w:val="96"/>
        </w:rPr>
      </w:pPr>
      <w:r>
        <w:rPr>
          <w:rFonts w:ascii="??" w:hAnsi="??" w:hint="eastAsia"/>
          <w:color w:val="000000"/>
          <w:sz w:val="96"/>
          <w:szCs w:val="96"/>
        </w:rPr>
        <w:t>第四部分</w:t>
      </w:r>
    </w:p>
    <w:p>
      <w:pPr>
        <w:widowControl/>
        <w:spacing w:line="1200" w:lineRule="exact"/>
        <w:jc w:val="center"/>
        <w:rPr>
          <w:color w:val="000000"/>
          <w:sz w:val="96"/>
          <w:szCs w:val="96"/>
        </w:rPr>
      </w:pPr>
      <w:r>
        <w:rPr>
          <w:rFonts w:ascii="??" w:hAnsi="??"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pitch w:val="variable"/>
    <w:sig w:usb0="00000003" w:usb1="00000000" w:usb2="00000000" w:usb3="00000000" w:csb0="00000001" w:csb1="00000000"/>
  </w:font>
  <w:font w:name="仿宋_GB2312">
    <w:altName w:val="仿宋"/>
    <w:panose1 w:val="00000000000000000000"/>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1" w:usb1="09060000" w:usb2="00000010" w:usb3="00000000" w:csb0="00080000" w:csb1="00000000"/>
  </w:font>
  <w:font w:name="MS-UIGothic,Bold">
    <w:altName w:val="Arial Unicode MS"/>
    <w:panose1 w:val="00000000000000000000"/>
    <w:charset w:val="81"/>
    <w:family w:val="auto"/>
    <w:pitch w:val="variable"/>
    <w:sig w:usb0="00000001" w:usb1="09060000" w:usb2="00000010" w:usb3="00000000" w:csb0="00080000" w:csb1="00000000"/>
  </w:font>
  <w:font w:name="DengXian-Regular">
    <w:altName w:val="宋体"/>
    <w:panose1 w:val="00000000000000000000"/>
    <w:charset w:val="86"/>
    <w:family w:val="auto"/>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TimesNewRomanPSMT">
    <w:altName w:val="Arial"/>
    <w:panose1 w:val="000000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cs="Times New Roman"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hAnsi="Cambria"/>
      <w:sz w:val="18"/>
      <w:szCs w:val="18"/>
    </w:rPr>
  </w:style>
  <w:style w:type="paragraph" w:styleId="19">
    <w:name w:val="Subtitle"/>
    <w:basedOn w:val="0"/>
    <w:next w:val="0"/>
    <w:pPr>
      <w:widowControl/>
      <w:spacing w:after="200" w:line="276" w:lineRule="auto"/>
      <w:jc w:val="left"/>
    </w:pPr>
    <w:rPr>
      <w:rFonts w:ascii="Calibri"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21">
    <w:name w:val="No Spacing1"/>
    <w:pPr>
      <w:spacing w:after="160" w:line="480" w:lineRule="auto"/>
    </w:pPr>
    <w:rPr>
      <w:rFonts w:ascii="Cambria" w:eastAsia="宋体" w:cs="Times New Roman" w:hAnsi="Cambria"/>
      <w:kern w:val="0"/>
      <w:sz w:val="22"/>
      <w:szCs w:val="22"/>
      <w:lang w:val="en-US" w:eastAsia="zh-CN" w:bidi="ar-SA"/>
    </w:rPr>
  </w:style>
  <w:style w:type="character" w:customStyle="1" w:styleId="22">
    <w:name w:val="Style1"/>
    <w:basedOn w:val="10"/>
    <w:rPr>
      <w:rFonts w:ascii="Cambria" w:cs="Times New Roman" w:hAnsi="Cambria"/>
      <w:sz w:val="22"/>
      <w:szCs w:val="22"/>
      <w:lang w:eastAsia="zh-CN"/>
    </w:rPr>
  </w:style>
  <w:style w:type="character" w:customStyle="1" w:styleId="23">
    <w:name w:val="Style2"/>
    <w:basedOn w:val="10"/>
    <w:rPr>
      <w:rFonts w:ascii="Cambria" w:cs="Times New Roman" w:hAnsi="Cambria"/>
      <w:sz w:val="22"/>
      <w:szCs w:val="22"/>
      <w:lang w:eastAsia="zh-CN"/>
    </w:rPr>
  </w:style>
  <w:style w:type="character" w:customStyle="1" w:styleId="24">
    <w:name w:val="Style3"/>
    <w:basedOn w:val="10"/>
    <w:rPr>
      <w:rFonts w:ascii="Cambria" w:cs="Times New Roman" w:hAnsi="Cambria"/>
      <w:sz w:val="22"/>
      <w:szCs w:val="22"/>
      <w:lang w:eastAsia="zh-CN"/>
    </w:rPr>
  </w:style>
  <w:style w:type="character" w:customStyle="1" w:styleId="25">
    <w:name w:val="Style4"/>
    <w:basedOn w:val="10"/>
    <w:rPr>
      <w:rFonts w:ascii="Cambria" w:cs="Times New Roman" w:hAnsi="Cambria"/>
      <w:sz w:val="22"/>
      <w:szCs w:val="22"/>
      <w:lang w:eastAsia="zh-CN"/>
    </w:rPr>
  </w:style>
  <w:style w:type="character" w:customStyle="1" w:styleId="26">
    <w:name w:val="Style5"/>
    <w:basedOn w:val="10"/>
    <w:rPr>
      <w:rFonts w:ascii="Cambria" w:cs="Times New Roman" w:hAnsi="Cambria"/>
      <w:sz w:val="22"/>
      <w:szCs w:val="22"/>
      <w:lang w:eastAsia="zh-CN"/>
    </w:rPr>
  </w:style>
  <w:style w:type="paragraph" w:customStyle="1" w:styleId="27">
    <w:name w:val="List Paragraph1"/>
    <w:basedOn w:val="0"/>
    <w:pPr>
      <w:ind w:firstLineChars="200" w:firstLine="200"/>
    </w:pPr>
  </w:style>
  <w:style w:type="character" w:styleId="28">
    <w:name w:val="annotation reference"/>
    <w:basedOn w:val="10"/>
    <w:rPr>
      <w:rFonts w:cs="Times New Roman"/>
      <w:sz w:val="21"/>
      <w:szCs w:val="21"/>
    </w:rPr>
  </w:style>
  <w:style w:type="paragraph" w:styleId="29">
    <w:name w:val="annotation text"/>
    <w:basedOn w:val="0"/>
    <w:pPr>
      <w:jc w:val="left"/>
    </w:pPr>
  </w:style>
  <w:style w:type="paragraph" w:styleId="30">
    <w:name w:val="annotation subject"/>
    <w:basedOn w:val="29"/>
    <w:next w:val="29"/>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27</TotalTime>
  <Application>Yozo_Office</Application>
  <Pages>16</Pages>
  <Words>4215</Words>
  <Characters>4546</Characters>
  <Lines>261</Lines>
  <Paragraphs>88</Paragraphs>
  <CharactersWithSpaces>4552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user</cp:lastModifiedBy>
  <cp:revision>43</cp:revision>
  <cp:lastPrinted>2019-09-27T00:42:00Z</cp:lastPrinted>
  <dcterms:created xsi:type="dcterms:W3CDTF">2019-09-26T01:09:00Z</dcterms:created>
  <dcterms:modified xsi:type="dcterms:W3CDTF">2021-06-01T08:05:06Z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2052-11.1.0.9098</vt:lpwstr>
  </property>
</Properties>
</file>