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03F8" w:rsidRDefault="003403F8">
      <w:pPr>
        <w:widowControl/>
        <w:spacing w:line="1200" w:lineRule="exact"/>
        <w:jc w:val="center"/>
        <w:rPr>
          <w:rFonts w:ascii="黑体" w:eastAsia="黑体"/>
          <w:color w:val="000000"/>
          <w:sz w:val="96"/>
          <w:szCs w:val="96"/>
        </w:rPr>
      </w:pPr>
    </w:p>
    <w:p w:rsidR="003403F8" w:rsidRDefault="003403F8">
      <w:pPr>
        <w:widowControl/>
        <w:spacing w:line="1200" w:lineRule="exact"/>
        <w:jc w:val="center"/>
        <w:rPr>
          <w:rFonts w:ascii="黑体" w:eastAsia="黑体"/>
          <w:color w:val="000000"/>
          <w:sz w:val="96"/>
          <w:szCs w:val="96"/>
        </w:rPr>
      </w:pPr>
    </w:p>
    <w:p w:rsidR="003403F8" w:rsidRDefault="003403F8">
      <w:pPr>
        <w:widowControl/>
        <w:spacing w:line="1200" w:lineRule="exact"/>
        <w:jc w:val="center"/>
        <w:rPr>
          <w:color w:val="000000"/>
          <w:sz w:val="96"/>
          <w:szCs w:val="96"/>
        </w:rPr>
      </w:pPr>
      <w:r>
        <w:rPr>
          <w:sz w:val="84"/>
          <w:szCs w:val="84"/>
        </w:rPr>
        <w:t>2018</w:t>
      </w:r>
      <w:r>
        <w:rPr>
          <w:rFonts w:hint="eastAsia"/>
          <w:sz w:val="84"/>
          <w:szCs w:val="84"/>
        </w:rPr>
        <w:t>年度部门决算公开</w:t>
      </w:r>
    </w:p>
    <w:p w:rsidR="003403F8" w:rsidRDefault="003403F8">
      <w:pPr>
        <w:widowControl/>
        <w:jc w:val="center"/>
        <w:rPr>
          <w:rFonts w:ascii="黑体" w:eastAsia="黑体"/>
          <w:color w:val="002060"/>
          <w:sz w:val="72"/>
          <w:szCs w:val="72"/>
        </w:rPr>
      </w:pPr>
    </w:p>
    <w:p w:rsidR="003403F8" w:rsidRDefault="003403F8">
      <w:pPr>
        <w:widowControl/>
        <w:jc w:val="center"/>
        <w:rPr>
          <w:rFonts w:ascii="黑体" w:eastAsia="黑体"/>
          <w:b/>
          <w:sz w:val="72"/>
          <w:szCs w:val="72"/>
        </w:rPr>
      </w:pPr>
    </w:p>
    <w:p w:rsidR="003403F8" w:rsidRDefault="003403F8">
      <w:pPr>
        <w:widowControl/>
        <w:jc w:val="center"/>
        <w:rPr>
          <w:rFonts w:ascii="黑体" w:eastAsia="黑体"/>
          <w:b/>
          <w:sz w:val="72"/>
          <w:szCs w:val="72"/>
        </w:rPr>
      </w:pPr>
    </w:p>
    <w:p w:rsidR="003403F8" w:rsidRDefault="003403F8">
      <w:pPr>
        <w:widowControl/>
        <w:jc w:val="center"/>
        <w:rPr>
          <w:rFonts w:ascii="黑体" w:eastAsia="黑体"/>
          <w:b/>
          <w:sz w:val="72"/>
          <w:szCs w:val="72"/>
        </w:rPr>
      </w:pPr>
    </w:p>
    <w:p w:rsidR="003403F8" w:rsidRDefault="003403F8">
      <w:pPr>
        <w:widowControl/>
        <w:jc w:val="center"/>
        <w:rPr>
          <w:rFonts w:ascii="黑体" w:eastAsia="黑体"/>
          <w:b/>
          <w:sz w:val="72"/>
          <w:szCs w:val="72"/>
        </w:rPr>
      </w:pPr>
    </w:p>
    <w:p w:rsidR="003403F8" w:rsidRDefault="003403F8">
      <w:pPr>
        <w:widowControl/>
        <w:jc w:val="center"/>
        <w:rPr>
          <w:rFonts w:ascii="黑体" w:eastAsia="黑体"/>
          <w:b/>
          <w:sz w:val="72"/>
          <w:szCs w:val="72"/>
        </w:rPr>
      </w:pPr>
    </w:p>
    <w:p w:rsidR="003403F8" w:rsidRDefault="003403F8">
      <w:pPr>
        <w:jc w:val="center"/>
      </w:pPr>
      <w:r>
        <w:rPr>
          <w:rFonts w:hint="eastAsia"/>
          <w:b/>
          <w:sz w:val="44"/>
          <w:szCs w:val="44"/>
        </w:rPr>
        <w:t>廊坊市广阳区司法局</w:t>
      </w:r>
    </w:p>
    <w:p w:rsidR="003403F8" w:rsidRDefault="003403F8"/>
    <w:p w:rsidR="003403F8" w:rsidRDefault="003403F8"/>
    <w:p w:rsidR="003403F8" w:rsidRDefault="003403F8"/>
    <w:p w:rsidR="003403F8" w:rsidRDefault="003403F8"/>
    <w:p w:rsidR="003403F8" w:rsidRDefault="003403F8"/>
    <w:p w:rsidR="003403F8" w:rsidRDefault="003403F8">
      <w:pPr>
        <w:widowControl/>
        <w:jc w:val="center"/>
        <w:rPr>
          <w:color w:val="000000"/>
          <w:sz w:val="72"/>
          <w:szCs w:val="72"/>
        </w:rPr>
      </w:pPr>
      <w:r>
        <w:rPr>
          <w:rFonts w:ascii="黑体" w:eastAsia="黑体" w:hint="eastAsia"/>
          <w:color w:val="000000"/>
          <w:sz w:val="72"/>
          <w:szCs w:val="72"/>
        </w:rPr>
        <w:t>第一部分</w:t>
      </w:r>
      <w:r>
        <w:rPr>
          <w:rFonts w:ascii="黑体" w:eastAsia="黑体"/>
          <w:color w:val="000000"/>
          <w:sz w:val="72"/>
          <w:szCs w:val="72"/>
        </w:rPr>
        <w:t xml:space="preserve">  </w:t>
      </w:r>
      <w:r>
        <w:rPr>
          <w:rFonts w:ascii="黑体" w:eastAsia="黑体" w:hint="eastAsia"/>
          <w:color w:val="000000"/>
          <w:sz w:val="72"/>
          <w:szCs w:val="72"/>
        </w:rPr>
        <w:t>部门概况</w:t>
      </w:r>
    </w:p>
    <w:p w:rsidR="003403F8" w:rsidRDefault="003403F8"/>
    <w:p w:rsidR="003403F8" w:rsidRDefault="003403F8"/>
    <w:p w:rsidR="003403F8" w:rsidRDefault="003403F8"/>
    <w:p w:rsidR="003403F8" w:rsidRDefault="003403F8"/>
    <w:p w:rsidR="003403F8" w:rsidRDefault="003403F8"/>
    <w:p w:rsidR="003403F8" w:rsidRDefault="003403F8"/>
    <w:p w:rsidR="003403F8" w:rsidRDefault="003403F8"/>
    <w:p w:rsidR="003403F8" w:rsidRDefault="003403F8"/>
    <w:p w:rsidR="003403F8" w:rsidRDefault="003403F8"/>
    <w:p w:rsidR="003403F8" w:rsidRDefault="003403F8"/>
    <w:p w:rsidR="003403F8" w:rsidRDefault="003403F8"/>
    <w:p w:rsidR="003403F8" w:rsidRDefault="003403F8"/>
    <w:p w:rsidR="003403F8" w:rsidRDefault="003403F8">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3403F8" w:rsidRDefault="003403F8">
      <w:pPr>
        <w:pStyle w:val="10"/>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（一）贯彻落实国家有关司法工作的法律、法规及司法行政工作方针政策；制订全区司法行政系统规章、制度，编制全区司法行政工作中期规划、年度计划并组织实施。</w:t>
      </w:r>
    </w:p>
    <w:p w:rsidR="003403F8" w:rsidRDefault="003403F8">
      <w:pPr>
        <w:pStyle w:val="10"/>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（二）制订全区法制宣传、普及法律常识的规划并组织实施，指导全区各单位、各部门、各行业法制宣传、依法治理工作。</w:t>
      </w:r>
    </w:p>
    <w:p w:rsidR="003403F8" w:rsidRDefault="003403F8">
      <w:pPr>
        <w:pStyle w:val="10"/>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（三）承担全区社区矫正人员集中管理、集中教育、心理矫正，对社区服刑人员的监督管理、风险评估、突发事件的处置</w:t>
      </w:r>
    </w:p>
    <w:p w:rsidR="003403F8" w:rsidRDefault="003403F8">
      <w:pPr>
        <w:pStyle w:val="10"/>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（四）指导、监督全区律师工作和法律顾问工作，对全区法律服务所进行管理。</w:t>
      </w:r>
    </w:p>
    <w:p w:rsidR="003403F8" w:rsidRDefault="003403F8">
      <w:pPr>
        <w:pStyle w:val="10"/>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（五）指导、监督各乡镇（街办处）司法所、法律服务所建设和人民调解、基层法律服务和安置帮教工作；指导全区人民调解员协会工作。</w:t>
      </w:r>
    </w:p>
    <w:p w:rsidR="003403F8" w:rsidRDefault="003403F8">
      <w:pPr>
        <w:pStyle w:val="10"/>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（六）监督管理全区的法律援助工作。</w:t>
      </w:r>
    </w:p>
    <w:p w:rsidR="003403F8" w:rsidRDefault="003403F8">
      <w:pPr>
        <w:pStyle w:val="10"/>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（七）负责机关和下属单位的经费、国有资产进行管理和监督。</w:t>
      </w:r>
    </w:p>
    <w:p w:rsidR="003403F8" w:rsidRDefault="003403F8">
      <w:pPr>
        <w:pStyle w:val="10"/>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（八）指导、监督全区司法鉴定人和司法鉴定机构工作。</w:t>
      </w:r>
    </w:p>
    <w:p w:rsidR="003403F8" w:rsidRDefault="003403F8">
      <w:pPr>
        <w:pStyle w:val="10"/>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（九）管理和指导全区司法行政系统的队伍建设和思想政治工作；负责全区司法行政系统警务管理和警务督察工作。</w:t>
      </w:r>
    </w:p>
    <w:p w:rsidR="003403F8" w:rsidRDefault="003403F8">
      <w:pPr>
        <w:pStyle w:val="10"/>
        <w:widowControl/>
        <w:snapToGrid w:val="0"/>
        <w:spacing w:line="300" w:lineRule="auto"/>
        <w:ind w:firstLineChars="200" w:firstLine="640"/>
        <w:jc w:val="both"/>
        <w:rPr>
          <w:rFonts w:ascii="仿宋_GB2312" w:eastAsia="仿宋_GB2312" w:cs="仿宋_GB2312"/>
          <w:kern w:val="2"/>
          <w:sz w:val="32"/>
          <w:szCs w:val="32"/>
        </w:rPr>
      </w:pPr>
      <w:r>
        <w:rPr>
          <w:rFonts w:ascii="仿宋_GB2312" w:eastAsia="仿宋_GB2312" w:cs="仿宋_GB2312" w:hint="eastAsia"/>
          <w:kern w:val="2"/>
          <w:sz w:val="32"/>
          <w:szCs w:val="32"/>
        </w:rPr>
        <w:t>（十）承担区政府和上级机关交办的其他事项。</w:t>
      </w:r>
    </w:p>
    <w:p w:rsidR="003403F8" w:rsidRDefault="003403F8">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二、机构设置</w:t>
      </w:r>
    </w:p>
    <w:p w:rsidR="003403F8" w:rsidRDefault="003403F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w:t>
      </w:r>
      <w:r>
        <w:rPr>
          <w:rFonts w:ascii="仿宋_GB2312" w:eastAsia="仿宋_GB2312" w:cs="ArialUnicodeMS"/>
          <w:kern w:val="0"/>
          <w:sz w:val="32"/>
          <w:szCs w:val="32"/>
        </w:rPr>
        <w:t xml:space="preserve">2018 </w:t>
      </w:r>
      <w:r>
        <w:rPr>
          <w:rFonts w:ascii="仿宋_GB2312" w:eastAsia="仿宋_GB2312" w:cs="ArialUnicodeMS" w:hint="eastAsia"/>
          <w:kern w:val="0"/>
          <w:sz w:val="32"/>
          <w:szCs w:val="32"/>
        </w:rPr>
        <w:t>年度本部门决算汇编范围的独立核算单位（以下简称“单位”）共</w:t>
      </w:r>
      <w:r>
        <w:rPr>
          <w:rFonts w:ascii="仿宋_GB2312" w:eastAsia="仿宋_GB2312" w:cs="ArialUnicodeMS"/>
          <w:kern w:val="0"/>
          <w:sz w:val="32"/>
          <w:szCs w:val="32"/>
        </w:rPr>
        <w:t>1</w:t>
      </w:r>
      <w:r>
        <w:rPr>
          <w:rFonts w:ascii="仿宋_GB2312" w:eastAsia="仿宋_GB2312" w:cs="ArialUnicodeMS" w:hint="eastAsia"/>
          <w:kern w:val="0"/>
          <w:sz w:val="32"/>
          <w:szCs w:val="32"/>
        </w:rPr>
        <w:t>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985"/>
        <w:gridCol w:w="3485"/>
        <w:gridCol w:w="2445"/>
        <w:gridCol w:w="2665"/>
      </w:tblGrid>
      <w:tr w:rsidR="003403F8">
        <w:trPr>
          <w:trHeight w:val="811"/>
        </w:trPr>
        <w:tc>
          <w:tcPr>
            <w:tcW w:w="985" w:type="dxa"/>
            <w:tcBorders>
              <w:top w:val="single" w:sz="4" w:space="0" w:color="auto"/>
            </w:tcBorders>
            <w:vAlign w:val="center"/>
          </w:tcPr>
          <w:p w:rsidR="003403F8" w:rsidRDefault="003403F8">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lastRenderedPageBreak/>
              <w:t>序号</w:t>
            </w:r>
          </w:p>
        </w:tc>
        <w:tc>
          <w:tcPr>
            <w:tcW w:w="3485" w:type="dxa"/>
            <w:tcBorders>
              <w:top w:val="single" w:sz="4" w:space="0" w:color="auto"/>
            </w:tcBorders>
            <w:vAlign w:val="center"/>
          </w:tcPr>
          <w:p w:rsidR="003403F8" w:rsidRDefault="003403F8">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445" w:type="dxa"/>
            <w:tcBorders>
              <w:top w:val="single" w:sz="4" w:space="0" w:color="auto"/>
            </w:tcBorders>
            <w:vAlign w:val="center"/>
          </w:tcPr>
          <w:p w:rsidR="003403F8" w:rsidRDefault="003403F8">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665" w:type="dxa"/>
            <w:tcBorders>
              <w:top w:val="single" w:sz="4" w:space="0" w:color="auto"/>
            </w:tcBorders>
            <w:vAlign w:val="center"/>
          </w:tcPr>
          <w:p w:rsidR="003403F8" w:rsidRDefault="003403F8">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rsidR="003403F8">
        <w:trPr>
          <w:trHeight w:val="596"/>
        </w:trPr>
        <w:tc>
          <w:tcPr>
            <w:tcW w:w="985" w:type="dxa"/>
          </w:tcPr>
          <w:p w:rsidR="003403F8" w:rsidRDefault="003403F8">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1</w:t>
            </w:r>
          </w:p>
        </w:tc>
        <w:tc>
          <w:tcPr>
            <w:tcW w:w="3485" w:type="dxa"/>
          </w:tcPr>
          <w:p w:rsidR="003403F8" w:rsidRDefault="003403F8">
            <w:pPr>
              <w:spacing w:after="0"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廊坊市广阳区司法局</w:t>
            </w:r>
          </w:p>
        </w:tc>
        <w:tc>
          <w:tcPr>
            <w:tcW w:w="2445" w:type="dxa"/>
          </w:tcPr>
          <w:p w:rsidR="003403F8" w:rsidRDefault="003403F8">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行政单位</w:t>
            </w:r>
          </w:p>
        </w:tc>
        <w:tc>
          <w:tcPr>
            <w:tcW w:w="2665" w:type="dxa"/>
          </w:tcPr>
          <w:p w:rsidR="003403F8" w:rsidRDefault="003403F8">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财政拨款</w:t>
            </w:r>
          </w:p>
        </w:tc>
      </w:tr>
      <w:tr w:rsidR="003403F8">
        <w:trPr>
          <w:trHeight w:val="606"/>
        </w:trPr>
        <w:tc>
          <w:tcPr>
            <w:tcW w:w="9580" w:type="dxa"/>
            <w:gridSpan w:val="4"/>
            <w:tcBorders>
              <w:top w:val="single" w:sz="4" w:space="0" w:color="auto"/>
              <w:left w:val="nil"/>
              <w:bottom w:val="nil"/>
              <w:right w:val="nil"/>
            </w:tcBorders>
          </w:tcPr>
          <w:p w:rsidR="003403F8" w:rsidRDefault="003403F8">
            <w:pPr>
              <w:spacing w:after="0" w:line="560" w:lineRule="exact"/>
              <w:ind w:firstLineChars="200" w:firstLine="560"/>
              <w:jc w:val="left"/>
              <w:rPr>
                <w:rFonts w:ascii="仿宋_GB2312" w:eastAsia="仿宋_GB2312" w:cs="ArialUnicodeMS"/>
                <w:kern w:val="0"/>
                <w:sz w:val="28"/>
                <w:szCs w:val="28"/>
              </w:rPr>
            </w:pPr>
          </w:p>
        </w:tc>
      </w:tr>
    </w:tbl>
    <w:p w:rsidR="003403F8" w:rsidRDefault="003403F8">
      <w:pPr>
        <w:widowControl/>
        <w:spacing w:line="560" w:lineRule="exact"/>
        <w:rPr>
          <w:rFonts w:ascii="黑体" w:eastAsia="黑体" w:cs="MS-UIGothic,Bold"/>
          <w:bCs/>
          <w:kern w:val="0"/>
          <w:sz w:val="52"/>
          <w:szCs w:val="52"/>
        </w:rPr>
      </w:pPr>
    </w:p>
    <w:p w:rsidR="003403F8" w:rsidRDefault="003403F8">
      <w:pPr>
        <w:widowControl/>
        <w:spacing w:line="560" w:lineRule="exact"/>
        <w:jc w:val="center"/>
        <w:rPr>
          <w:rFonts w:ascii="黑体" w:eastAsia="黑体" w:cs="MS-UIGothic,Bold"/>
          <w:bCs/>
          <w:kern w:val="0"/>
          <w:sz w:val="52"/>
          <w:szCs w:val="52"/>
        </w:rPr>
        <w:sectPr w:rsidR="003403F8">
          <w:pgSz w:w="11906" w:h="16838"/>
          <w:pgMar w:top="2098" w:right="1474" w:bottom="1984" w:left="1588" w:header="851" w:footer="992" w:gutter="0"/>
          <w:cols w:space="720"/>
          <w:docGrid w:type="lines" w:linePitch="312"/>
        </w:sectPr>
      </w:pPr>
    </w:p>
    <w:p w:rsidR="003403F8" w:rsidRDefault="003403F8">
      <w:pPr>
        <w:widowControl/>
        <w:spacing w:line="1200" w:lineRule="exact"/>
        <w:jc w:val="center"/>
        <w:rPr>
          <w:rFonts w:ascii="黑体" w:eastAsia="黑体"/>
          <w:color w:val="000000"/>
          <w:sz w:val="72"/>
          <w:szCs w:val="96"/>
        </w:rPr>
      </w:pPr>
    </w:p>
    <w:p w:rsidR="003403F8" w:rsidRDefault="003403F8">
      <w:pPr>
        <w:widowControl/>
        <w:spacing w:line="1200" w:lineRule="exact"/>
        <w:jc w:val="center"/>
        <w:rPr>
          <w:rFonts w:ascii="黑体" w:eastAsia="黑体"/>
          <w:color w:val="000000"/>
          <w:sz w:val="72"/>
          <w:szCs w:val="96"/>
        </w:rPr>
      </w:pPr>
    </w:p>
    <w:p w:rsidR="003403F8" w:rsidRDefault="003403F8">
      <w:pPr>
        <w:widowControl/>
        <w:spacing w:line="1200" w:lineRule="exact"/>
        <w:jc w:val="center"/>
        <w:rPr>
          <w:rFonts w:ascii="黑体" w:eastAsia="黑体"/>
          <w:color w:val="000000"/>
          <w:sz w:val="72"/>
          <w:szCs w:val="96"/>
        </w:rPr>
      </w:pPr>
    </w:p>
    <w:p w:rsidR="003403F8" w:rsidRDefault="003403F8">
      <w:pPr>
        <w:widowControl/>
        <w:spacing w:line="1200" w:lineRule="exact"/>
        <w:jc w:val="center"/>
        <w:rPr>
          <w:rFonts w:ascii="黑体" w:eastAsia="黑体"/>
          <w:color w:val="000000"/>
          <w:sz w:val="72"/>
          <w:szCs w:val="96"/>
        </w:rPr>
      </w:pPr>
      <w:r>
        <w:rPr>
          <w:rFonts w:ascii="黑体" w:eastAsia="黑体" w:hint="eastAsia"/>
          <w:color w:val="000000"/>
          <w:sz w:val="72"/>
          <w:szCs w:val="96"/>
        </w:rPr>
        <w:t>第二部分</w:t>
      </w:r>
    </w:p>
    <w:p w:rsidR="003403F8" w:rsidRDefault="003403F8">
      <w:pPr>
        <w:widowControl/>
        <w:spacing w:line="1200" w:lineRule="exact"/>
        <w:jc w:val="center"/>
        <w:rPr>
          <w:color w:val="000000"/>
          <w:sz w:val="72"/>
          <w:szCs w:val="96"/>
        </w:rPr>
      </w:pPr>
      <w:r>
        <w:rPr>
          <w:rFonts w:ascii="黑体" w:eastAsia="黑体"/>
          <w:color w:val="000000"/>
          <w:sz w:val="72"/>
          <w:szCs w:val="96"/>
        </w:rPr>
        <w:t>2018</w:t>
      </w:r>
      <w:r>
        <w:rPr>
          <w:rFonts w:ascii="黑体" w:eastAsia="黑体" w:hint="eastAsia"/>
          <w:color w:val="000000"/>
          <w:sz w:val="72"/>
          <w:szCs w:val="96"/>
        </w:rPr>
        <w:t>年度部门决算报表</w:t>
      </w:r>
    </w:p>
    <w:p w:rsidR="003403F8" w:rsidRDefault="003403F8">
      <w:pPr>
        <w:widowControl/>
        <w:spacing w:line="560" w:lineRule="exact"/>
        <w:jc w:val="center"/>
        <w:rPr>
          <w:rFonts w:ascii="黑体" w:eastAsia="黑体" w:cs="MS-UIGothic,Bold"/>
          <w:bCs/>
          <w:kern w:val="0"/>
          <w:sz w:val="52"/>
          <w:szCs w:val="52"/>
        </w:rPr>
      </w:pPr>
    </w:p>
    <w:p w:rsidR="003403F8" w:rsidRDefault="003403F8">
      <w:pPr>
        <w:widowControl/>
        <w:spacing w:line="560" w:lineRule="exact"/>
        <w:jc w:val="center"/>
        <w:rPr>
          <w:rFonts w:ascii="黑体" w:eastAsia="黑体" w:cs="MS-UIGothic,Bold"/>
          <w:bCs/>
          <w:kern w:val="0"/>
          <w:sz w:val="52"/>
          <w:szCs w:val="52"/>
        </w:rPr>
      </w:pPr>
    </w:p>
    <w:p w:rsidR="003403F8" w:rsidRDefault="003403F8">
      <w:pPr>
        <w:widowControl/>
        <w:spacing w:line="560" w:lineRule="exact"/>
        <w:jc w:val="center"/>
        <w:rPr>
          <w:rFonts w:ascii="黑体" w:eastAsia="黑体" w:cs="MS-UIGothic,Bold"/>
          <w:bCs/>
          <w:kern w:val="0"/>
          <w:sz w:val="52"/>
          <w:szCs w:val="52"/>
        </w:rPr>
      </w:pPr>
    </w:p>
    <w:p w:rsidR="003403F8" w:rsidRDefault="003403F8">
      <w:pPr>
        <w:widowControl/>
        <w:spacing w:line="560" w:lineRule="exact"/>
        <w:jc w:val="center"/>
        <w:rPr>
          <w:rFonts w:ascii="黑体" w:eastAsia="黑体" w:cs="MS-UIGothic,Bold"/>
          <w:bCs/>
          <w:kern w:val="0"/>
          <w:sz w:val="52"/>
          <w:szCs w:val="52"/>
        </w:rPr>
      </w:pPr>
    </w:p>
    <w:p w:rsidR="003403F8" w:rsidRDefault="003403F8">
      <w:pPr>
        <w:widowControl/>
        <w:spacing w:line="560" w:lineRule="exact"/>
        <w:jc w:val="center"/>
        <w:rPr>
          <w:rFonts w:ascii="黑体" w:eastAsia="黑体" w:cs="MS-UIGothic,Bold"/>
          <w:bCs/>
          <w:kern w:val="0"/>
          <w:sz w:val="52"/>
          <w:szCs w:val="52"/>
        </w:rPr>
      </w:pPr>
    </w:p>
    <w:p w:rsidR="003403F8" w:rsidRDefault="003403F8">
      <w:pPr>
        <w:widowControl/>
        <w:spacing w:line="560" w:lineRule="exact"/>
        <w:jc w:val="center"/>
        <w:rPr>
          <w:rFonts w:ascii="黑体" w:eastAsia="黑体" w:cs="MS-UIGothic,Bold"/>
          <w:bCs/>
          <w:kern w:val="0"/>
          <w:sz w:val="52"/>
          <w:szCs w:val="52"/>
        </w:rPr>
      </w:pPr>
    </w:p>
    <w:p w:rsidR="003403F8" w:rsidRDefault="003403F8">
      <w:pPr>
        <w:widowControl/>
        <w:spacing w:line="560" w:lineRule="exact"/>
        <w:jc w:val="center"/>
        <w:rPr>
          <w:rFonts w:ascii="黑体" w:eastAsia="黑体" w:cs="MS-UIGothic,Bold"/>
          <w:bCs/>
          <w:kern w:val="0"/>
          <w:sz w:val="52"/>
          <w:szCs w:val="52"/>
        </w:rPr>
      </w:pPr>
    </w:p>
    <w:p w:rsidR="003403F8" w:rsidRDefault="003403F8">
      <w:pPr>
        <w:widowControl/>
        <w:spacing w:line="560" w:lineRule="exact"/>
        <w:jc w:val="center"/>
        <w:rPr>
          <w:rFonts w:ascii="黑体" w:eastAsia="黑体" w:cs="MS-UIGothic,Bold"/>
          <w:bCs/>
          <w:kern w:val="0"/>
          <w:sz w:val="52"/>
          <w:szCs w:val="52"/>
        </w:rPr>
      </w:pPr>
    </w:p>
    <w:p w:rsidR="003403F8" w:rsidRDefault="003403F8">
      <w:pPr>
        <w:widowControl/>
        <w:spacing w:line="580" w:lineRule="exact"/>
        <w:ind w:firstLineChars="200" w:firstLine="640"/>
        <w:rPr>
          <w:rFonts w:eastAsia="仿宋_GB2312"/>
          <w:sz w:val="20"/>
          <w:szCs w:val="32"/>
        </w:rPr>
      </w:pPr>
      <w:r>
        <w:rPr>
          <w:rFonts w:eastAsia="黑体" w:hint="eastAsia"/>
          <w:sz w:val="32"/>
          <w:szCs w:val="32"/>
        </w:rPr>
        <w:lastRenderedPageBreak/>
        <w:t>第二部分</w:t>
      </w:r>
      <w:r>
        <w:rPr>
          <w:rFonts w:eastAsia="黑体"/>
          <w:sz w:val="32"/>
          <w:szCs w:val="32"/>
        </w:rPr>
        <w:t xml:space="preserve">   2018</w:t>
      </w:r>
      <w:r>
        <w:rPr>
          <w:rFonts w:eastAsia="黑体" w:hint="eastAsia"/>
          <w:sz w:val="32"/>
          <w:szCs w:val="32"/>
        </w:rPr>
        <w:t>年度部门决算报表</w:t>
      </w:r>
    </w:p>
    <w:p w:rsidR="003403F8" w:rsidRDefault="003403F8">
      <w:pPr>
        <w:widowControl/>
        <w:spacing w:line="580" w:lineRule="exact"/>
        <w:ind w:left="640" w:firstLineChars="200" w:firstLine="640"/>
        <w:rPr>
          <w:rFonts w:eastAsia="仿宋_GB2312"/>
          <w:sz w:val="32"/>
          <w:szCs w:val="32"/>
        </w:rPr>
      </w:pPr>
      <w:r>
        <w:rPr>
          <w:rFonts w:eastAsia="仿宋_GB2312" w:hint="eastAsia"/>
          <w:sz w:val="32"/>
          <w:szCs w:val="32"/>
        </w:rPr>
        <w:t>一、收入支出决算总表</w:t>
      </w:r>
    </w:p>
    <w:p w:rsidR="003403F8" w:rsidRDefault="003403F8">
      <w:pPr>
        <w:widowControl/>
        <w:spacing w:line="580" w:lineRule="exact"/>
        <w:ind w:left="640" w:firstLineChars="200" w:firstLine="640"/>
        <w:rPr>
          <w:rFonts w:eastAsia="仿宋_GB2312"/>
          <w:sz w:val="32"/>
          <w:szCs w:val="32"/>
        </w:rPr>
      </w:pPr>
      <w:r>
        <w:rPr>
          <w:rFonts w:eastAsia="仿宋_GB2312" w:hint="eastAsia"/>
          <w:sz w:val="32"/>
          <w:szCs w:val="32"/>
        </w:rPr>
        <w:t>二、收入决算表</w:t>
      </w:r>
    </w:p>
    <w:p w:rsidR="003403F8" w:rsidRDefault="003403F8">
      <w:pPr>
        <w:widowControl/>
        <w:spacing w:line="580" w:lineRule="exact"/>
        <w:ind w:left="640" w:firstLineChars="200" w:firstLine="640"/>
        <w:rPr>
          <w:rFonts w:eastAsia="仿宋_GB2312"/>
          <w:sz w:val="32"/>
          <w:szCs w:val="32"/>
        </w:rPr>
      </w:pPr>
      <w:r>
        <w:rPr>
          <w:rFonts w:eastAsia="仿宋_GB2312" w:hint="eastAsia"/>
          <w:sz w:val="32"/>
          <w:szCs w:val="32"/>
        </w:rPr>
        <w:t>三、支出决算表</w:t>
      </w:r>
    </w:p>
    <w:p w:rsidR="003403F8" w:rsidRDefault="003403F8">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四、财政拨款收入支出决算总表</w:t>
      </w:r>
    </w:p>
    <w:p w:rsidR="003403F8" w:rsidRDefault="003403F8">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五、一般公共预算财政拨款支出决算表</w:t>
      </w:r>
    </w:p>
    <w:p w:rsidR="003403F8" w:rsidRDefault="003403F8">
      <w:pPr>
        <w:widowControl/>
        <w:spacing w:line="580" w:lineRule="exact"/>
        <w:ind w:left="640" w:firstLineChars="200" w:firstLine="640"/>
        <w:rPr>
          <w:rFonts w:eastAsia="仿宋_GB2312"/>
          <w:sz w:val="32"/>
          <w:szCs w:val="32"/>
        </w:rPr>
      </w:pPr>
      <w:r>
        <w:rPr>
          <w:rFonts w:eastAsia="仿宋_GB2312" w:hint="eastAsia"/>
          <w:sz w:val="32"/>
          <w:szCs w:val="32"/>
        </w:rPr>
        <w:t>六、一般公共预算财政拨款基本支出决算表</w:t>
      </w:r>
    </w:p>
    <w:p w:rsidR="003403F8" w:rsidRDefault="003403F8">
      <w:pPr>
        <w:widowControl/>
        <w:spacing w:line="580" w:lineRule="exact"/>
        <w:ind w:left="640" w:firstLineChars="200" w:firstLine="640"/>
        <w:rPr>
          <w:rFonts w:eastAsia="仿宋_GB2312"/>
          <w:sz w:val="32"/>
          <w:szCs w:val="32"/>
        </w:rPr>
      </w:pPr>
      <w:r>
        <w:rPr>
          <w:rFonts w:eastAsia="仿宋_GB2312" w:hint="eastAsia"/>
          <w:sz w:val="32"/>
          <w:szCs w:val="32"/>
        </w:rPr>
        <w:t>七、一般公共预算财政拨款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经费支出决算表</w:t>
      </w:r>
    </w:p>
    <w:p w:rsidR="003403F8" w:rsidRDefault="003403F8">
      <w:pPr>
        <w:widowControl/>
        <w:spacing w:line="580" w:lineRule="exact"/>
        <w:ind w:left="640" w:firstLineChars="200" w:firstLine="640"/>
        <w:rPr>
          <w:rFonts w:eastAsia="仿宋_GB2312"/>
          <w:sz w:val="32"/>
          <w:szCs w:val="32"/>
        </w:rPr>
      </w:pPr>
      <w:r>
        <w:rPr>
          <w:rFonts w:eastAsia="仿宋_GB2312" w:hint="eastAsia"/>
          <w:sz w:val="32"/>
          <w:szCs w:val="32"/>
        </w:rPr>
        <w:t>八、政府性基金预算财政拨款收入支出决算表</w:t>
      </w:r>
    </w:p>
    <w:p w:rsidR="003403F8" w:rsidRDefault="003403F8">
      <w:pPr>
        <w:widowControl/>
        <w:spacing w:line="580" w:lineRule="exact"/>
        <w:ind w:left="640" w:firstLineChars="200" w:firstLine="640"/>
        <w:rPr>
          <w:rFonts w:eastAsia="仿宋_GB2312"/>
          <w:sz w:val="32"/>
          <w:szCs w:val="32"/>
        </w:rPr>
      </w:pPr>
      <w:r>
        <w:rPr>
          <w:rFonts w:eastAsia="仿宋_GB2312" w:hint="eastAsia"/>
          <w:sz w:val="32"/>
          <w:szCs w:val="32"/>
        </w:rPr>
        <w:t>九、国有资本经营预算财政拨款支出决算表</w:t>
      </w:r>
    </w:p>
    <w:p w:rsidR="003403F8" w:rsidRDefault="003403F8">
      <w:pPr>
        <w:widowControl/>
        <w:spacing w:line="580" w:lineRule="exact"/>
        <w:ind w:left="640" w:firstLineChars="200" w:firstLine="640"/>
        <w:rPr>
          <w:rFonts w:eastAsia="仿宋_GB2312"/>
          <w:sz w:val="32"/>
          <w:szCs w:val="32"/>
        </w:rPr>
      </w:pPr>
      <w:r>
        <w:rPr>
          <w:rFonts w:eastAsia="仿宋_GB2312" w:hint="eastAsia"/>
          <w:sz w:val="32"/>
          <w:szCs w:val="32"/>
        </w:rPr>
        <w:t>十、政府采购情况表</w:t>
      </w:r>
    </w:p>
    <w:p w:rsidR="003403F8" w:rsidRDefault="003403F8">
      <w:pPr>
        <w:rPr>
          <w:rFonts w:ascii="宋体" w:cs="ArialUnicodeMS"/>
          <w:color w:val="000000"/>
          <w:kern w:val="0"/>
        </w:rPr>
      </w:pPr>
    </w:p>
    <w:p w:rsidR="003403F8" w:rsidRDefault="003403F8">
      <w:pPr>
        <w:tabs>
          <w:tab w:val="left" w:pos="1086"/>
        </w:tabs>
        <w:jc w:val="left"/>
        <w:rPr>
          <w:rFonts w:ascii="仿宋_GB2312" w:eastAsia="仿宋_GB2312"/>
          <w:b/>
          <w:sz w:val="28"/>
          <w:szCs w:val="28"/>
          <w:highlight w:val="yellow"/>
        </w:rPr>
        <w:sectPr w:rsidR="003403F8">
          <w:pgSz w:w="11906" w:h="16838"/>
          <w:pgMar w:top="2098" w:right="1474" w:bottom="1984" w:left="1588" w:header="851" w:footer="992" w:gutter="0"/>
          <w:cols w:space="720"/>
          <w:docGrid w:type="lines" w:linePitch="312"/>
        </w:sectPr>
      </w:pPr>
      <w:r>
        <w:tab/>
      </w:r>
    </w:p>
    <w:p w:rsidR="003403F8" w:rsidRDefault="003403F8">
      <w:pPr>
        <w:widowControl/>
        <w:spacing w:line="1200" w:lineRule="exact"/>
        <w:jc w:val="center"/>
        <w:rPr>
          <w:rFonts w:ascii="黑体" w:eastAsia="黑体"/>
          <w:color w:val="000000"/>
          <w:sz w:val="96"/>
          <w:szCs w:val="96"/>
        </w:rPr>
      </w:pPr>
    </w:p>
    <w:p w:rsidR="003403F8" w:rsidRDefault="003403F8">
      <w:pPr>
        <w:widowControl/>
        <w:spacing w:line="1200" w:lineRule="exact"/>
        <w:jc w:val="center"/>
        <w:rPr>
          <w:rFonts w:ascii="黑体" w:eastAsia="黑体"/>
          <w:color w:val="000000"/>
          <w:sz w:val="96"/>
          <w:szCs w:val="96"/>
        </w:rPr>
      </w:pPr>
    </w:p>
    <w:p w:rsidR="003403F8" w:rsidRDefault="003403F8">
      <w:pPr>
        <w:widowControl/>
        <w:spacing w:line="1200" w:lineRule="exact"/>
        <w:jc w:val="center"/>
        <w:rPr>
          <w:rFonts w:ascii="黑体" w:eastAsia="黑体"/>
          <w:color w:val="000000"/>
          <w:sz w:val="96"/>
          <w:szCs w:val="96"/>
        </w:rPr>
      </w:pPr>
    </w:p>
    <w:p w:rsidR="003403F8" w:rsidRDefault="003403F8">
      <w:pPr>
        <w:widowControl/>
        <w:spacing w:line="1200" w:lineRule="exact"/>
        <w:jc w:val="center"/>
        <w:rPr>
          <w:rFonts w:ascii="黑体" w:eastAsia="黑体"/>
          <w:color w:val="000000"/>
          <w:sz w:val="72"/>
          <w:szCs w:val="72"/>
        </w:rPr>
      </w:pPr>
      <w:r>
        <w:rPr>
          <w:rFonts w:ascii="黑体" w:eastAsia="黑体" w:hint="eastAsia"/>
          <w:color w:val="000000"/>
          <w:sz w:val="72"/>
          <w:szCs w:val="72"/>
        </w:rPr>
        <w:t>第三部分</w:t>
      </w:r>
    </w:p>
    <w:p w:rsidR="003403F8" w:rsidRDefault="003403F8">
      <w:pPr>
        <w:widowControl/>
        <w:spacing w:line="1200" w:lineRule="exact"/>
        <w:jc w:val="center"/>
        <w:rPr>
          <w:color w:val="000000"/>
          <w:sz w:val="72"/>
          <w:szCs w:val="72"/>
        </w:rPr>
      </w:pPr>
      <w:r>
        <w:rPr>
          <w:rFonts w:ascii="黑体" w:eastAsia="黑体" w:hint="eastAsia"/>
          <w:color w:val="000000"/>
          <w:sz w:val="72"/>
          <w:szCs w:val="72"/>
        </w:rPr>
        <w:t>部门决算情况说明</w:t>
      </w:r>
    </w:p>
    <w:p w:rsidR="003403F8" w:rsidRDefault="003403F8">
      <w:pPr>
        <w:rPr>
          <w:rFonts w:ascii="宋体" w:cs="ArialUnicodeMS"/>
          <w:color w:val="000000"/>
          <w:kern w:val="0"/>
        </w:rPr>
        <w:sectPr w:rsidR="003403F8">
          <w:pgSz w:w="11906" w:h="16838"/>
          <w:pgMar w:top="2098" w:right="1474" w:bottom="1984" w:left="1588" w:header="851" w:footer="992" w:gutter="0"/>
          <w:cols w:space="720"/>
          <w:docGrid w:type="lines" w:linePitch="312"/>
        </w:sectPr>
      </w:pPr>
    </w:p>
    <w:p w:rsidR="003403F8" w:rsidRDefault="003403F8">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cs="黑体" w:hint="eastAsia"/>
          <w:b w:val="0"/>
          <w:bCs w:val="0"/>
          <w:kern w:val="0"/>
        </w:rPr>
        <w:t>支出</w:t>
      </w:r>
      <w:r>
        <w:rPr>
          <w:rFonts w:ascii="黑体" w:eastAsia="黑体" w:hint="eastAsia"/>
          <w:b w:val="0"/>
          <w:bCs w:val="0"/>
        </w:rPr>
        <w:t>决算总体情况说明</w:t>
      </w:r>
    </w:p>
    <w:p w:rsidR="003403F8" w:rsidRDefault="003403F8">
      <w:pPr>
        <w:widowControl/>
        <w:spacing w:line="580" w:lineRule="exact"/>
        <w:ind w:firstLineChars="200" w:firstLine="640"/>
        <w:rPr>
          <w:rFonts w:ascii="宋体"/>
          <w:color w:val="000000"/>
          <w:kern w:val="0"/>
          <w:sz w:val="30"/>
          <w:szCs w:val="30"/>
        </w:rPr>
      </w:pPr>
      <w:r>
        <w:rPr>
          <w:rFonts w:eastAsia="仿宋_GB2312" w:hint="eastAsia"/>
          <w:sz w:val="32"/>
          <w:szCs w:val="32"/>
        </w:rPr>
        <w:t>廊坊市广阳区司法局</w:t>
      </w:r>
      <w:r>
        <w:rPr>
          <w:rFonts w:eastAsia="仿宋_GB2312"/>
          <w:sz w:val="32"/>
          <w:szCs w:val="32"/>
        </w:rPr>
        <w:t>2018</w:t>
      </w:r>
      <w:r>
        <w:rPr>
          <w:rFonts w:eastAsia="仿宋_GB2312" w:hint="eastAsia"/>
          <w:sz w:val="32"/>
          <w:szCs w:val="32"/>
        </w:rPr>
        <w:t>年度决算收入总计</w:t>
      </w:r>
      <w:r>
        <w:rPr>
          <w:rFonts w:eastAsia="仿宋_GB2312"/>
          <w:sz w:val="32"/>
          <w:szCs w:val="32"/>
        </w:rPr>
        <w:t>573.29</w:t>
      </w:r>
      <w:r>
        <w:rPr>
          <w:rFonts w:eastAsia="仿宋_GB2312" w:hint="eastAsia"/>
          <w:sz w:val="32"/>
          <w:szCs w:val="32"/>
        </w:rPr>
        <w:t>万元</w:t>
      </w:r>
      <w:r>
        <w:rPr>
          <w:rFonts w:eastAsia="仿宋_GB2312"/>
          <w:sz w:val="32"/>
          <w:szCs w:val="32"/>
        </w:rPr>
        <w:t xml:space="preserve">, </w:t>
      </w:r>
      <w:r>
        <w:rPr>
          <w:rFonts w:eastAsia="仿宋_GB2312" w:hint="eastAsia"/>
          <w:sz w:val="32"/>
          <w:szCs w:val="32"/>
        </w:rPr>
        <w:t>决算支出总计</w:t>
      </w:r>
      <w:r>
        <w:rPr>
          <w:rFonts w:eastAsia="仿宋_GB2312"/>
          <w:sz w:val="32"/>
          <w:szCs w:val="32"/>
        </w:rPr>
        <w:t>548.69</w:t>
      </w:r>
      <w:r>
        <w:rPr>
          <w:rFonts w:eastAsia="仿宋_GB2312" w:hint="eastAsia"/>
          <w:sz w:val="32"/>
          <w:szCs w:val="32"/>
        </w:rPr>
        <w:t>万元。与</w:t>
      </w:r>
      <w:r>
        <w:rPr>
          <w:rFonts w:eastAsia="仿宋_GB2312"/>
          <w:sz w:val="32"/>
          <w:szCs w:val="32"/>
        </w:rPr>
        <w:t>2017</w:t>
      </w:r>
      <w:r>
        <w:rPr>
          <w:rFonts w:eastAsia="仿宋_GB2312" w:hint="eastAsia"/>
          <w:sz w:val="32"/>
          <w:szCs w:val="32"/>
        </w:rPr>
        <w:t>年度决算收入相比增加</w:t>
      </w:r>
      <w:r>
        <w:rPr>
          <w:rFonts w:eastAsia="仿宋_GB2312"/>
          <w:sz w:val="32"/>
          <w:szCs w:val="32"/>
        </w:rPr>
        <w:t>221.92</w:t>
      </w:r>
      <w:r>
        <w:rPr>
          <w:rFonts w:eastAsia="仿宋_GB2312" w:hint="eastAsia"/>
          <w:sz w:val="32"/>
          <w:szCs w:val="32"/>
        </w:rPr>
        <w:t>万元，增长</w:t>
      </w:r>
      <w:r>
        <w:rPr>
          <w:rFonts w:eastAsia="仿宋_GB2312"/>
          <w:sz w:val="32"/>
          <w:szCs w:val="32"/>
        </w:rPr>
        <w:t xml:space="preserve">63.15%, </w:t>
      </w:r>
      <w:r>
        <w:rPr>
          <w:rFonts w:eastAsia="仿宋_GB2312" w:hint="eastAsia"/>
          <w:sz w:val="32"/>
          <w:szCs w:val="32"/>
        </w:rPr>
        <w:t>决算支出比</w:t>
      </w:r>
      <w:r>
        <w:rPr>
          <w:rFonts w:eastAsia="仿宋_GB2312"/>
          <w:sz w:val="32"/>
          <w:szCs w:val="32"/>
        </w:rPr>
        <w:t>2017</w:t>
      </w:r>
      <w:r>
        <w:rPr>
          <w:rFonts w:eastAsia="仿宋_GB2312" w:hint="eastAsia"/>
          <w:sz w:val="32"/>
          <w:szCs w:val="32"/>
        </w:rPr>
        <w:t>年增加</w:t>
      </w:r>
      <w:r>
        <w:rPr>
          <w:rFonts w:eastAsia="仿宋_GB2312"/>
          <w:sz w:val="32"/>
          <w:szCs w:val="32"/>
        </w:rPr>
        <w:t>197.32</w:t>
      </w:r>
      <w:r>
        <w:rPr>
          <w:rFonts w:eastAsia="仿宋_GB2312" w:hint="eastAsia"/>
          <w:sz w:val="32"/>
          <w:szCs w:val="32"/>
        </w:rPr>
        <w:t>万元，增长</w:t>
      </w:r>
      <w:r>
        <w:rPr>
          <w:rFonts w:eastAsia="仿宋_GB2312"/>
          <w:sz w:val="32"/>
          <w:szCs w:val="32"/>
        </w:rPr>
        <w:t>56.15%</w:t>
      </w:r>
      <w:r>
        <w:rPr>
          <w:rFonts w:eastAsia="仿宋_GB2312" w:hint="eastAsia"/>
          <w:sz w:val="32"/>
          <w:szCs w:val="32"/>
        </w:rPr>
        <w:t>，主要原因是人员增加，业务量增加。</w:t>
      </w:r>
    </w:p>
    <w:p w:rsidR="003403F8" w:rsidRDefault="003403F8">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3403F8" w:rsidRDefault="003403F8">
      <w:pPr>
        <w:adjustRightInd w:val="0"/>
        <w:snapToGrid w:val="0"/>
        <w:spacing w:after="0" w:line="580" w:lineRule="exact"/>
        <w:ind w:firstLineChars="200" w:firstLine="640"/>
        <w:rPr>
          <w:rFonts w:eastAsia="仿宋_GB2312"/>
          <w:sz w:val="32"/>
          <w:szCs w:val="32"/>
        </w:rPr>
      </w:pPr>
      <w:r>
        <w:rPr>
          <w:rFonts w:eastAsia="仿宋_GB2312" w:hint="eastAsia"/>
          <w:sz w:val="32"/>
          <w:szCs w:val="32"/>
        </w:rPr>
        <w:t>本部门</w:t>
      </w:r>
      <w:r>
        <w:rPr>
          <w:rFonts w:eastAsia="仿宋_GB2312"/>
          <w:sz w:val="32"/>
          <w:szCs w:val="32"/>
        </w:rPr>
        <w:t>2018</w:t>
      </w:r>
      <w:r>
        <w:rPr>
          <w:rFonts w:eastAsia="仿宋_GB2312" w:hint="eastAsia"/>
          <w:sz w:val="32"/>
          <w:szCs w:val="32"/>
        </w:rPr>
        <w:t>年度本年收入合计</w:t>
      </w:r>
      <w:r>
        <w:rPr>
          <w:rFonts w:eastAsia="仿宋_GB2312"/>
          <w:sz w:val="32"/>
          <w:szCs w:val="32"/>
        </w:rPr>
        <w:t>573.29</w:t>
      </w:r>
      <w:r>
        <w:rPr>
          <w:rFonts w:eastAsia="仿宋_GB2312" w:hint="eastAsia"/>
          <w:sz w:val="32"/>
          <w:szCs w:val="32"/>
        </w:rPr>
        <w:t>万元，其中：财政拨款收入</w:t>
      </w:r>
      <w:r>
        <w:rPr>
          <w:rFonts w:eastAsia="仿宋_GB2312"/>
          <w:sz w:val="32"/>
          <w:szCs w:val="32"/>
        </w:rPr>
        <w:t>573.29</w:t>
      </w:r>
      <w:r>
        <w:rPr>
          <w:rFonts w:eastAsia="仿宋_GB2312" w:hint="eastAsia"/>
          <w:sz w:val="32"/>
          <w:szCs w:val="32"/>
        </w:rPr>
        <w:t>万元，占</w:t>
      </w:r>
      <w:r>
        <w:rPr>
          <w:rFonts w:eastAsia="仿宋_GB2312"/>
          <w:sz w:val="32"/>
          <w:szCs w:val="32"/>
        </w:rPr>
        <w:t>100%</w:t>
      </w:r>
      <w:r>
        <w:rPr>
          <w:rFonts w:eastAsia="仿宋_GB2312" w:hint="eastAsia"/>
          <w:sz w:val="32"/>
          <w:szCs w:val="32"/>
        </w:rPr>
        <w:t>；其他收入</w:t>
      </w:r>
      <w:r>
        <w:rPr>
          <w:rFonts w:eastAsia="仿宋_GB2312"/>
          <w:sz w:val="32"/>
          <w:szCs w:val="32"/>
        </w:rPr>
        <w:t>0</w:t>
      </w:r>
      <w:r>
        <w:rPr>
          <w:rFonts w:eastAsia="仿宋_GB2312" w:hint="eastAsia"/>
          <w:sz w:val="32"/>
          <w:szCs w:val="32"/>
        </w:rPr>
        <w:t>万元。</w:t>
      </w:r>
    </w:p>
    <w:p w:rsidR="003403F8" w:rsidRDefault="003403F8">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3403F8" w:rsidRDefault="003403F8">
      <w:pPr>
        <w:adjustRightInd w:val="0"/>
        <w:snapToGrid w:val="0"/>
        <w:spacing w:after="0" w:line="580" w:lineRule="exact"/>
        <w:ind w:firstLineChars="200" w:firstLine="640"/>
        <w:rPr>
          <w:rFonts w:eastAsia="仿宋_GB2312"/>
          <w:sz w:val="32"/>
          <w:szCs w:val="32"/>
        </w:rPr>
      </w:pPr>
      <w:r>
        <w:rPr>
          <w:rFonts w:eastAsia="仿宋_GB2312" w:hint="eastAsia"/>
          <w:sz w:val="32"/>
          <w:szCs w:val="32"/>
        </w:rPr>
        <w:t>本部门</w:t>
      </w:r>
      <w:r>
        <w:rPr>
          <w:rFonts w:eastAsia="仿宋_GB2312"/>
          <w:sz w:val="32"/>
          <w:szCs w:val="32"/>
        </w:rPr>
        <w:t>2018</w:t>
      </w:r>
      <w:r>
        <w:rPr>
          <w:rFonts w:eastAsia="仿宋_GB2312" w:hint="eastAsia"/>
          <w:sz w:val="32"/>
          <w:szCs w:val="32"/>
        </w:rPr>
        <w:t>年度本年支出合计</w:t>
      </w:r>
      <w:r>
        <w:rPr>
          <w:rFonts w:eastAsia="仿宋_GB2312"/>
          <w:sz w:val="32"/>
          <w:szCs w:val="32"/>
        </w:rPr>
        <w:t>548.69</w:t>
      </w:r>
      <w:r>
        <w:rPr>
          <w:rFonts w:eastAsia="仿宋_GB2312" w:hint="eastAsia"/>
          <w:sz w:val="32"/>
          <w:szCs w:val="32"/>
        </w:rPr>
        <w:t>万元，其中：基本支出</w:t>
      </w:r>
      <w:r>
        <w:rPr>
          <w:rFonts w:eastAsia="仿宋_GB2312"/>
          <w:sz w:val="32"/>
          <w:szCs w:val="32"/>
        </w:rPr>
        <w:t>477.26</w:t>
      </w:r>
      <w:r>
        <w:rPr>
          <w:rFonts w:eastAsia="仿宋_GB2312" w:hint="eastAsia"/>
          <w:sz w:val="32"/>
          <w:szCs w:val="32"/>
        </w:rPr>
        <w:t>万元，占</w:t>
      </w:r>
      <w:r>
        <w:rPr>
          <w:rFonts w:eastAsia="仿宋_GB2312"/>
          <w:sz w:val="32"/>
          <w:szCs w:val="32"/>
        </w:rPr>
        <w:t>85.0%</w:t>
      </w:r>
      <w:r>
        <w:rPr>
          <w:rFonts w:eastAsia="仿宋_GB2312" w:hint="eastAsia"/>
          <w:sz w:val="32"/>
          <w:szCs w:val="32"/>
        </w:rPr>
        <w:t>；项目支出</w:t>
      </w:r>
      <w:r>
        <w:rPr>
          <w:rFonts w:eastAsia="仿宋_GB2312"/>
          <w:sz w:val="32"/>
          <w:szCs w:val="32"/>
        </w:rPr>
        <w:t>71.43</w:t>
      </w:r>
      <w:r>
        <w:rPr>
          <w:rFonts w:eastAsia="仿宋_GB2312" w:hint="eastAsia"/>
          <w:sz w:val="32"/>
          <w:szCs w:val="32"/>
        </w:rPr>
        <w:t>万元，占</w:t>
      </w:r>
      <w:r>
        <w:rPr>
          <w:rFonts w:eastAsia="仿宋_GB2312"/>
          <w:sz w:val="32"/>
          <w:szCs w:val="32"/>
        </w:rPr>
        <w:t>15.0%</w:t>
      </w:r>
      <w:r>
        <w:rPr>
          <w:rFonts w:eastAsia="仿宋_GB2312" w:hint="eastAsia"/>
          <w:sz w:val="32"/>
          <w:szCs w:val="32"/>
        </w:rPr>
        <w:t>；经营支出</w:t>
      </w:r>
      <w:r>
        <w:rPr>
          <w:rFonts w:eastAsia="仿宋_GB2312"/>
          <w:sz w:val="32"/>
          <w:szCs w:val="32"/>
        </w:rPr>
        <w:t>0</w:t>
      </w:r>
      <w:r>
        <w:rPr>
          <w:rFonts w:eastAsia="仿宋_GB2312" w:hint="eastAsia"/>
          <w:sz w:val="32"/>
          <w:szCs w:val="32"/>
        </w:rPr>
        <w:t>万元。</w:t>
      </w:r>
    </w:p>
    <w:p w:rsidR="003403F8" w:rsidRDefault="003403F8">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rsidR="003403F8" w:rsidRDefault="003403F8" w:rsidP="00B76D46">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 xml:space="preserve">2017 </w:t>
      </w:r>
      <w:r>
        <w:rPr>
          <w:rFonts w:ascii="楷体_GB2312" w:eastAsia="楷体_GB2312" w:cs="DengXian-Bold" w:hint="eastAsia"/>
          <w:b/>
          <w:bCs/>
          <w:sz w:val="32"/>
          <w:szCs w:val="32"/>
        </w:rPr>
        <w:t>年度决算对比情况</w:t>
      </w:r>
    </w:p>
    <w:p w:rsidR="003403F8" w:rsidRDefault="003403F8">
      <w:pPr>
        <w:adjustRightInd w:val="0"/>
        <w:snapToGrid w:val="0"/>
        <w:spacing w:after="0" w:line="580" w:lineRule="exact"/>
        <w:ind w:firstLineChars="200" w:firstLine="640"/>
        <w:rPr>
          <w:rFonts w:eastAsia="仿宋_GB2312"/>
          <w:sz w:val="32"/>
          <w:szCs w:val="32"/>
        </w:rPr>
      </w:pPr>
      <w:r>
        <w:rPr>
          <w:rFonts w:eastAsia="仿宋_GB2312" w:hint="eastAsia"/>
          <w:sz w:val="32"/>
          <w:szCs w:val="32"/>
        </w:rPr>
        <w:t>本部门</w:t>
      </w:r>
      <w:r>
        <w:rPr>
          <w:rFonts w:eastAsia="仿宋_GB2312"/>
          <w:sz w:val="32"/>
          <w:szCs w:val="32"/>
        </w:rPr>
        <w:t>2018</w:t>
      </w:r>
      <w:r>
        <w:rPr>
          <w:rFonts w:eastAsia="仿宋_GB2312" w:hint="eastAsia"/>
          <w:sz w:val="32"/>
          <w:szCs w:val="32"/>
        </w:rPr>
        <w:t>年度形成的财政拨款收支均为一般公共预算财政拨款，其中一般公共预算财政拨款本年收入</w:t>
      </w:r>
      <w:r>
        <w:rPr>
          <w:rFonts w:eastAsia="仿宋_GB2312"/>
          <w:sz w:val="32"/>
          <w:szCs w:val="32"/>
        </w:rPr>
        <w:t>573.29</w:t>
      </w:r>
      <w:r>
        <w:rPr>
          <w:rFonts w:eastAsia="仿宋_GB2312" w:hint="eastAsia"/>
          <w:sz w:val="32"/>
          <w:szCs w:val="32"/>
        </w:rPr>
        <w:t>万元</w:t>
      </w:r>
      <w:r>
        <w:rPr>
          <w:rFonts w:eastAsia="仿宋_GB2312"/>
          <w:sz w:val="32"/>
          <w:szCs w:val="32"/>
        </w:rPr>
        <w:t>,</w:t>
      </w:r>
      <w:r>
        <w:rPr>
          <w:rFonts w:eastAsia="仿宋_GB2312" w:hint="eastAsia"/>
          <w:sz w:val="32"/>
          <w:szCs w:val="32"/>
        </w:rPr>
        <w:t>比</w:t>
      </w:r>
      <w:r>
        <w:rPr>
          <w:rFonts w:eastAsia="仿宋_GB2312"/>
          <w:sz w:val="32"/>
          <w:szCs w:val="32"/>
        </w:rPr>
        <w:t>2017</w:t>
      </w:r>
      <w:r>
        <w:rPr>
          <w:rFonts w:eastAsia="仿宋_GB2312" w:hint="eastAsia"/>
          <w:sz w:val="32"/>
          <w:szCs w:val="32"/>
        </w:rPr>
        <w:t>年度增加</w:t>
      </w:r>
      <w:r>
        <w:rPr>
          <w:rFonts w:eastAsia="仿宋_GB2312"/>
          <w:sz w:val="32"/>
          <w:szCs w:val="32"/>
        </w:rPr>
        <w:t>221.92</w:t>
      </w:r>
      <w:r>
        <w:rPr>
          <w:rFonts w:eastAsia="仿宋_GB2312" w:hint="eastAsia"/>
          <w:sz w:val="32"/>
          <w:szCs w:val="32"/>
        </w:rPr>
        <w:t>万元，增长</w:t>
      </w:r>
      <w:r>
        <w:rPr>
          <w:rFonts w:eastAsia="仿宋_GB2312"/>
          <w:sz w:val="32"/>
          <w:szCs w:val="32"/>
        </w:rPr>
        <w:t>63.2%</w:t>
      </w:r>
      <w:r>
        <w:rPr>
          <w:rFonts w:eastAsia="仿宋_GB2312" w:hint="eastAsia"/>
          <w:sz w:val="32"/>
          <w:szCs w:val="32"/>
        </w:rPr>
        <w:t>，主要原因是人员增加</w:t>
      </w:r>
      <w:r>
        <w:rPr>
          <w:rFonts w:eastAsia="仿宋_GB2312"/>
          <w:sz w:val="32"/>
          <w:szCs w:val="32"/>
        </w:rPr>
        <w:t>,</w:t>
      </w:r>
      <w:r>
        <w:rPr>
          <w:rFonts w:eastAsia="仿宋_GB2312" w:hint="eastAsia"/>
          <w:sz w:val="32"/>
          <w:szCs w:val="32"/>
        </w:rPr>
        <w:t>业务量增加；本年支出</w:t>
      </w:r>
      <w:r>
        <w:rPr>
          <w:rFonts w:eastAsia="仿宋_GB2312"/>
          <w:sz w:val="32"/>
          <w:szCs w:val="32"/>
        </w:rPr>
        <w:t>548.69</w:t>
      </w:r>
      <w:r>
        <w:rPr>
          <w:rFonts w:eastAsia="仿宋_GB2312" w:hint="eastAsia"/>
          <w:sz w:val="32"/>
          <w:szCs w:val="32"/>
        </w:rPr>
        <w:t>万元，增加</w:t>
      </w:r>
      <w:r>
        <w:rPr>
          <w:rFonts w:eastAsia="仿宋_GB2312"/>
          <w:sz w:val="32"/>
          <w:szCs w:val="32"/>
        </w:rPr>
        <w:t>197.32</w:t>
      </w:r>
      <w:r>
        <w:rPr>
          <w:rFonts w:eastAsia="仿宋_GB2312" w:hint="eastAsia"/>
          <w:sz w:val="32"/>
          <w:szCs w:val="32"/>
        </w:rPr>
        <w:t>万元，增长</w:t>
      </w:r>
      <w:r>
        <w:rPr>
          <w:rFonts w:eastAsia="仿宋_GB2312"/>
          <w:sz w:val="32"/>
          <w:szCs w:val="32"/>
        </w:rPr>
        <w:t>56.2%</w:t>
      </w:r>
      <w:r>
        <w:rPr>
          <w:rFonts w:eastAsia="仿宋_GB2312" w:hint="eastAsia"/>
          <w:sz w:val="32"/>
          <w:szCs w:val="32"/>
        </w:rPr>
        <w:t>，主要原因是人员增加，业务量增加。</w:t>
      </w:r>
    </w:p>
    <w:p w:rsidR="003403F8" w:rsidRDefault="003403F8" w:rsidP="00B76D46">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3403F8" w:rsidRDefault="003403F8">
      <w:pPr>
        <w:adjustRightInd w:val="0"/>
        <w:snapToGrid w:val="0"/>
        <w:spacing w:after="0" w:line="580" w:lineRule="exact"/>
        <w:ind w:firstLineChars="200" w:firstLine="640"/>
        <w:rPr>
          <w:rFonts w:eastAsia="仿宋_GB2312"/>
          <w:sz w:val="32"/>
          <w:szCs w:val="32"/>
        </w:rPr>
      </w:pPr>
      <w:r>
        <w:rPr>
          <w:rFonts w:eastAsia="仿宋_GB2312" w:hint="eastAsia"/>
          <w:sz w:val="32"/>
          <w:szCs w:val="32"/>
        </w:rPr>
        <w:t>本部门</w:t>
      </w:r>
      <w:r>
        <w:rPr>
          <w:rFonts w:eastAsia="仿宋_GB2312"/>
          <w:sz w:val="32"/>
          <w:szCs w:val="32"/>
        </w:rPr>
        <w:t>2018</w:t>
      </w:r>
      <w:r>
        <w:rPr>
          <w:rFonts w:eastAsia="仿宋_GB2312" w:hint="eastAsia"/>
          <w:sz w:val="32"/>
          <w:szCs w:val="32"/>
        </w:rPr>
        <w:t>年度一般公共预算财政拨款收入</w:t>
      </w:r>
      <w:r>
        <w:rPr>
          <w:rFonts w:eastAsia="仿宋_GB2312"/>
          <w:sz w:val="32"/>
          <w:szCs w:val="32"/>
        </w:rPr>
        <w:t>573.29</w:t>
      </w:r>
      <w:r>
        <w:rPr>
          <w:rFonts w:eastAsia="仿宋_GB2312" w:hint="eastAsia"/>
          <w:sz w:val="32"/>
          <w:szCs w:val="32"/>
        </w:rPr>
        <w:t>万元，</w:t>
      </w:r>
      <w:r>
        <w:rPr>
          <w:rFonts w:eastAsia="仿宋_GB2312" w:hint="eastAsia"/>
          <w:sz w:val="32"/>
          <w:szCs w:val="32"/>
        </w:rPr>
        <w:lastRenderedPageBreak/>
        <w:t>完成年初预算的</w:t>
      </w:r>
      <w:r>
        <w:rPr>
          <w:rFonts w:eastAsia="仿宋_GB2312"/>
          <w:sz w:val="32"/>
          <w:szCs w:val="32"/>
        </w:rPr>
        <w:t>1</w:t>
      </w:r>
      <w:r w:rsidR="004E7605">
        <w:rPr>
          <w:rFonts w:eastAsia="仿宋_GB2312" w:hint="eastAsia"/>
          <w:sz w:val="32"/>
          <w:szCs w:val="32"/>
        </w:rPr>
        <w:t>63.19</w:t>
      </w:r>
      <w:r>
        <w:rPr>
          <w:rFonts w:eastAsia="仿宋_GB2312"/>
          <w:sz w:val="32"/>
          <w:szCs w:val="32"/>
        </w:rPr>
        <w:t>%,</w:t>
      </w:r>
      <w:r>
        <w:rPr>
          <w:rFonts w:eastAsia="仿宋_GB2312" w:hint="eastAsia"/>
          <w:sz w:val="32"/>
          <w:szCs w:val="32"/>
        </w:rPr>
        <w:t>比年初预算增加</w:t>
      </w:r>
      <w:r>
        <w:rPr>
          <w:rFonts w:eastAsia="仿宋_GB2312"/>
          <w:sz w:val="32"/>
          <w:szCs w:val="32"/>
        </w:rPr>
        <w:t>221.93</w:t>
      </w:r>
      <w:r>
        <w:rPr>
          <w:rFonts w:eastAsia="仿宋_GB2312" w:hint="eastAsia"/>
          <w:sz w:val="32"/>
          <w:szCs w:val="32"/>
        </w:rPr>
        <w:t>万元，决算数大于预算数，主要原因是人员增加</w:t>
      </w:r>
      <w:r>
        <w:rPr>
          <w:rFonts w:eastAsia="仿宋_GB2312"/>
          <w:sz w:val="32"/>
          <w:szCs w:val="32"/>
        </w:rPr>
        <w:t>,</w:t>
      </w:r>
      <w:r>
        <w:rPr>
          <w:rFonts w:eastAsia="仿宋_GB2312" w:hint="eastAsia"/>
          <w:sz w:val="32"/>
          <w:szCs w:val="32"/>
        </w:rPr>
        <w:t>业务量增加；本年支出</w:t>
      </w:r>
      <w:r>
        <w:rPr>
          <w:rFonts w:eastAsia="仿宋_GB2312"/>
          <w:sz w:val="32"/>
          <w:szCs w:val="32"/>
        </w:rPr>
        <w:t>548.69</w:t>
      </w:r>
      <w:r>
        <w:rPr>
          <w:rFonts w:eastAsia="仿宋_GB2312" w:hint="eastAsia"/>
          <w:sz w:val="32"/>
          <w:szCs w:val="32"/>
        </w:rPr>
        <w:t>万元，完成年初预算的</w:t>
      </w:r>
      <w:r>
        <w:rPr>
          <w:rFonts w:eastAsia="仿宋_GB2312"/>
          <w:sz w:val="32"/>
          <w:szCs w:val="32"/>
        </w:rPr>
        <w:t>1</w:t>
      </w:r>
      <w:r w:rsidR="004E7605">
        <w:rPr>
          <w:rFonts w:eastAsia="仿宋_GB2312" w:hint="eastAsia"/>
          <w:sz w:val="32"/>
          <w:szCs w:val="32"/>
        </w:rPr>
        <w:t>56.16</w:t>
      </w:r>
      <w:r>
        <w:rPr>
          <w:rFonts w:eastAsia="仿宋_GB2312"/>
          <w:sz w:val="32"/>
          <w:szCs w:val="32"/>
        </w:rPr>
        <w:t>%,</w:t>
      </w:r>
      <w:r>
        <w:rPr>
          <w:rFonts w:eastAsia="仿宋_GB2312" w:hint="eastAsia"/>
          <w:sz w:val="32"/>
          <w:szCs w:val="32"/>
        </w:rPr>
        <w:t>比年初预算增加</w:t>
      </w:r>
      <w:r>
        <w:rPr>
          <w:rFonts w:eastAsia="仿宋_GB2312"/>
          <w:sz w:val="32"/>
          <w:szCs w:val="32"/>
        </w:rPr>
        <w:t>197.32</w:t>
      </w:r>
      <w:r>
        <w:rPr>
          <w:rFonts w:eastAsia="仿宋_GB2312" w:hint="eastAsia"/>
          <w:sz w:val="32"/>
          <w:szCs w:val="32"/>
        </w:rPr>
        <w:t>万元，决算数大于预算数，主要原因是人员增加</w:t>
      </w:r>
      <w:r>
        <w:rPr>
          <w:rFonts w:eastAsia="仿宋_GB2312"/>
          <w:sz w:val="32"/>
          <w:szCs w:val="32"/>
        </w:rPr>
        <w:t>,</w:t>
      </w:r>
      <w:r>
        <w:rPr>
          <w:rFonts w:eastAsia="仿宋_GB2312" w:hint="eastAsia"/>
          <w:sz w:val="32"/>
          <w:szCs w:val="32"/>
        </w:rPr>
        <w:t>业务量增加。</w:t>
      </w:r>
    </w:p>
    <w:p w:rsidR="003403F8" w:rsidRDefault="003403F8">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3403F8" w:rsidRDefault="003403F8">
      <w:pPr>
        <w:widowControl/>
        <w:spacing w:line="580" w:lineRule="exact"/>
        <w:ind w:firstLineChars="200" w:firstLine="640"/>
        <w:rPr>
          <w:rFonts w:eastAsia="仿宋_GB2312"/>
          <w:sz w:val="32"/>
          <w:szCs w:val="32"/>
        </w:rPr>
      </w:pPr>
      <w:r>
        <w:rPr>
          <w:rFonts w:eastAsia="仿宋_GB2312"/>
          <w:sz w:val="32"/>
          <w:szCs w:val="32"/>
        </w:rPr>
        <w:t xml:space="preserve">2018 </w:t>
      </w:r>
      <w:r>
        <w:rPr>
          <w:rFonts w:eastAsia="仿宋_GB2312" w:hint="eastAsia"/>
          <w:sz w:val="32"/>
          <w:szCs w:val="32"/>
        </w:rPr>
        <w:t>年度财政拨款支出</w:t>
      </w:r>
      <w:r>
        <w:rPr>
          <w:rFonts w:eastAsia="仿宋_GB2312"/>
          <w:sz w:val="32"/>
          <w:szCs w:val="32"/>
        </w:rPr>
        <w:t>548.69</w:t>
      </w:r>
      <w:r>
        <w:rPr>
          <w:rFonts w:eastAsia="仿宋_GB2312" w:hint="eastAsia"/>
          <w:sz w:val="32"/>
          <w:szCs w:val="32"/>
        </w:rPr>
        <w:t>万元，按功能分类主要用于以下方面：公共安全（类）支出</w:t>
      </w:r>
      <w:r>
        <w:rPr>
          <w:rFonts w:eastAsia="仿宋_GB2312"/>
          <w:sz w:val="32"/>
          <w:szCs w:val="32"/>
        </w:rPr>
        <w:t xml:space="preserve">409.97 </w:t>
      </w:r>
      <w:r>
        <w:rPr>
          <w:rFonts w:eastAsia="仿宋_GB2312" w:hint="eastAsia"/>
          <w:sz w:val="32"/>
          <w:szCs w:val="32"/>
        </w:rPr>
        <w:t>万元，占</w:t>
      </w:r>
      <w:r>
        <w:rPr>
          <w:rFonts w:eastAsia="仿宋_GB2312"/>
          <w:sz w:val="32"/>
          <w:szCs w:val="32"/>
        </w:rPr>
        <w:t>74.7%</w:t>
      </w:r>
      <w:r>
        <w:rPr>
          <w:rFonts w:eastAsia="仿宋_GB2312" w:hint="eastAsia"/>
          <w:sz w:val="32"/>
          <w:szCs w:val="32"/>
        </w:rPr>
        <w:t>；社会保障和就业（类）支出</w:t>
      </w:r>
      <w:r>
        <w:rPr>
          <w:rFonts w:eastAsia="仿宋_GB2312"/>
          <w:sz w:val="32"/>
          <w:szCs w:val="32"/>
        </w:rPr>
        <w:t>110.62</w:t>
      </w:r>
      <w:r>
        <w:rPr>
          <w:rFonts w:eastAsia="仿宋_GB2312" w:hint="eastAsia"/>
          <w:sz w:val="32"/>
          <w:szCs w:val="32"/>
        </w:rPr>
        <w:t>万元，占</w:t>
      </w:r>
      <w:r>
        <w:rPr>
          <w:rFonts w:eastAsia="仿宋_GB2312"/>
          <w:sz w:val="32"/>
          <w:szCs w:val="32"/>
        </w:rPr>
        <w:t>20.2%</w:t>
      </w:r>
      <w:r>
        <w:rPr>
          <w:rFonts w:eastAsia="仿宋_GB2312" w:hint="eastAsia"/>
          <w:sz w:val="32"/>
          <w:szCs w:val="32"/>
        </w:rPr>
        <w:t>；医疗卫生与计划生育（类）支出</w:t>
      </w:r>
      <w:r>
        <w:rPr>
          <w:rFonts w:eastAsia="仿宋_GB2312"/>
          <w:sz w:val="32"/>
          <w:szCs w:val="32"/>
        </w:rPr>
        <w:t>10.44</w:t>
      </w:r>
      <w:r>
        <w:rPr>
          <w:rFonts w:eastAsia="仿宋_GB2312" w:hint="eastAsia"/>
          <w:sz w:val="32"/>
          <w:szCs w:val="32"/>
        </w:rPr>
        <w:t>万元，占</w:t>
      </w:r>
      <w:r>
        <w:rPr>
          <w:rFonts w:eastAsia="仿宋_GB2312"/>
          <w:sz w:val="32"/>
          <w:szCs w:val="32"/>
        </w:rPr>
        <w:t>1.9%</w:t>
      </w:r>
      <w:r>
        <w:rPr>
          <w:rFonts w:eastAsia="仿宋_GB2312" w:hint="eastAsia"/>
          <w:sz w:val="32"/>
          <w:szCs w:val="32"/>
        </w:rPr>
        <w:t>；住房保障（类）</w:t>
      </w:r>
      <w:r>
        <w:rPr>
          <w:rFonts w:eastAsia="仿宋_GB2312"/>
          <w:sz w:val="32"/>
          <w:szCs w:val="32"/>
        </w:rPr>
        <w:t>17.64</w:t>
      </w:r>
      <w:r>
        <w:rPr>
          <w:rFonts w:eastAsia="仿宋_GB2312" w:hint="eastAsia"/>
          <w:sz w:val="32"/>
          <w:szCs w:val="32"/>
        </w:rPr>
        <w:t>万元，占</w:t>
      </w:r>
      <w:r>
        <w:rPr>
          <w:rFonts w:eastAsia="仿宋_GB2312"/>
          <w:sz w:val="32"/>
          <w:szCs w:val="32"/>
        </w:rPr>
        <w:t>3.2%.</w:t>
      </w:r>
    </w:p>
    <w:p w:rsidR="003403F8" w:rsidRDefault="003403F8" w:rsidP="00B76D46">
      <w:pPr>
        <w:adjustRightInd w:val="0"/>
        <w:snapToGrid w:val="0"/>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3403F8" w:rsidRDefault="003403F8">
      <w:pPr>
        <w:widowControl/>
        <w:spacing w:line="580" w:lineRule="exact"/>
        <w:ind w:firstLineChars="200" w:firstLine="640"/>
        <w:rPr>
          <w:rFonts w:ascii="仿宋_GB2312" w:eastAsia="仿宋_GB2312" w:cs="DengXian-Regular"/>
          <w:sz w:val="32"/>
          <w:szCs w:val="32"/>
        </w:rPr>
      </w:pPr>
      <w:r>
        <w:rPr>
          <w:rFonts w:eastAsia="仿宋_GB2312"/>
          <w:sz w:val="32"/>
          <w:szCs w:val="32"/>
        </w:rPr>
        <w:t xml:space="preserve">2018 </w:t>
      </w:r>
      <w:r>
        <w:rPr>
          <w:rFonts w:eastAsia="仿宋_GB2312" w:hint="eastAsia"/>
          <w:sz w:val="32"/>
          <w:szCs w:val="32"/>
        </w:rPr>
        <w:t>年度一般公共预算财政拨款基本支出</w:t>
      </w:r>
      <w:r>
        <w:rPr>
          <w:rFonts w:eastAsia="仿宋_GB2312"/>
          <w:sz w:val="32"/>
          <w:szCs w:val="32"/>
        </w:rPr>
        <w:t>477.26</w:t>
      </w:r>
      <w:r>
        <w:rPr>
          <w:rFonts w:eastAsia="仿宋_GB2312" w:hint="eastAsia"/>
          <w:sz w:val="32"/>
          <w:szCs w:val="32"/>
        </w:rPr>
        <w:t>万元，其中：人员经费</w:t>
      </w:r>
      <w:r>
        <w:rPr>
          <w:rFonts w:eastAsia="仿宋_GB2312"/>
          <w:sz w:val="32"/>
          <w:szCs w:val="32"/>
        </w:rPr>
        <w:t xml:space="preserve"> 468.67</w:t>
      </w:r>
      <w:r>
        <w:rPr>
          <w:rFonts w:eastAsia="仿宋_GB2312"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eastAsia="仿宋_GB2312"/>
          <w:sz w:val="32"/>
          <w:szCs w:val="32"/>
        </w:rPr>
        <w:t>8.58</w:t>
      </w:r>
      <w:r>
        <w:rPr>
          <w:rFonts w:eastAsia="仿宋_GB2312" w:hint="eastAsia"/>
          <w:sz w:val="32"/>
          <w:szCs w:val="32"/>
        </w:rPr>
        <w:t>万元，主要包括办公费、印刷费、咨询费、手续费、水费、电费、邮电费、取暖费、物业管理费、差旅费、维修（护）费、租赁费、会议费、培训费、专用材料费、劳务费、委托业务费、工会经费、福利费、</w:t>
      </w:r>
      <w:r>
        <w:rPr>
          <w:rFonts w:eastAsia="仿宋_GB2312" w:hint="eastAsia"/>
          <w:sz w:val="32"/>
          <w:szCs w:val="32"/>
        </w:rPr>
        <w:lastRenderedPageBreak/>
        <w:t>公务用车运行维护费、其他交通费用、税金及附加费用、其他商品和服务支出、办公设备购置、专用设备购置、信息网络及软件购置更新、公务用车购置、其他资本性支出等。</w:t>
      </w:r>
    </w:p>
    <w:p w:rsidR="003403F8" w:rsidRDefault="003403F8">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b w:val="0"/>
          <w:bCs w:val="0"/>
        </w:rPr>
        <w:t xml:space="preserve"> </w:t>
      </w:r>
      <w:r>
        <w:rPr>
          <w:rFonts w:ascii="黑体" w:eastAsia="黑体" w:hint="eastAsia"/>
          <w:b w:val="0"/>
          <w:bCs w:val="0"/>
        </w:rPr>
        <w:t>经费支出决算情况说明</w:t>
      </w:r>
    </w:p>
    <w:p w:rsidR="003403F8" w:rsidRDefault="003403F8">
      <w:pPr>
        <w:widowControl/>
        <w:spacing w:line="580" w:lineRule="exact"/>
        <w:ind w:firstLineChars="200" w:firstLine="640"/>
        <w:rPr>
          <w:rFonts w:eastAsia="仿宋_GB2312"/>
          <w:sz w:val="32"/>
          <w:szCs w:val="32"/>
        </w:rPr>
      </w:pPr>
      <w:r>
        <w:rPr>
          <w:rFonts w:eastAsia="仿宋_GB2312" w:hint="eastAsia"/>
          <w:sz w:val="32"/>
          <w:szCs w:val="32"/>
        </w:rPr>
        <w:t>本部门</w:t>
      </w:r>
      <w:r>
        <w:rPr>
          <w:rFonts w:eastAsia="仿宋_GB2312"/>
          <w:sz w:val="32"/>
          <w:szCs w:val="32"/>
        </w:rPr>
        <w:t>2018</w:t>
      </w:r>
      <w:r>
        <w:rPr>
          <w:rFonts w:eastAsia="仿宋_GB2312" w:hint="eastAsia"/>
          <w:sz w:val="32"/>
          <w:szCs w:val="32"/>
        </w:rPr>
        <w:t>年度一般公共预算财政拨款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经费支出共计</w:t>
      </w:r>
      <w:r>
        <w:rPr>
          <w:rFonts w:eastAsia="仿宋_GB2312"/>
          <w:sz w:val="32"/>
          <w:szCs w:val="32"/>
        </w:rPr>
        <w:t>2.57</w:t>
      </w:r>
      <w:r>
        <w:rPr>
          <w:rFonts w:eastAsia="仿宋_GB2312" w:hint="eastAsia"/>
          <w:sz w:val="32"/>
          <w:szCs w:val="32"/>
        </w:rPr>
        <w:t>万元，比年初预算增加</w:t>
      </w:r>
      <w:r>
        <w:rPr>
          <w:rFonts w:eastAsia="仿宋_GB2312"/>
          <w:sz w:val="32"/>
          <w:szCs w:val="32"/>
        </w:rPr>
        <w:t>1.76</w:t>
      </w:r>
      <w:r>
        <w:rPr>
          <w:rFonts w:eastAsia="仿宋_GB2312" w:hint="eastAsia"/>
          <w:sz w:val="32"/>
          <w:szCs w:val="32"/>
        </w:rPr>
        <w:t>万元，增长</w:t>
      </w:r>
      <w:r>
        <w:rPr>
          <w:rFonts w:eastAsia="仿宋_GB2312"/>
          <w:sz w:val="32"/>
          <w:szCs w:val="32"/>
        </w:rPr>
        <w:t>123. 5%</w:t>
      </w:r>
      <w:r>
        <w:rPr>
          <w:rFonts w:eastAsia="仿宋_GB2312" w:hint="eastAsia"/>
          <w:sz w:val="32"/>
          <w:szCs w:val="32"/>
        </w:rPr>
        <w:t>，主要原因是人员增加，工作人员因公出差、参加会议、开展调查研究、履行各种智能等业务过程中交通问题所需的汽油维护费和车辆保养等费用；比</w:t>
      </w:r>
      <w:r>
        <w:rPr>
          <w:rFonts w:eastAsia="仿宋_GB2312"/>
          <w:sz w:val="32"/>
          <w:szCs w:val="32"/>
        </w:rPr>
        <w:t>2017</w:t>
      </w:r>
      <w:r>
        <w:rPr>
          <w:rFonts w:eastAsia="仿宋_GB2312" w:hint="eastAsia"/>
          <w:sz w:val="32"/>
          <w:szCs w:val="32"/>
        </w:rPr>
        <w:t>年度决算增加</w:t>
      </w:r>
      <w:r>
        <w:rPr>
          <w:rFonts w:eastAsia="仿宋_GB2312"/>
          <w:sz w:val="32"/>
          <w:szCs w:val="32"/>
        </w:rPr>
        <w:t>1.76</w:t>
      </w:r>
      <w:r>
        <w:rPr>
          <w:rFonts w:eastAsia="仿宋_GB2312" w:hint="eastAsia"/>
          <w:sz w:val="32"/>
          <w:szCs w:val="32"/>
        </w:rPr>
        <w:t>万元，增长</w:t>
      </w:r>
      <w:r>
        <w:rPr>
          <w:rFonts w:eastAsia="仿宋_GB2312"/>
          <w:sz w:val="32"/>
          <w:szCs w:val="32"/>
        </w:rPr>
        <w:t>123.5%</w:t>
      </w:r>
      <w:r>
        <w:rPr>
          <w:rFonts w:eastAsia="仿宋_GB2312" w:hint="eastAsia"/>
          <w:sz w:val="32"/>
          <w:szCs w:val="32"/>
        </w:rPr>
        <w:t>，主要原因是人员增加，工作人员因公出差、参加会议、开展调查研究、履行各种智能等业务过程中交通问题所需的汽油维护费和车辆保养等费用。具体情况如下：</w:t>
      </w:r>
    </w:p>
    <w:p w:rsidR="0044607D" w:rsidRPr="00246D99" w:rsidRDefault="003403F8" w:rsidP="0044607D">
      <w:pPr>
        <w:adjustRightInd w:val="0"/>
        <w:snapToGrid w:val="0"/>
        <w:spacing w:line="584" w:lineRule="exact"/>
        <w:ind w:firstLineChars="200" w:firstLine="643"/>
        <w:rPr>
          <w:rFonts w:eastAsia="仿宋_GB2312"/>
          <w:sz w:val="32"/>
          <w:szCs w:val="32"/>
          <w:highlight w:val="yellow"/>
        </w:rPr>
      </w:pPr>
      <w:r>
        <w:rPr>
          <w:rFonts w:eastAsia="楷体_GB2312" w:hint="eastAsia"/>
          <w:b/>
          <w:bCs/>
          <w:sz w:val="32"/>
          <w:szCs w:val="32"/>
        </w:rPr>
        <w:t>（一）</w:t>
      </w:r>
      <w:r w:rsidR="0044607D" w:rsidRPr="00C92D15">
        <w:rPr>
          <w:rFonts w:eastAsia="楷体_GB2312"/>
          <w:b/>
          <w:bCs/>
          <w:sz w:val="32"/>
          <w:szCs w:val="32"/>
        </w:rPr>
        <w:t>因公出国（境）费支出</w:t>
      </w:r>
      <w:r w:rsidR="0044607D">
        <w:rPr>
          <w:rFonts w:eastAsia="楷体_GB2312" w:hint="eastAsia"/>
          <w:b/>
          <w:bCs/>
          <w:sz w:val="32"/>
          <w:szCs w:val="32"/>
        </w:rPr>
        <w:t>0</w:t>
      </w:r>
      <w:r w:rsidR="0044607D" w:rsidRPr="00C92D15">
        <w:rPr>
          <w:rFonts w:eastAsia="楷体_GB2312"/>
          <w:b/>
          <w:bCs/>
          <w:sz w:val="32"/>
          <w:szCs w:val="32"/>
        </w:rPr>
        <w:t>万元。</w:t>
      </w:r>
      <w:r w:rsidR="0044607D" w:rsidRPr="00C92D15">
        <w:rPr>
          <w:rFonts w:eastAsia="仿宋_GB2312"/>
          <w:sz w:val="32"/>
          <w:szCs w:val="32"/>
        </w:rPr>
        <w:t>本部门</w:t>
      </w:r>
      <w:r w:rsidR="0044607D" w:rsidRPr="00C92D15">
        <w:rPr>
          <w:rFonts w:eastAsia="仿宋_GB2312"/>
          <w:sz w:val="32"/>
          <w:szCs w:val="32"/>
        </w:rPr>
        <w:t>201</w:t>
      </w:r>
      <w:r w:rsidR="0044607D" w:rsidRPr="00C92D15">
        <w:rPr>
          <w:rFonts w:eastAsia="仿宋_GB2312" w:hint="eastAsia"/>
          <w:sz w:val="32"/>
          <w:szCs w:val="32"/>
        </w:rPr>
        <w:t>8</w:t>
      </w:r>
      <w:r w:rsidR="0044607D" w:rsidRPr="00C92D15">
        <w:rPr>
          <w:rFonts w:eastAsia="仿宋_GB2312"/>
          <w:sz w:val="32"/>
          <w:szCs w:val="32"/>
        </w:rPr>
        <w:t>年度</w:t>
      </w:r>
      <w:r w:rsidR="0044607D" w:rsidRPr="00C92D15">
        <w:rPr>
          <w:rFonts w:ascii="仿宋_GB2312" w:eastAsia="仿宋_GB2312" w:cs="DengXian-Regular" w:hint="eastAsia"/>
          <w:sz w:val="32"/>
          <w:szCs w:val="32"/>
        </w:rPr>
        <w:t>因公出国（境）团组</w:t>
      </w:r>
      <w:r w:rsidR="0044607D">
        <w:rPr>
          <w:rFonts w:ascii="仿宋_GB2312" w:eastAsia="仿宋_GB2312" w:cs="DengXian-Regular" w:hint="eastAsia"/>
          <w:sz w:val="32"/>
          <w:szCs w:val="32"/>
        </w:rPr>
        <w:t>0</w:t>
      </w:r>
      <w:r w:rsidR="0044607D" w:rsidRPr="00C92D15">
        <w:rPr>
          <w:rFonts w:ascii="仿宋_GB2312" w:eastAsia="仿宋_GB2312" w:cs="DengXian-Regular" w:hint="eastAsia"/>
          <w:sz w:val="32"/>
          <w:szCs w:val="32"/>
        </w:rPr>
        <w:t>个、共</w:t>
      </w:r>
      <w:r w:rsidR="0044607D">
        <w:rPr>
          <w:rFonts w:ascii="仿宋_GB2312" w:eastAsia="仿宋_GB2312" w:cs="DengXian-Regular" w:hint="eastAsia"/>
          <w:sz w:val="32"/>
          <w:szCs w:val="32"/>
        </w:rPr>
        <w:t>0</w:t>
      </w:r>
      <w:r w:rsidR="0044607D" w:rsidRPr="00C92D15">
        <w:rPr>
          <w:rFonts w:ascii="仿宋_GB2312" w:eastAsia="仿宋_GB2312" w:cs="DengXian-Regular" w:hint="eastAsia"/>
          <w:sz w:val="32"/>
          <w:szCs w:val="32"/>
        </w:rPr>
        <w:t>人/参加其他单位组织的因公出国（境）团组</w:t>
      </w:r>
      <w:r w:rsidR="0044607D">
        <w:rPr>
          <w:rFonts w:ascii="仿宋_GB2312" w:eastAsia="仿宋_GB2312" w:cs="DengXian-Regular" w:hint="eastAsia"/>
          <w:sz w:val="32"/>
          <w:szCs w:val="32"/>
        </w:rPr>
        <w:t>0</w:t>
      </w:r>
      <w:r w:rsidR="0044607D" w:rsidRPr="00C92D15">
        <w:rPr>
          <w:rFonts w:ascii="仿宋_GB2312" w:eastAsia="仿宋_GB2312" w:cs="DengXian-Regular" w:hint="eastAsia"/>
          <w:sz w:val="32"/>
          <w:szCs w:val="32"/>
        </w:rPr>
        <w:t>个、共</w:t>
      </w:r>
      <w:r w:rsidR="0044607D">
        <w:rPr>
          <w:rFonts w:ascii="仿宋_GB2312" w:eastAsia="仿宋_GB2312" w:cs="DengXian-Regular" w:hint="eastAsia"/>
          <w:sz w:val="32"/>
          <w:szCs w:val="32"/>
        </w:rPr>
        <w:t>0</w:t>
      </w:r>
      <w:r w:rsidR="0044607D" w:rsidRPr="00C92D15">
        <w:rPr>
          <w:rFonts w:ascii="仿宋_GB2312" w:eastAsia="仿宋_GB2312" w:cs="DengXian-Regular" w:hint="eastAsia"/>
          <w:sz w:val="32"/>
          <w:szCs w:val="32"/>
        </w:rPr>
        <w:t>人/无本单位组织的出国（境）团组。</w:t>
      </w:r>
      <w:r w:rsidR="0044607D" w:rsidRPr="00C92D15">
        <w:rPr>
          <w:rFonts w:eastAsia="仿宋_GB2312"/>
          <w:sz w:val="32"/>
          <w:szCs w:val="32"/>
        </w:rPr>
        <w:t>因公出国（境）费支出</w:t>
      </w:r>
      <w:r w:rsidR="0044607D">
        <w:rPr>
          <w:rFonts w:eastAsia="仿宋_GB2312" w:hint="eastAsia"/>
          <w:sz w:val="32"/>
          <w:szCs w:val="32"/>
        </w:rPr>
        <w:t>比</w:t>
      </w:r>
      <w:r w:rsidR="0044607D" w:rsidRPr="00C92D15">
        <w:rPr>
          <w:rFonts w:eastAsia="仿宋_GB2312"/>
          <w:sz w:val="32"/>
          <w:szCs w:val="32"/>
        </w:rPr>
        <w:t>年初预算增加</w:t>
      </w:r>
      <w:r w:rsidR="0044607D">
        <w:rPr>
          <w:rFonts w:eastAsia="仿宋_GB2312" w:hint="eastAsia"/>
          <w:sz w:val="32"/>
          <w:szCs w:val="32"/>
        </w:rPr>
        <w:t>0</w:t>
      </w:r>
      <w:r w:rsidR="0044607D" w:rsidRPr="00C92D15">
        <w:rPr>
          <w:rFonts w:eastAsia="仿宋_GB2312"/>
          <w:sz w:val="32"/>
          <w:szCs w:val="32"/>
        </w:rPr>
        <w:t>万元，增长</w:t>
      </w:r>
      <w:r w:rsidR="0044607D">
        <w:rPr>
          <w:rFonts w:eastAsia="仿宋_GB2312" w:hint="eastAsia"/>
          <w:sz w:val="32"/>
          <w:szCs w:val="32"/>
        </w:rPr>
        <w:t>0</w:t>
      </w:r>
      <w:r w:rsidR="0044607D" w:rsidRPr="00C92D15">
        <w:rPr>
          <w:rFonts w:eastAsia="仿宋_GB2312"/>
          <w:sz w:val="32"/>
          <w:szCs w:val="32"/>
        </w:rPr>
        <w:t>%</w:t>
      </w:r>
      <w:r w:rsidR="0044607D" w:rsidRPr="00C92D15">
        <w:rPr>
          <w:rFonts w:eastAsia="仿宋_GB2312"/>
          <w:sz w:val="32"/>
          <w:szCs w:val="32"/>
        </w:rPr>
        <w:t>，主要是</w:t>
      </w:r>
      <w:r w:rsidR="0044607D">
        <w:rPr>
          <w:rFonts w:eastAsia="仿宋_GB2312" w:hint="eastAsia"/>
          <w:sz w:val="32"/>
          <w:szCs w:val="32"/>
        </w:rPr>
        <w:t>未发生因公出国（境）费支出</w:t>
      </w:r>
      <w:r w:rsidR="0044607D" w:rsidRPr="00C92D15">
        <w:rPr>
          <w:rFonts w:eastAsia="仿宋_GB2312"/>
          <w:sz w:val="32"/>
          <w:szCs w:val="32"/>
        </w:rPr>
        <w:t>；</w:t>
      </w:r>
      <w:r w:rsidR="0044607D">
        <w:rPr>
          <w:rFonts w:eastAsia="仿宋_GB2312" w:hint="eastAsia"/>
          <w:sz w:val="32"/>
          <w:szCs w:val="32"/>
        </w:rPr>
        <w:t>比</w:t>
      </w:r>
      <w:r w:rsidR="0044607D" w:rsidRPr="00C92D15">
        <w:rPr>
          <w:rFonts w:eastAsia="仿宋_GB2312"/>
          <w:sz w:val="32"/>
          <w:szCs w:val="32"/>
        </w:rPr>
        <w:t>201</w:t>
      </w:r>
      <w:r w:rsidR="0044607D" w:rsidRPr="00C92D15">
        <w:rPr>
          <w:rFonts w:eastAsia="仿宋_GB2312" w:hint="eastAsia"/>
          <w:sz w:val="32"/>
          <w:szCs w:val="32"/>
        </w:rPr>
        <w:t>7</w:t>
      </w:r>
      <w:r w:rsidR="0044607D" w:rsidRPr="00C92D15">
        <w:rPr>
          <w:rFonts w:eastAsia="仿宋_GB2312"/>
          <w:sz w:val="32"/>
          <w:szCs w:val="32"/>
        </w:rPr>
        <w:t>年度决算增加</w:t>
      </w:r>
      <w:r w:rsidR="0044607D">
        <w:rPr>
          <w:rFonts w:eastAsia="仿宋_GB2312" w:hint="eastAsia"/>
          <w:sz w:val="32"/>
          <w:szCs w:val="32"/>
        </w:rPr>
        <w:t>0</w:t>
      </w:r>
      <w:r w:rsidR="0044607D" w:rsidRPr="00C92D15">
        <w:rPr>
          <w:rFonts w:eastAsia="仿宋_GB2312"/>
          <w:sz w:val="32"/>
          <w:szCs w:val="32"/>
        </w:rPr>
        <w:t>万元，增长</w:t>
      </w:r>
      <w:r w:rsidR="0044607D">
        <w:rPr>
          <w:rFonts w:eastAsia="仿宋_GB2312" w:hint="eastAsia"/>
          <w:sz w:val="32"/>
          <w:szCs w:val="32"/>
        </w:rPr>
        <w:t>0</w:t>
      </w:r>
      <w:r w:rsidR="0044607D" w:rsidRPr="00C92D15">
        <w:rPr>
          <w:rFonts w:eastAsia="仿宋_GB2312"/>
          <w:sz w:val="32"/>
          <w:szCs w:val="32"/>
        </w:rPr>
        <w:t>%</w:t>
      </w:r>
      <w:r w:rsidR="0044607D" w:rsidRPr="00C92D15">
        <w:rPr>
          <w:rFonts w:eastAsia="仿宋_GB2312"/>
          <w:sz w:val="32"/>
          <w:szCs w:val="32"/>
        </w:rPr>
        <w:t>，主要是</w:t>
      </w:r>
      <w:r w:rsidR="0044607D">
        <w:rPr>
          <w:rFonts w:eastAsia="仿宋_GB2312" w:hint="eastAsia"/>
          <w:sz w:val="32"/>
          <w:szCs w:val="32"/>
        </w:rPr>
        <w:t>未发生因公出国（境）费支出</w:t>
      </w:r>
      <w:r w:rsidR="0044607D" w:rsidRPr="00C92D15">
        <w:rPr>
          <w:rFonts w:eastAsia="仿宋_GB2312"/>
          <w:sz w:val="32"/>
          <w:szCs w:val="32"/>
        </w:rPr>
        <w:t>。</w:t>
      </w:r>
    </w:p>
    <w:p w:rsidR="003403F8" w:rsidRDefault="003403F8" w:rsidP="00B76D46">
      <w:pPr>
        <w:adjustRightInd w:val="0"/>
        <w:snapToGrid w:val="0"/>
        <w:spacing w:line="584" w:lineRule="exact"/>
        <w:ind w:firstLineChars="200" w:firstLine="643"/>
        <w:rPr>
          <w:rFonts w:eastAsia="仿宋_GB2312"/>
          <w:b/>
          <w:bCs/>
          <w:sz w:val="32"/>
          <w:szCs w:val="32"/>
        </w:rPr>
      </w:pPr>
      <w:r>
        <w:rPr>
          <w:rFonts w:eastAsia="楷体_GB2312" w:hint="eastAsia"/>
          <w:b/>
          <w:bCs/>
          <w:sz w:val="32"/>
          <w:szCs w:val="32"/>
        </w:rPr>
        <w:t>（二）公务用车购置及运行维护费支出</w:t>
      </w:r>
      <w:r>
        <w:rPr>
          <w:rFonts w:eastAsia="楷体_GB2312"/>
          <w:b/>
          <w:bCs/>
          <w:sz w:val="32"/>
          <w:szCs w:val="32"/>
        </w:rPr>
        <w:t>2.57</w:t>
      </w:r>
      <w:r>
        <w:rPr>
          <w:rFonts w:eastAsia="楷体_GB2312" w:hint="eastAsia"/>
          <w:b/>
          <w:bCs/>
          <w:sz w:val="32"/>
          <w:szCs w:val="32"/>
        </w:rPr>
        <w:t>万元。</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年度公务用车购置及运行维护费比年初预算</w:t>
      </w:r>
      <w:r>
        <w:rPr>
          <w:rFonts w:eastAsia="仿宋_GB2312" w:hint="eastAsia"/>
          <w:sz w:val="32"/>
          <w:szCs w:val="32"/>
        </w:rPr>
        <w:t>增加</w:t>
      </w:r>
      <w:r>
        <w:rPr>
          <w:rFonts w:ascii="华文仿宋" w:eastAsia="华文仿宋"/>
          <w:sz w:val="32"/>
          <w:szCs w:val="32"/>
        </w:rPr>
        <w:t>1.76</w:t>
      </w:r>
      <w:r>
        <w:rPr>
          <w:rFonts w:eastAsia="仿宋_GB2312" w:hint="eastAsia"/>
          <w:sz w:val="32"/>
          <w:szCs w:val="32"/>
        </w:rPr>
        <w:t>万元</w:t>
      </w:r>
      <w:r>
        <w:rPr>
          <w:rFonts w:ascii="仿宋_GB2312" w:eastAsia="仿宋_GB2312" w:cs="DengXian-Regular" w:hint="eastAsia"/>
          <w:sz w:val="32"/>
          <w:szCs w:val="32"/>
        </w:rPr>
        <w:t>，</w:t>
      </w:r>
      <w:r>
        <w:rPr>
          <w:rFonts w:eastAsia="仿宋_GB2312" w:hint="eastAsia"/>
          <w:sz w:val="32"/>
          <w:szCs w:val="32"/>
        </w:rPr>
        <w:lastRenderedPageBreak/>
        <w:t>增长</w:t>
      </w:r>
      <w:r>
        <w:rPr>
          <w:rFonts w:eastAsia="仿宋_GB2312"/>
          <w:sz w:val="32"/>
          <w:szCs w:val="32"/>
        </w:rPr>
        <w:t>123.5%</w:t>
      </w:r>
      <w:r>
        <w:rPr>
          <w:rFonts w:ascii="仿宋_GB2312" w:eastAsia="仿宋_GB2312" w:cs="DengXian-Regular"/>
          <w:sz w:val="32"/>
          <w:szCs w:val="32"/>
        </w:rPr>
        <w:t>,</w:t>
      </w:r>
      <w:r>
        <w:rPr>
          <w:rFonts w:ascii="仿宋_GB2312" w:eastAsia="仿宋_GB2312" w:cs="DengXian-Regular" w:hint="eastAsia"/>
          <w:sz w:val="32"/>
          <w:szCs w:val="32"/>
        </w:rPr>
        <w:t>主要原因是人员增加</w:t>
      </w:r>
      <w:r>
        <w:rPr>
          <w:rFonts w:ascii="仿宋_GB2312" w:eastAsia="仿宋_GB2312" w:cs="DengXian-Regular"/>
          <w:sz w:val="32"/>
          <w:szCs w:val="32"/>
        </w:rPr>
        <w:t>,</w:t>
      </w:r>
      <w:r>
        <w:rPr>
          <w:rFonts w:ascii="宋体" w:cs="宋体" w:hint="eastAsia"/>
          <w:sz w:val="32"/>
          <w:szCs w:val="32"/>
        </w:rPr>
        <w:t>业务量增加</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2017</w:t>
      </w:r>
      <w:r>
        <w:rPr>
          <w:rFonts w:eastAsia="仿宋_GB2312" w:hint="eastAsia"/>
          <w:sz w:val="32"/>
          <w:szCs w:val="32"/>
        </w:rPr>
        <w:t>年度决算增加（减少）</w:t>
      </w:r>
      <w:r>
        <w:rPr>
          <w:rFonts w:eastAsia="仿宋_GB2312"/>
          <w:sz w:val="32"/>
          <w:szCs w:val="32"/>
        </w:rPr>
        <w:t>1.76</w:t>
      </w:r>
      <w:r>
        <w:rPr>
          <w:rFonts w:eastAsia="仿宋_GB2312" w:hint="eastAsia"/>
          <w:sz w:val="32"/>
          <w:szCs w:val="32"/>
        </w:rPr>
        <w:t>万元，增长</w:t>
      </w:r>
      <w:r>
        <w:rPr>
          <w:rFonts w:eastAsia="仿宋_GB2312"/>
          <w:sz w:val="32"/>
          <w:szCs w:val="32"/>
        </w:rPr>
        <w:t>123.5%</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w:t>
      </w:r>
      <w:r>
        <w:rPr>
          <w:rFonts w:ascii="仿宋_GB2312" w:eastAsia="仿宋_GB2312" w:cs="DengXian-Regular" w:hint="eastAsia"/>
          <w:sz w:val="32"/>
          <w:szCs w:val="32"/>
        </w:rPr>
        <w:t>人员增加</w:t>
      </w:r>
      <w:r>
        <w:rPr>
          <w:rFonts w:ascii="仿宋_GB2312" w:eastAsia="仿宋_GB2312" w:cs="DengXian-Regular"/>
          <w:sz w:val="32"/>
          <w:szCs w:val="32"/>
        </w:rPr>
        <w:t>,</w:t>
      </w:r>
      <w:r>
        <w:rPr>
          <w:rFonts w:ascii="宋体" w:cs="宋体" w:hint="eastAsia"/>
          <w:sz w:val="32"/>
          <w:szCs w:val="32"/>
        </w:rPr>
        <w:t>业务量增加</w:t>
      </w:r>
      <w:r>
        <w:rPr>
          <w:rFonts w:eastAsia="仿宋_GB2312" w:hint="eastAsia"/>
          <w:sz w:val="32"/>
          <w:szCs w:val="32"/>
        </w:rPr>
        <w:t>。</w:t>
      </w:r>
      <w:r>
        <w:rPr>
          <w:rFonts w:eastAsia="仿宋_GB2312" w:hint="eastAsia"/>
          <w:b/>
          <w:bCs/>
          <w:sz w:val="32"/>
          <w:szCs w:val="32"/>
        </w:rPr>
        <w:t>其中：</w:t>
      </w:r>
    </w:p>
    <w:p w:rsidR="003403F8" w:rsidRDefault="003403F8" w:rsidP="00B76D46">
      <w:pPr>
        <w:adjustRightInd w:val="0"/>
        <w:snapToGrid w:val="0"/>
        <w:spacing w:line="584" w:lineRule="exact"/>
        <w:ind w:firstLineChars="200" w:firstLine="643"/>
        <w:rPr>
          <w:rFonts w:eastAsia="仿宋_GB2312"/>
          <w:sz w:val="32"/>
          <w:szCs w:val="32"/>
          <w:highlight w:val="yellow"/>
        </w:rPr>
      </w:pPr>
      <w:r>
        <w:rPr>
          <w:rFonts w:eastAsia="仿宋_GB2312" w:hint="eastAsia"/>
          <w:b/>
          <w:sz w:val="32"/>
          <w:szCs w:val="32"/>
        </w:rPr>
        <w:t>公务用车购置费支出</w:t>
      </w:r>
      <w:r>
        <w:rPr>
          <w:rFonts w:eastAsia="仿宋_GB2312"/>
          <w:b/>
          <w:sz w:val="32"/>
          <w:szCs w:val="32"/>
        </w:rPr>
        <w:t>0</w:t>
      </w:r>
      <w:r>
        <w:rPr>
          <w:rFonts w:eastAsia="仿宋_GB2312" w:hint="eastAsia"/>
          <w:b/>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年度未发生公务用车购置经费支出。较年初预算无增减变化；较</w:t>
      </w:r>
      <w:r>
        <w:rPr>
          <w:rFonts w:eastAsia="仿宋_GB2312"/>
          <w:sz w:val="32"/>
          <w:szCs w:val="32"/>
        </w:rPr>
        <w:t>2017</w:t>
      </w:r>
      <w:r>
        <w:rPr>
          <w:rFonts w:eastAsia="仿宋_GB2312" w:hint="eastAsia"/>
          <w:sz w:val="32"/>
          <w:szCs w:val="32"/>
        </w:rPr>
        <w:t>年度决算无增减变化。</w:t>
      </w:r>
    </w:p>
    <w:p w:rsidR="003403F8" w:rsidRDefault="003403F8" w:rsidP="00B76D46">
      <w:pPr>
        <w:adjustRightInd w:val="0"/>
        <w:snapToGrid w:val="0"/>
        <w:spacing w:line="584" w:lineRule="exact"/>
        <w:ind w:firstLineChars="200" w:firstLine="643"/>
        <w:rPr>
          <w:rFonts w:eastAsia="仿宋_GB2312"/>
          <w:sz w:val="32"/>
          <w:szCs w:val="32"/>
          <w:highlight w:val="yellow"/>
        </w:rPr>
      </w:pPr>
      <w:r>
        <w:rPr>
          <w:rFonts w:eastAsia="仿宋_GB2312" w:hint="eastAsia"/>
          <w:b/>
          <w:sz w:val="32"/>
          <w:szCs w:val="32"/>
        </w:rPr>
        <w:t>公务用车运行维护费支出</w:t>
      </w:r>
      <w:r>
        <w:rPr>
          <w:rFonts w:eastAsia="仿宋_GB2312"/>
          <w:b/>
          <w:sz w:val="32"/>
          <w:szCs w:val="32"/>
        </w:rPr>
        <w:t>2.57</w:t>
      </w:r>
      <w:r>
        <w:rPr>
          <w:rFonts w:eastAsia="仿宋_GB2312" w:hint="eastAsia"/>
          <w:b/>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年末单位公务用车保有量</w:t>
      </w:r>
      <w:r>
        <w:rPr>
          <w:rFonts w:eastAsia="仿宋_GB2312"/>
          <w:sz w:val="32"/>
          <w:szCs w:val="32"/>
        </w:rPr>
        <w:t>3</w:t>
      </w:r>
      <w:r>
        <w:rPr>
          <w:rFonts w:eastAsia="仿宋_GB2312" w:hint="eastAsia"/>
          <w:sz w:val="32"/>
          <w:szCs w:val="32"/>
        </w:rPr>
        <w:t>辆。公车运行维护费支出比年初预算增加</w:t>
      </w:r>
      <w:r>
        <w:rPr>
          <w:rFonts w:eastAsia="仿宋_GB2312"/>
          <w:sz w:val="32"/>
          <w:szCs w:val="32"/>
        </w:rPr>
        <w:t>1.76</w:t>
      </w:r>
      <w:r>
        <w:rPr>
          <w:rFonts w:eastAsia="仿宋_GB2312" w:hint="eastAsia"/>
          <w:sz w:val="32"/>
          <w:szCs w:val="32"/>
        </w:rPr>
        <w:t>万元，增长</w:t>
      </w:r>
      <w:r>
        <w:rPr>
          <w:rFonts w:eastAsia="仿宋_GB2312"/>
          <w:sz w:val="32"/>
          <w:szCs w:val="32"/>
        </w:rPr>
        <w:t>123.5%</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w:t>
      </w:r>
      <w:r>
        <w:rPr>
          <w:rFonts w:ascii="仿宋_GB2312" w:eastAsia="仿宋_GB2312" w:cs="DengXian-Regular" w:hint="eastAsia"/>
          <w:sz w:val="32"/>
          <w:szCs w:val="32"/>
        </w:rPr>
        <w:t>人员增加</w:t>
      </w:r>
      <w:r>
        <w:rPr>
          <w:rFonts w:ascii="仿宋_GB2312" w:eastAsia="仿宋_GB2312" w:cs="DengXian-Regular"/>
          <w:sz w:val="32"/>
          <w:szCs w:val="32"/>
        </w:rPr>
        <w:t>,</w:t>
      </w:r>
      <w:r>
        <w:rPr>
          <w:rFonts w:ascii="宋体" w:cs="宋体" w:hint="eastAsia"/>
          <w:sz w:val="32"/>
          <w:szCs w:val="32"/>
        </w:rPr>
        <w:t>业务量增加</w:t>
      </w:r>
      <w:r>
        <w:rPr>
          <w:rFonts w:eastAsia="仿宋_GB2312" w:hint="eastAsia"/>
          <w:sz w:val="32"/>
          <w:szCs w:val="32"/>
        </w:rPr>
        <w:t>；比</w:t>
      </w:r>
      <w:r>
        <w:rPr>
          <w:rFonts w:eastAsia="仿宋_GB2312"/>
          <w:sz w:val="32"/>
          <w:szCs w:val="32"/>
        </w:rPr>
        <w:t>2017</w:t>
      </w:r>
      <w:r>
        <w:rPr>
          <w:rFonts w:eastAsia="仿宋_GB2312" w:hint="eastAsia"/>
          <w:sz w:val="32"/>
          <w:szCs w:val="32"/>
        </w:rPr>
        <w:t>年度决算增加</w:t>
      </w:r>
      <w:r>
        <w:rPr>
          <w:rFonts w:eastAsia="仿宋_GB2312"/>
          <w:sz w:val="32"/>
          <w:szCs w:val="32"/>
        </w:rPr>
        <w:t>1.76</w:t>
      </w:r>
      <w:r>
        <w:rPr>
          <w:rFonts w:eastAsia="仿宋_GB2312" w:hint="eastAsia"/>
          <w:sz w:val="32"/>
          <w:szCs w:val="32"/>
        </w:rPr>
        <w:t>万元，增长</w:t>
      </w:r>
      <w:r>
        <w:rPr>
          <w:rFonts w:eastAsia="仿宋_GB2312"/>
          <w:sz w:val="32"/>
          <w:szCs w:val="32"/>
        </w:rPr>
        <w:t>123.5%</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w:t>
      </w:r>
      <w:r>
        <w:rPr>
          <w:rFonts w:ascii="仿宋_GB2312" w:eastAsia="仿宋_GB2312" w:cs="DengXian-Regular" w:hint="eastAsia"/>
          <w:sz w:val="32"/>
          <w:szCs w:val="32"/>
        </w:rPr>
        <w:t>人员增加</w:t>
      </w:r>
      <w:r>
        <w:rPr>
          <w:rFonts w:ascii="仿宋_GB2312" w:eastAsia="仿宋_GB2312" w:cs="DengXian-Regular"/>
          <w:sz w:val="32"/>
          <w:szCs w:val="32"/>
        </w:rPr>
        <w:t>,</w:t>
      </w:r>
      <w:r>
        <w:rPr>
          <w:rFonts w:ascii="宋体" w:cs="宋体" w:hint="eastAsia"/>
          <w:sz w:val="32"/>
          <w:szCs w:val="32"/>
        </w:rPr>
        <w:t>业务量增加</w:t>
      </w:r>
      <w:r>
        <w:rPr>
          <w:rFonts w:eastAsia="仿宋_GB2312" w:hint="eastAsia"/>
          <w:sz w:val="32"/>
          <w:szCs w:val="32"/>
        </w:rPr>
        <w:t>。</w:t>
      </w:r>
    </w:p>
    <w:p w:rsidR="0044607D" w:rsidRPr="00246D99" w:rsidRDefault="003403F8" w:rsidP="0044607D">
      <w:pPr>
        <w:adjustRightInd w:val="0"/>
        <w:snapToGrid w:val="0"/>
        <w:spacing w:line="584" w:lineRule="exact"/>
        <w:ind w:firstLineChars="200" w:firstLine="643"/>
        <w:rPr>
          <w:rFonts w:eastAsia="仿宋_GB2312"/>
          <w:sz w:val="32"/>
          <w:szCs w:val="32"/>
          <w:highlight w:val="yellow"/>
        </w:rPr>
      </w:pPr>
      <w:r>
        <w:rPr>
          <w:rFonts w:eastAsia="楷体_GB2312" w:hint="eastAsia"/>
          <w:b/>
          <w:bCs/>
          <w:sz w:val="32"/>
          <w:szCs w:val="32"/>
        </w:rPr>
        <w:t>（三）</w:t>
      </w:r>
      <w:r w:rsidR="0044607D" w:rsidRPr="00615C31">
        <w:rPr>
          <w:rFonts w:eastAsia="楷体_GB2312"/>
          <w:b/>
          <w:bCs/>
          <w:sz w:val="32"/>
          <w:szCs w:val="32"/>
        </w:rPr>
        <w:t>公务接待费支出</w:t>
      </w:r>
      <w:r w:rsidR="0044607D">
        <w:rPr>
          <w:rFonts w:eastAsia="楷体_GB2312" w:hint="eastAsia"/>
          <w:b/>
          <w:bCs/>
          <w:sz w:val="32"/>
          <w:szCs w:val="32"/>
        </w:rPr>
        <w:t>0</w:t>
      </w:r>
      <w:r w:rsidR="0044607D" w:rsidRPr="00615C31">
        <w:rPr>
          <w:rFonts w:eastAsia="楷体_GB2312"/>
          <w:b/>
          <w:bCs/>
          <w:sz w:val="32"/>
          <w:szCs w:val="32"/>
        </w:rPr>
        <w:t>万元。</w:t>
      </w:r>
      <w:r w:rsidR="0044607D" w:rsidRPr="00615C31">
        <w:rPr>
          <w:rFonts w:eastAsia="仿宋_GB2312"/>
          <w:sz w:val="32"/>
          <w:szCs w:val="32"/>
        </w:rPr>
        <w:t>本部门</w:t>
      </w:r>
      <w:r w:rsidR="0044607D" w:rsidRPr="00615C31">
        <w:rPr>
          <w:rFonts w:eastAsia="仿宋_GB2312"/>
          <w:sz w:val="32"/>
          <w:szCs w:val="32"/>
        </w:rPr>
        <w:t>201</w:t>
      </w:r>
      <w:r w:rsidR="0044607D" w:rsidRPr="00615C31">
        <w:rPr>
          <w:rFonts w:eastAsia="仿宋_GB2312" w:hint="eastAsia"/>
          <w:sz w:val="32"/>
          <w:szCs w:val="32"/>
        </w:rPr>
        <w:t>8</w:t>
      </w:r>
      <w:r w:rsidR="0044607D" w:rsidRPr="00615C31">
        <w:rPr>
          <w:rFonts w:eastAsia="仿宋_GB2312"/>
          <w:sz w:val="32"/>
          <w:szCs w:val="32"/>
        </w:rPr>
        <w:t>年度公务接待共</w:t>
      </w:r>
      <w:r w:rsidR="0044607D">
        <w:rPr>
          <w:rFonts w:eastAsia="仿宋_GB2312" w:hint="eastAsia"/>
          <w:sz w:val="32"/>
          <w:szCs w:val="32"/>
        </w:rPr>
        <w:t>0</w:t>
      </w:r>
      <w:r w:rsidR="0044607D" w:rsidRPr="00615C31">
        <w:rPr>
          <w:rFonts w:eastAsia="仿宋_GB2312"/>
          <w:sz w:val="32"/>
          <w:szCs w:val="32"/>
        </w:rPr>
        <w:t>批次、</w:t>
      </w:r>
      <w:r w:rsidR="0044607D">
        <w:rPr>
          <w:rFonts w:eastAsia="仿宋_GB2312" w:hint="eastAsia"/>
          <w:sz w:val="32"/>
          <w:szCs w:val="32"/>
        </w:rPr>
        <w:t>0</w:t>
      </w:r>
      <w:r w:rsidR="0044607D" w:rsidRPr="00615C31">
        <w:rPr>
          <w:rFonts w:eastAsia="仿宋_GB2312"/>
          <w:sz w:val="32"/>
          <w:szCs w:val="32"/>
        </w:rPr>
        <w:t>人次。公务接待费支出</w:t>
      </w:r>
      <w:r w:rsidR="0044607D">
        <w:rPr>
          <w:rFonts w:eastAsia="仿宋_GB2312" w:hint="eastAsia"/>
          <w:sz w:val="32"/>
          <w:szCs w:val="32"/>
        </w:rPr>
        <w:t>比</w:t>
      </w:r>
      <w:r w:rsidR="0044607D" w:rsidRPr="00615C31">
        <w:rPr>
          <w:rFonts w:eastAsia="仿宋_GB2312"/>
          <w:sz w:val="32"/>
          <w:szCs w:val="32"/>
        </w:rPr>
        <w:t>年初预算增加</w:t>
      </w:r>
      <w:r w:rsidR="0044607D">
        <w:rPr>
          <w:rFonts w:eastAsia="仿宋_GB2312" w:hint="eastAsia"/>
          <w:sz w:val="32"/>
          <w:szCs w:val="32"/>
        </w:rPr>
        <w:t>0</w:t>
      </w:r>
      <w:r w:rsidR="0044607D" w:rsidRPr="00615C31">
        <w:rPr>
          <w:rFonts w:eastAsia="仿宋_GB2312"/>
          <w:sz w:val="32"/>
          <w:szCs w:val="32"/>
        </w:rPr>
        <w:t>万元，增长</w:t>
      </w:r>
      <w:r w:rsidR="0044607D">
        <w:rPr>
          <w:rFonts w:eastAsia="仿宋_GB2312" w:hint="eastAsia"/>
          <w:sz w:val="32"/>
          <w:szCs w:val="32"/>
        </w:rPr>
        <w:t>0</w:t>
      </w:r>
      <w:r w:rsidR="0044607D" w:rsidRPr="00615C31">
        <w:rPr>
          <w:rFonts w:eastAsia="仿宋_GB2312"/>
          <w:sz w:val="32"/>
          <w:szCs w:val="32"/>
        </w:rPr>
        <w:t>%</w:t>
      </w:r>
      <w:r w:rsidR="0044607D" w:rsidRPr="00615C31">
        <w:rPr>
          <w:rFonts w:eastAsia="仿宋_GB2312"/>
          <w:sz w:val="32"/>
          <w:szCs w:val="32"/>
        </w:rPr>
        <w:t>，主要是</w:t>
      </w:r>
      <w:r w:rsidR="0044607D">
        <w:rPr>
          <w:rFonts w:eastAsia="仿宋_GB2312" w:hint="eastAsia"/>
          <w:sz w:val="32"/>
          <w:szCs w:val="32"/>
        </w:rPr>
        <w:t>未发生公务接待费支出</w:t>
      </w:r>
      <w:r w:rsidR="0044607D" w:rsidRPr="00615C31">
        <w:rPr>
          <w:rFonts w:eastAsia="仿宋_GB2312"/>
          <w:sz w:val="32"/>
          <w:szCs w:val="32"/>
        </w:rPr>
        <w:t>；</w:t>
      </w:r>
      <w:r w:rsidR="0044607D">
        <w:rPr>
          <w:rFonts w:eastAsia="仿宋_GB2312" w:hint="eastAsia"/>
          <w:sz w:val="32"/>
          <w:szCs w:val="32"/>
        </w:rPr>
        <w:t>比</w:t>
      </w:r>
      <w:r w:rsidR="0044607D" w:rsidRPr="00615C31">
        <w:rPr>
          <w:rFonts w:eastAsia="仿宋_GB2312"/>
          <w:sz w:val="32"/>
          <w:szCs w:val="32"/>
        </w:rPr>
        <w:t>201</w:t>
      </w:r>
      <w:r w:rsidR="0044607D" w:rsidRPr="00615C31">
        <w:rPr>
          <w:rFonts w:eastAsia="仿宋_GB2312" w:hint="eastAsia"/>
          <w:sz w:val="32"/>
          <w:szCs w:val="32"/>
        </w:rPr>
        <w:t>7</w:t>
      </w:r>
      <w:r w:rsidR="0044607D" w:rsidRPr="00615C31">
        <w:rPr>
          <w:rFonts w:eastAsia="仿宋_GB2312"/>
          <w:sz w:val="32"/>
          <w:szCs w:val="32"/>
        </w:rPr>
        <w:t>年度决算增加</w:t>
      </w:r>
      <w:r w:rsidR="0044607D">
        <w:rPr>
          <w:rFonts w:eastAsia="仿宋_GB2312" w:hint="eastAsia"/>
          <w:sz w:val="32"/>
          <w:szCs w:val="32"/>
        </w:rPr>
        <w:t>0</w:t>
      </w:r>
      <w:r w:rsidR="0044607D" w:rsidRPr="00615C31">
        <w:rPr>
          <w:rFonts w:eastAsia="仿宋_GB2312"/>
          <w:sz w:val="32"/>
          <w:szCs w:val="32"/>
        </w:rPr>
        <w:t>万元，增长</w:t>
      </w:r>
      <w:r w:rsidR="0044607D">
        <w:rPr>
          <w:rFonts w:eastAsia="仿宋_GB2312" w:hint="eastAsia"/>
          <w:sz w:val="32"/>
          <w:szCs w:val="32"/>
        </w:rPr>
        <w:t>0</w:t>
      </w:r>
      <w:r w:rsidR="0044607D" w:rsidRPr="00615C31">
        <w:rPr>
          <w:rFonts w:eastAsia="仿宋_GB2312"/>
          <w:sz w:val="32"/>
          <w:szCs w:val="32"/>
        </w:rPr>
        <w:t>%</w:t>
      </w:r>
      <w:r w:rsidR="0044607D" w:rsidRPr="00615C31">
        <w:rPr>
          <w:rFonts w:eastAsia="仿宋_GB2312"/>
          <w:sz w:val="32"/>
          <w:szCs w:val="32"/>
        </w:rPr>
        <w:t>，主要是</w:t>
      </w:r>
      <w:r w:rsidR="0044607D">
        <w:rPr>
          <w:rFonts w:eastAsia="仿宋_GB2312" w:hint="eastAsia"/>
          <w:sz w:val="32"/>
          <w:szCs w:val="32"/>
        </w:rPr>
        <w:t>未发生公务接待费支出</w:t>
      </w:r>
      <w:r w:rsidR="0044607D" w:rsidRPr="00615C31">
        <w:rPr>
          <w:rFonts w:eastAsia="仿宋_GB2312"/>
          <w:sz w:val="32"/>
          <w:szCs w:val="32"/>
        </w:rPr>
        <w:t>。</w:t>
      </w:r>
    </w:p>
    <w:p w:rsidR="003403F8" w:rsidRDefault="003403F8" w:rsidP="0044607D">
      <w:pPr>
        <w:adjustRightInd w:val="0"/>
        <w:snapToGrid w:val="0"/>
        <w:spacing w:line="584" w:lineRule="exact"/>
        <w:ind w:firstLineChars="200" w:firstLine="640"/>
        <w:rPr>
          <w:rFonts w:ascii="黑体" w:eastAsia="黑体"/>
          <w:sz w:val="32"/>
          <w:szCs w:val="40"/>
        </w:rPr>
      </w:pPr>
      <w:r>
        <w:rPr>
          <w:rFonts w:ascii="黑体" w:eastAsia="黑体" w:hint="eastAsia"/>
          <w:sz w:val="32"/>
          <w:szCs w:val="40"/>
        </w:rPr>
        <w:t>六、预算绩效情况说明</w:t>
      </w:r>
    </w:p>
    <w:p w:rsidR="003403F8" w:rsidRDefault="003403F8">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预算绩效管理工作开展情况。根据绩效预算管理改革要求，本部门认真开展了预算绩效管理改革开展情况自查，对部门全面规范绩效预算编制、严格预算执行管理、推进绩效评价工作、推进预决算信息公开等方面进行了自评，考核结果为优秀。</w:t>
      </w:r>
    </w:p>
    <w:p w:rsidR="003403F8" w:rsidRDefault="003403F8">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lastRenderedPageBreak/>
        <w:t>（二）项目绩效自评结果。根据预算绩效管理要求，本部门组织对</w:t>
      </w:r>
      <w:r>
        <w:rPr>
          <w:rFonts w:ascii="仿宋_GB2312" w:eastAsia="仿宋_GB2312" w:cs="DengXian-Regular"/>
          <w:sz w:val="32"/>
          <w:szCs w:val="32"/>
        </w:rPr>
        <w:t xml:space="preserve">2018 </w:t>
      </w:r>
      <w:r>
        <w:rPr>
          <w:rFonts w:ascii="仿宋_GB2312" w:eastAsia="仿宋_GB2312" w:cs="DengXian-Regular" w:hint="eastAsia"/>
          <w:sz w:val="32"/>
          <w:szCs w:val="32"/>
        </w:rPr>
        <w:t>年度专项项目预算支出开展绩效自评。从评价情况看，项目评价结果为优秀。</w:t>
      </w:r>
    </w:p>
    <w:p w:rsidR="003403F8" w:rsidRDefault="003403F8">
      <w:pPr>
        <w:pStyle w:val="2"/>
        <w:spacing w:before="0" w:after="0" w:line="580" w:lineRule="exact"/>
        <w:ind w:firstLineChars="200" w:firstLine="640"/>
        <w:rPr>
          <w:rFonts w:ascii="仿宋_GB2312" w:eastAsia="仿宋_GB2312" w:cs="DengXian-Regular"/>
          <w:b w:val="0"/>
          <w:bCs w:val="0"/>
        </w:rPr>
      </w:pPr>
      <w:r>
        <w:rPr>
          <w:rFonts w:ascii="仿宋_GB2312" w:eastAsia="仿宋_GB2312" w:cs="DengXian-Regular" w:hint="eastAsia"/>
          <w:b w:val="0"/>
          <w:bCs w:val="0"/>
        </w:rPr>
        <w:t>（三）重点项目绩效评价结果。本单位无重点支出项目。</w:t>
      </w:r>
    </w:p>
    <w:p w:rsidR="003403F8" w:rsidRDefault="003403F8">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3403F8" w:rsidRDefault="003403F8" w:rsidP="00B76D46">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3403F8" w:rsidRDefault="003403F8">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年度机关运行经费支出</w:t>
      </w:r>
      <w:r>
        <w:rPr>
          <w:rFonts w:ascii="仿宋_GB2312" w:eastAsia="仿宋_GB2312" w:cs="DengXian-Regular"/>
          <w:sz w:val="32"/>
          <w:szCs w:val="32"/>
        </w:rPr>
        <w:t>548.69</w:t>
      </w:r>
      <w:r>
        <w:rPr>
          <w:rFonts w:ascii="仿宋_GB2312" w:eastAsia="仿宋_GB2312" w:cs="DengXian-Regular" w:hint="eastAsia"/>
          <w:sz w:val="32"/>
          <w:szCs w:val="32"/>
        </w:rPr>
        <w:t>万元，比年初预算数增加</w:t>
      </w:r>
      <w:r>
        <w:rPr>
          <w:rFonts w:ascii="仿宋_GB2312" w:eastAsia="仿宋_GB2312" w:cs="DengXian-Regular"/>
          <w:sz w:val="32"/>
          <w:szCs w:val="32"/>
        </w:rPr>
        <w:t>197.32</w:t>
      </w:r>
      <w:r>
        <w:rPr>
          <w:rFonts w:ascii="仿宋_GB2312" w:eastAsia="仿宋_GB2312" w:cs="DengXian-Regular" w:hint="eastAsia"/>
          <w:sz w:val="32"/>
          <w:szCs w:val="32"/>
        </w:rPr>
        <w:t>万元，增长</w:t>
      </w:r>
      <w:r>
        <w:rPr>
          <w:rFonts w:ascii="仿宋_GB2312" w:eastAsia="仿宋_GB2312" w:cs="DengXian-Regular"/>
          <w:sz w:val="32"/>
          <w:szCs w:val="32"/>
        </w:rPr>
        <w:t>56.2%</w:t>
      </w:r>
      <w:r>
        <w:rPr>
          <w:rFonts w:ascii="仿宋_GB2312" w:eastAsia="仿宋_GB2312" w:cs="DengXian-Regular" w:hint="eastAsia"/>
          <w:sz w:val="32"/>
          <w:szCs w:val="32"/>
        </w:rPr>
        <w:t>。主要原因是人员增加</w:t>
      </w:r>
      <w:r>
        <w:rPr>
          <w:rFonts w:ascii="仿宋_GB2312" w:eastAsia="仿宋_GB2312" w:cs="DengXian-Regular"/>
          <w:sz w:val="32"/>
          <w:szCs w:val="32"/>
        </w:rPr>
        <w:t>,</w:t>
      </w:r>
      <w:r>
        <w:rPr>
          <w:rFonts w:ascii="仿宋_GB2312" w:eastAsia="仿宋_GB2312" w:cs="DengXian-Regular" w:hint="eastAsia"/>
          <w:sz w:val="32"/>
          <w:szCs w:val="32"/>
        </w:rPr>
        <w:t>业务量增加。较</w:t>
      </w:r>
      <w:r>
        <w:rPr>
          <w:rFonts w:ascii="仿宋_GB2312" w:eastAsia="仿宋_GB2312" w:cs="DengXian-Regular"/>
          <w:sz w:val="32"/>
          <w:szCs w:val="32"/>
        </w:rPr>
        <w:t>2017</w:t>
      </w:r>
      <w:r>
        <w:rPr>
          <w:rFonts w:ascii="仿宋_GB2312" w:eastAsia="仿宋_GB2312" w:cs="DengXian-Regular" w:hint="eastAsia"/>
          <w:sz w:val="32"/>
          <w:szCs w:val="32"/>
        </w:rPr>
        <w:t>年度决算增加</w:t>
      </w:r>
      <w:r>
        <w:rPr>
          <w:rFonts w:ascii="仿宋_GB2312" w:eastAsia="仿宋_GB2312" w:cs="DengXian-Regular"/>
          <w:sz w:val="32"/>
          <w:szCs w:val="32"/>
        </w:rPr>
        <w:t>197.32</w:t>
      </w:r>
      <w:r>
        <w:rPr>
          <w:rFonts w:ascii="仿宋_GB2312" w:eastAsia="仿宋_GB2312" w:cs="DengXian-Regular" w:hint="eastAsia"/>
          <w:sz w:val="32"/>
          <w:szCs w:val="32"/>
        </w:rPr>
        <w:t>万元，增长</w:t>
      </w:r>
      <w:r>
        <w:rPr>
          <w:rFonts w:ascii="仿宋_GB2312" w:eastAsia="仿宋_GB2312" w:cs="DengXian-Regular"/>
          <w:sz w:val="32"/>
          <w:szCs w:val="32"/>
        </w:rPr>
        <w:t>56.2%</w:t>
      </w:r>
      <w:r>
        <w:rPr>
          <w:rFonts w:ascii="仿宋_GB2312" w:eastAsia="仿宋_GB2312" w:cs="DengXian-Regular" w:hint="eastAsia"/>
          <w:sz w:val="32"/>
          <w:szCs w:val="32"/>
        </w:rPr>
        <w:t>，主要原因是人员增加</w:t>
      </w:r>
      <w:r>
        <w:rPr>
          <w:rFonts w:ascii="仿宋_GB2312" w:eastAsia="仿宋_GB2312" w:cs="DengXian-Regular"/>
          <w:sz w:val="32"/>
          <w:szCs w:val="32"/>
        </w:rPr>
        <w:t>,</w:t>
      </w:r>
      <w:r>
        <w:rPr>
          <w:rFonts w:ascii="仿宋_GB2312" w:eastAsia="仿宋_GB2312" w:cs="DengXian-Regular" w:hint="eastAsia"/>
          <w:sz w:val="32"/>
          <w:szCs w:val="32"/>
        </w:rPr>
        <w:t>业务量增加。</w:t>
      </w:r>
    </w:p>
    <w:p w:rsidR="003403F8" w:rsidRDefault="003403F8" w:rsidP="00B76D46">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3403F8" w:rsidRDefault="003403F8">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年度未发生政府采购费用支出。</w:t>
      </w:r>
    </w:p>
    <w:p w:rsidR="003403F8" w:rsidRDefault="003403F8" w:rsidP="00B76D46">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44607D" w:rsidRDefault="0044607D" w:rsidP="0044607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3辆，比上年增加0辆，主要是未发生公务用车购置费支出。其中，副部（省）级及以上领导用车0辆，主要领导干部用车0辆，机要通信用车0辆，应急保障用车0辆，执法执勤用车0辆，特种专业技术用车0辆，离退休干部用车0辆，其他用车3辆，其他用车主要是一般公务用车</w:t>
      </w:r>
      <w:r>
        <w:rPr>
          <w:rFonts w:ascii="仿宋_GB2312" w:eastAsia="仿宋_GB2312" w:cs="DengXian-Regular"/>
          <w:sz w:val="32"/>
          <w:szCs w:val="32"/>
        </w:rPr>
        <w:t>1</w:t>
      </w:r>
      <w:r>
        <w:rPr>
          <w:rFonts w:ascii="仿宋_GB2312" w:eastAsia="仿宋_GB2312" w:cs="DengXian-Regular" w:hint="eastAsia"/>
          <w:sz w:val="32"/>
          <w:szCs w:val="32"/>
        </w:rPr>
        <w:t>辆、一般执法执勤用车</w:t>
      </w:r>
      <w:r>
        <w:rPr>
          <w:rFonts w:ascii="仿宋_GB2312" w:eastAsia="仿宋_GB2312" w:cs="DengXian-Regular"/>
          <w:sz w:val="32"/>
          <w:szCs w:val="32"/>
        </w:rPr>
        <w:t>2</w:t>
      </w:r>
      <w:r>
        <w:rPr>
          <w:rFonts w:ascii="仿宋_GB2312" w:eastAsia="仿宋_GB2312" w:cs="DengXian-Regular" w:hint="eastAsia"/>
          <w:sz w:val="32"/>
          <w:szCs w:val="32"/>
        </w:rPr>
        <w:t>辆；单位价值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万元以上通用设备0台（套），比上年增加0套；单位价值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万元以上专用设备0台（套）比上年增加0套。</w:t>
      </w:r>
    </w:p>
    <w:p w:rsidR="0044607D" w:rsidRPr="0044607D" w:rsidRDefault="0044607D" w:rsidP="0044607D"/>
    <w:p w:rsidR="003403F8" w:rsidRDefault="003403F8" w:rsidP="00B76D46">
      <w:pPr>
        <w:pStyle w:val="3"/>
        <w:spacing w:before="0" w:after="0" w:line="580" w:lineRule="exact"/>
        <w:ind w:firstLineChars="200" w:firstLine="643"/>
        <w:rPr>
          <w:rFonts w:ascii="楷体_GB2312" w:eastAsia="楷体_GB2312" w:cs="DengXian-Bold"/>
        </w:rPr>
      </w:pPr>
      <w:bookmarkStart w:id="0" w:name="_GoBack"/>
      <w:bookmarkEnd w:id="0"/>
      <w:r>
        <w:rPr>
          <w:rFonts w:ascii="楷体_GB2312" w:eastAsia="楷体_GB2312" w:cs="DengXian-Bold" w:hint="eastAsia"/>
        </w:rPr>
        <w:lastRenderedPageBreak/>
        <w:t>（四）其他需要说明的情况</w:t>
      </w:r>
    </w:p>
    <w:p w:rsidR="003403F8" w:rsidRDefault="003403F8">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1</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年度政府性基金预算、国有资本经营预算、政府采购无收支及结转结余情况，故</w:t>
      </w:r>
      <w:r>
        <w:rPr>
          <w:rFonts w:eastAsia="仿宋_GB2312" w:hint="eastAsia"/>
          <w:sz w:val="32"/>
          <w:szCs w:val="32"/>
        </w:rPr>
        <w:t>政府性基金预算财政拨款收入支出决算表、国有资本经营预算财政拨款支出决算表、政府采购情况表</w:t>
      </w:r>
      <w:r>
        <w:rPr>
          <w:rFonts w:ascii="仿宋_GB2312" w:eastAsia="仿宋_GB2312" w:cs="DengXian-Regular" w:hint="eastAsia"/>
          <w:sz w:val="32"/>
          <w:szCs w:val="32"/>
        </w:rPr>
        <w:t>以空表列示。</w:t>
      </w:r>
    </w:p>
    <w:p w:rsidR="003403F8" w:rsidRDefault="003403F8">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2</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3403F8" w:rsidRDefault="003403F8">
      <w:pPr>
        <w:adjustRightInd w:val="0"/>
        <w:snapToGrid w:val="0"/>
        <w:spacing w:after="0" w:line="580" w:lineRule="exact"/>
        <w:ind w:firstLineChars="200" w:firstLine="640"/>
        <w:rPr>
          <w:rFonts w:ascii="仿宋_GB2312" w:eastAsia="仿宋_GB2312" w:cs="DengXian-Regular"/>
          <w:sz w:val="32"/>
          <w:szCs w:val="32"/>
        </w:rPr>
      </w:pPr>
    </w:p>
    <w:p w:rsidR="003403F8" w:rsidRDefault="003403F8" w:rsidP="00B76D46">
      <w:pPr>
        <w:widowControl/>
        <w:spacing w:after="0" w:line="580" w:lineRule="exact"/>
        <w:ind w:firstLineChars="200" w:firstLine="883"/>
        <w:jc w:val="left"/>
        <w:rPr>
          <w:rFonts w:ascii="宋体" w:cs="MS-UIGothic,Bold"/>
          <w:b/>
          <w:bCs/>
          <w:kern w:val="0"/>
          <w:sz w:val="44"/>
          <w:szCs w:val="44"/>
        </w:rPr>
        <w:sectPr w:rsidR="003403F8">
          <w:pgSz w:w="11906" w:h="16838"/>
          <w:pgMar w:top="2098" w:right="1474" w:bottom="1984" w:left="1588" w:header="851" w:footer="992" w:gutter="0"/>
          <w:cols w:space="720"/>
          <w:docGrid w:type="lines" w:linePitch="312"/>
        </w:sectPr>
      </w:pPr>
    </w:p>
    <w:p w:rsidR="003403F8" w:rsidRDefault="003403F8">
      <w:pPr>
        <w:widowControl/>
        <w:spacing w:line="1200" w:lineRule="exact"/>
        <w:jc w:val="center"/>
        <w:rPr>
          <w:rFonts w:ascii="黑体" w:eastAsia="黑体"/>
          <w:color w:val="000000"/>
          <w:sz w:val="96"/>
          <w:szCs w:val="96"/>
        </w:rPr>
      </w:pPr>
    </w:p>
    <w:p w:rsidR="003403F8" w:rsidRDefault="003403F8">
      <w:pPr>
        <w:widowControl/>
        <w:spacing w:line="1200" w:lineRule="exact"/>
        <w:jc w:val="center"/>
        <w:rPr>
          <w:rFonts w:ascii="黑体" w:eastAsia="黑体"/>
          <w:color w:val="000000"/>
          <w:sz w:val="96"/>
          <w:szCs w:val="96"/>
        </w:rPr>
      </w:pPr>
    </w:p>
    <w:p w:rsidR="003403F8" w:rsidRDefault="003403F8">
      <w:pPr>
        <w:widowControl/>
        <w:spacing w:line="1200" w:lineRule="exact"/>
        <w:jc w:val="center"/>
        <w:rPr>
          <w:rFonts w:ascii="黑体" w:eastAsia="黑体"/>
          <w:color w:val="000000"/>
          <w:sz w:val="96"/>
          <w:szCs w:val="96"/>
        </w:rPr>
      </w:pPr>
    </w:p>
    <w:p w:rsidR="003403F8" w:rsidRDefault="003403F8">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rsidR="003403F8" w:rsidRDefault="003403F8">
      <w:pPr>
        <w:widowControl/>
        <w:spacing w:line="1200" w:lineRule="exact"/>
        <w:jc w:val="center"/>
        <w:rPr>
          <w:color w:val="000000"/>
          <w:sz w:val="96"/>
          <w:szCs w:val="96"/>
        </w:rPr>
      </w:pPr>
      <w:r>
        <w:rPr>
          <w:rFonts w:ascii="黑体" w:eastAsia="黑体" w:hint="eastAsia"/>
          <w:color w:val="000000"/>
          <w:sz w:val="96"/>
          <w:szCs w:val="96"/>
        </w:rPr>
        <w:t>名词解释</w:t>
      </w:r>
    </w:p>
    <w:p w:rsidR="003403F8" w:rsidRDefault="003403F8">
      <w:pPr>
        <w:rPr>
          <w:rFonts w:ascii="宋体" w:cs="ArialUnicodeMS"/>
          <w:color w:val="000000"/>
          <w:kern w:val="0"/>
        </w:rPr>
        <w:sectPr w:rsidR="003403F8">
          <w:pgSz w:w="11906" w:h="16838"/>
          <w:pgMar w:top="2098" w:right="1474" w:bottom="1984" w:left="1588" w:header="851" w:footer="992" w:gutter="0"/>
          <w:cols w:space="720"/>
          <w:docGrid w:type="lines" w:linePitch="312"/>
        </w:sectPr>
      </w:pPr>
    </w:p>
    <w:p w:rsidR="003403F8" w:rsidRDefault="003403F8" w:rsidP="00B76D46">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rsidR="003403F8" w:rsidRDefault="003403F8" w:rsidP="00B76D46">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rsidR="003403F8" w:rsidRDefault="003403F8" w:rsidP="00B76D46">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rsidR="003403F8" w:rsidRDefault="003403F8" w:rsidP="00B76D46">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3403F8" w:rsidRDefault="003403F8" w:rsidP="00B76D46">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rsidR="003403F8" w:rsidRDefault="003403F8" w:rsidP="00B76D46">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rsidR="003403F8" w:rsidRDefault="003403F8" w:rsidP="00B76D46">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rsidR="003403F8" w:rsidRDefault="003403F8" w:rsidP="00B76D46">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rsidR="003403F8" w:rsidRDefault="003403F8" w:rsidP="00B76D46">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rsidR="003403F8" w:rsidRDefault="003403F8" w:rsidP="00B76D46">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rsidR="003403F8" w:rsidRDefault="003403F8" w:rsidP="00B76D46">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rsidR="003403F8" w:rsidRDefault="003403F8" w:rsidP="00B76D46">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3403F8" w:rsidRDefault="003403F8" w:rsidP="00B76D46">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填列单位除公务用车运行维护费以外的其他交通费用。如公务交通补贴、租车费用、出租车费用、飞机、船舶等的燃料费、维修费、保险费等。</w:t>
      </w:r>
    </w:p>
    <w:p w:rsidR="003403F8" w:rsidRDefault="003403F8" w:rsidP="00B76D46">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填列单位公务用车购置支出（含车辆购置税、牌照费）。</w:t>
      </w:r>
    </w:p>
    <w:p w:rsidR="003403F8" w:rsidRDefault="003403F8" w:rsidP="00B76D46">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填列单位除公务用车外的其他各类交通工具（如船舶、飞机）购置支出（含车辆购置税、牌照费）。</w:t>
      </w:r>
    </w:p>
    <w:p w:rsidR="003403F8" w:rsidRDefault="003403F8" w:rsidP="00B76D46">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3403F8" w:rsidRDefault="003403F8" w:rsidP="00B76D46">
      <w:pPr>
        <w:widowControl/>
        <w:spacing w:after="0" w:line="560" w:lineRule="exact"/>
        <w:ind w:firstLineChars="200" w:firstLine="643"/>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b/>
          <w:bCs/>
          <w:color w:val="000000"/>
          <w:kern w:val="0"/>
          <w:sz w:val="32"/>
          <w:szCs w:val="32"/>
        </w:rPr>
        <w:t>:</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rsidR="003403F8" w:rsidRDefault="003403F8">
      <w:pPr>
        <w:widowControl/>
        <w:spacing w:after="0" w:line="560" w:lineRule="exact"/>
        <w:ind w:firstLineChars="200" w:firstLine="640"/>
        <w:rPr>
          <w:rFonts w:ascii="仿宋_GB2312" w:eastAsia="仿宋_GB2312" w:cs="ArialUnicodeMS"/>
          <w:kern w:val="0"/>
          <w:sz w:val="32"/>
          <w:szCs w:val="32"/>
        </w:rPr>
      </w:pPr>
    </w:p>
    <w:p w:rsidR="003403F8" w:rsidRDefault="003403F8">
      <w:pPr>
        <w:widowControl/>
        <w:spacing w:after="0" w:line="560" w:lineRule="exact"/>
        <w:ind w:firstLineChars="200" w:firstLine="640"/>
        <w:rPr>
          <w:rFonts w:ascii="仿宋_GB2312" w:eastAsia="仿宋_GB2312" w:cs="ArialUnicodeMS"/>
          <w:kern w:val="0"/>
          <w:sz w:val="32"/>
          <w:szCs w:val="32"/>
        </w:rPr>
      </w:pPr>
    </w:p>
    <w:p w:rsidR="003403F8" w:rsidRDefault="003403F8">
      <w:pPr>
        <w:widowControl/>
        <w:spacing w:after="0" w:line="560" w:lineRule="exact"/>
        <w:ind w:firstLineChars="200" w:firstLine="640"/>
        <w:rPr>
          <w:rFonts w:ascii="仿宋_GB2312" w:eastAsia="仿宋_GB2312" w:cs="ArialUnicodeMS"/>
          <w:kern w:val="0"/>
          <w:sz w:val="32"/>
          <w:szCs w:val="32"/>
        </w:rPr>
      </w:pPr>
    </w:p>
    <w:p w:rsidR="003403F8" w:rsidRDefault="003403F8">
      <w:pPr>
        <w:widowControl/>
        <w:spacing w:after="0" w:line="560" w:lineRule="exact"/>
        <w:ind w:firstLineChars="200" w:firstLine="640"/>
        <w:rPr>
          <w:rFonts w:ascii="仿宋_GB2312" w:eastAsia="仿宋_GB2312" w:cs="ArialUnicodeMS"/>
          <w:kern w:val="0"/>
          <w:sz w:val="32"/>
          <w:szCs w:val="32"/>
        </w:rPr>
      </w:pPr>
    </w:p>
    <w:p w:rsidR="003403F8" w:rsidRDefault="003403F8">
      <w:pPr>
        <w:widowControl/>
        <w:spacing w:after="0" w:line="560" w:lineRule="exact"/>
        <w:ind w:firstLineChars="200" w:firstLine="640"/>
        <w:rPr>
          <w:rFonts w:ascii="仿宋_GB2312" w:eastAsia="仿宋_GB2312" w:cs="ArialUnicodeMS"/>
          <w:kern w:val="0"/>
          <w:sz w:val="32"/>
          <w:szCs w:val="32"/>
        </w:rPr>
      </w:pPr>
    </w:p>
    <w:p w:rsidR="003403F8" w:rsidRDefault="003403F8">
      <w:pPr>
        <w:widowControl/>
        <w:spacing w:after="0" w:line="560" w:lineRule="exact"/>
        <w:ind w:firstLineChars="200" w:firstLine="640"/>
        <w:rPr>
          <w:rFonts w:ascii="仿宋_GB2312" w:eastAsia="仿宋_GB2312" w:cs="ArialUnicodeMS"/>
          <w:kern w:val="0"/>
          <w:sz w:val="32"/>
          <w:szCs w:val="32"/>
        </w:rPr>
      </w:pPr>
    </w:p>
    <w:p w:rsidR="003403F8" w:rsidRDefault="003403F8">
      <w:pPr>
        <w:widowControl/>
        <w:spacing w:after="0" w:line="560" w:lineRule="exact"/>
        <w:ind w:firstLineChars="200" w:firstLine="640"/>
        <w:rPr>
          <w:rFonts w:ascii="仿宋_GB2312" w:eastAsia="仿宋_GB2312" w:cs="ArialUnicodeMS"/>
          <w:kern w:val="0"/>
          <w:sz w:val="32"/>
          <w:szCs w:val="32"/>
        </w:rPr>
      </w:pPr>
    </w:p>
    <w:p w:rsidR="003403F8" w:rsidRDefault="003403F8">
      <w:pPr>
        <w:widowControl/>
        <w:spacing w:after="0" w:line="560" w:lineRule="exact"/>
        <w:ind w:firstLineChars="200" w:firstLine="640"/>
        <w:rPr>
          <w:rFonts w:ascii="仿宋_GB2312" w:eastAsia="仿宋_GB2312" w:cs="ArialUnicodeMS"/>
          <w:kern w:val="0"/>
          <w:sz w:val="32"/>
          <w:szCs w:val="32"/>
        </w:rPr>
      </w:pPr>
    </w:p>
    <w:p w:rsidR="003403F8" w:rsidRDefault="003403F8">
      <w:pPr>
        <w:widowControl/>
        <w:spacing w:after="0" w:line="560" w:lineRule="exact"/>
        <w:ind w:firstLineChars="200" w:firstLine="640"/>
        <w:rPr>
          <w:rFonts w:ascii="仿宋_GB2312" w:eastAsia="仿宋_GB2312" w:cs="ArialUnicodeMS"/>
          <w:kern w:val="0"/>
          <w:sz w:val="32"/>
          <w:szCs w:val="32"/>
        </w:rPr>
      </w:pPr>
    </w:p>
    <w:p w:rsidR="003403F8" w:rsidRDefault="003403F8">
      <w:pPr>
        <w:widowControl/>
        <w:spacing w:after="0" w:line="560" w:lineRule="exact"/>
        <w:rPr>
          <w:rFonts w:ascii="仿宋_GB2312" w:eastAsia="仿宋_GB2312" w:cs="ArialUnicodeMS"/>
          <w:kern w:val="0"/>
          <w:sz w:val="32"/>
          <w:szCs w:val="32"/>
        </w:rPr>
      </w:pPr>
    </w:p>
    <w:sectPr w:rsidR="003403F8" w:rsidSect="00F42B35">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876" w:rsidRDefault="002D0876" w:rsidP="0044607D">
      <w:pPr>
        <w:spacing w:after="0" w:line="240" w:lineRule="auto"/>
      </w:pPr>
      <w:r>
        <w:separator/>
      </w:r>
    </w:p>
  </w:endnote>
  <w:endnote w:type="continuationSeparator" w:id="1">
    <w:p w:rsidR="002D0876" w:rsidRDefault="002D0876" w:rsidP="004460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UnicodeMS">
    <w:altName w:val="Malgun Gothic"/>
    <w:panose1 w:val="00000000000000000000"/>
    <w:charset w:val="81"/>
    <w:family w:val="auto"/>
    <w:notTrueType/>
    <w:pitch w:val="variable"/>
    <w:sig w:usb0="00000001" w:usb1="09060000" w:usb2="00000010" w:usb3="00000000" w:csb0="00080000" w:csb1="00000000"/>
  </w:font>
  <w:font w:name="MS-UIGothic,Bold">
    <w:altName w:val="Malgun Gothic"/>
    <w:panose1 w:val="00000000000000000000"/>
    <w:charset w:val="81"/>
    <w:family w:val="auto"/>
    <w:notTrueType/>
    <w:pitch w:val="variable"/>
    <w:sig w:usb0="00000001" w:usb1="09060000" w:usb2="00000010" w:usb3="00000000" w:csb0="00080000" w:csb1="00000000"/>
  </w:font>
  <w:font w:name="楷体_GB2312">
    <w:altName w:val="楷体"/>
    <w:panose1 w:val="02010609030101010101"/>
    <w:charset w:val="86"/>
    <w:family w:val="modern"/>
    <w:pitch w:val="fixed"/>
    <w:sig w:usb0="00000001" w:usb1="080E0000" w:usb2="00000010" w:usb3="00000000" w:csb0="00040000" w:csb1="00000000"/>
  </w:font>
  <w:font w:name="DengXian-Bold">
    <w:altName w:val="宋体"/>
    <w:panose1 w:val="00000000000000000000"/>
    <w:charset w:val="86"/>
    <w:family w:val="auto"/>
    <w:notTrueType/>
    <w:pitch w:val="variable"/>
    <w:sig w:usb0="00000001" w:usb1="080E0000" w:usb2="00000010" w:usb3="00000000" w:csb0="00040000" w:csb1="00000000"/>
  </w:font>
  <w:font w:name="DengXian-Regular">
    <w:altName w:val="宋体"/>
    <w:panose1 w:val="00000000000000000000"/>
    <w:charset w:val="86"/>
    <w:family w:val="auto"/>
    <w:notTrueType/>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876" w:rsidRDefault="002D0876" w:rsidP="0044607D">
      <w:pPr>
        <w:spacing w:after="0" w:line="240" w:lineRule="auto"/>
      </w:pPr>
      <w:r>
        <w:separator/>
      </w:r>
    </w:p>
  </w:footnote>
  <w:footnote w:type="continuationSeparator" w:id="1">
    <w:p w:rsidR="002D0876" w:rsidRDefault="002D0876" w:rsidP="004460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lvlRestart w:val="0"/>
      <w:suff w:val="nothing"/>
      <w:lvlText w:val="（%1）"/>
      <w:lvlJc w:val="left"/>
      <w:pPr>
        <w:tabs>
          <w:tab w:val="num" w:pos="0"/>
        </w:tabs>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NotTrackMoves/>
  <w:defaultTabStop w:val="420"/>
  <w:drawingGridHorizontalSpacing w:val="105"/>
  <w:drawingGridVerticalSpacing w:val="156"/>
  <w:displayHorizontalDrawingGridEvery w:val="0"/>
  <w:noPunctuationKerning/>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B35"/>
    <w:rsid w:val="002D0876"/>
    <w:rsid w:val="003403F8"/>
    <w:rsid w:val="0044607D"/>
    <w:rsid w:val="004E7605"/>
    <w:rsid w:val="005D1030"/>
    <w:rsid w:val="00647304"/>
    <w:rsid w:val="00885BCF"/>
    <w:rsid w:val="00951BB2"/>
    <w:rsid w:val="00B76D46"/>
    <w:rsid w:val="00F42B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B35"/>
    <w:pPr>
      <w:widowControl w:val="0"/>
      <w:spacing w:after="160" w:line="480" w:lineRule="auto"/>
      <w:jc w:val="both"/>
    </w:pPr>
    <w:rPr>
      <w:kern w:val="2"/>
      <w:sz w:val="21"/>
      <w:szCs w:val="24"/>
    </w:rPr>
  </w:style>
  <w:style w:type="paragraph" w:styleId="1">
    <w:name w:val="heading 1"/>
    <w:basedOn w:val="a"/>
    <w:next w:val="a"/>
    <w:link w:val="1Char"/>
    <w:uiPriority w:val="99"/>
    <w:qFormat/>
    <w:rsid w:val="00F42B35"/>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F42B35"/>
    <w:pPr>
      <w:keepNext/>
      <w:keepLines/>
      <w:spacing w:before="260" w:after="260" w:line="415" w:lineRule="auto"/>
      <w:outlineLvl w:val="1"/>
    </w:pPr>
    <w:rPr>
      <w:rFonts w:ascii="Calibri" w:hAnsi="Calibri" w:cs="Arial"/>
      <w:b/>
      <w:bCs/>
      <w:sz w:val="32"/>
      <w:szCs w:val="32"/>
    </w:rPr>
  </w:style>
  <w:style w:type="paragraph" w:styleId="3">
    <w:name w:val="heading 3"/>
    <w:basedOn w:val="a"/>
    <w:next w:val="a"/>
    <w:link w:val="3Char"/>
    <w:uiPriority w:val="99"/>
    <w:qFormat/>
    <w:rsid w:val="00F42B35"/>
    <w:pPr>
      <w:keepNext/>
      <w:keepLines/>
      <w:spacing w:before="260" w:after="260" w:line="415" w:lineRule="auto"/>
      <w:outlineLvl w:val="2"/>
    </w:pPr>
    <w:rPr>
      <w:b/>
      <w:bCs/>
      <w:sz w:val="32"/>
      <w:szCs w:val="32"/>
    </w:rPr>
  </w:style>
  <w:style w:type="paragraph" w:styleId="4">
    <w:name w:val="heading 4"/>
    <w:basedOn w:val="a"/>
    <w:next w:val="a"/>
    <w:link w:val="4Char"/>
    <w:uiPriority w:val="99"/>
    <w:qFormat/>
    <w:rsid w:val="00F42B35"/>
    <w:pPr>
      <w:keepNext/>
      <w:keepLines/>
      <w:spacing w:before="280" w:after="290" w:line="377" w:lineRule="auto"/>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995E24"/>
    <w:rPr>
      <w:b/>
      <w:bCs/>
      <w:kern w:val="44"/>
      <w:sz w:val="44"/>
      <w:szCs w:val="44"/>
    </w:rPr>
  </w:style>
  <w:style w:type="character" w:customStyle="1" w:styleId="2Char">
    <w:name w:val="标题 2 Char"/>
    <w:link w:val="2"/>
    <w:uiPriority w:val="9"/>
    <w:semiHidden/>
    <w:rsid w:val="00995E24"/>
    <w:rPr>
      <w:rFonts w:ascii="Cambria" w:eastAsia="宋体" w:hAnsi="Cambria" w:cs="Times New Roman"/>
      <w:b/>
      <w:bCs/>
      <w:sz w:val="32"/>
      <w:szCs w:val="32"/>
    </w:rPr>
  </w:style>
  <w:style w:type="character" w:customStyle="1" w:styleId="3Char">
    <w:name w:val="标题 3 Char"/>
    <w:link w:val="3"/>
    <w:uiPriority w:val="9"/>
    <w:semiHidden/>
    <w:rsid w:val="00995E24"/>
    <w:rPr>
      <w:b/>
      <w:bCs/>
      <w:sz w:val="32"/>
      <w:szCs w:val="32"/>
    </w:rPr>
  </w:style>
  <w:style w:type="character" w:customStyle="1" w:styleId="4Char">
    <w:name w:val="标题 4 Char"/>
    <w:link w:val="4"/>
    <w:uiPriority w:val="9"/>
    <w:semiHidden/>
    <w:rsid w:val="00995E24"/>
    <w:rPr>
      <w:rFonts w:ascii="Cambria" w:eastAsia="宋体" w:hAnsi="Cambria" w:cs="Times New Roman"/>
      <w:b/>
      <w:bCs/>
      <w:sz w:val="28"/>
      <w:szCs w:val="28"/>
    </w:rPr>
  </w:style>
  <w:style w:type="paragraph" w:styleId="a3">
    <w:name w:val="Date"/>
    <w:basedOn w:val="a"/>
    <w:next w:val="a"/>
    <w:link w:val="Char"/>
    <w:uiPriority w:val="99"/>
    <w:rsid w:val="00F42B35"/>
    <w:pPr>
      <w:ind w:leftChars="2500" w:left="2500"/>
    </w:pPr>
  </w:style>
  <w:style w:type="character" w:customStyle="1" w:styleId="Char">
    <w:name w:val="日期 Char"/>
    <w:link w:val="a3"/>
    <w:uiPriority w:val="99"/>
    <w:semiHidden/>
    <w:rsid w:val="00995E24"/>
    <w:rPr>
      <w:szCs w:val="24"/>
    </w:rPr>
  </w:style>
  <w:style w:type="paragraph" w:styleId="a4">
    <w:name w:val="Balloon Text"/>
    <w:basedOn w:val="a"/>
    <w:link w:val="Char0"/>
    <w:uiPriority w:val="99"/>
    <w:rsid w:val="00F42B35"/>
    <w:rPr>
      <w:sz w:val="18"/>
      <w:szCs w:val="18"/>
    </w:rPr>
  </w:style>
  <w:style w:type="character" w:customStyle="1" w:styleId="Char0">
    <w:name w:val="批注框文本 Char"/>
    <w:link w:val="a4"/>
    <w:uiPriority w:val="99"/>
    <w:semiHidden/>
    <w:rsid w:val="00995E24"/>
    <w:rPr>
      <w:sz w:val="0"/>
      <w:szCs w:val="0"/>
    </w:rPr>
  </w:style>
  <w:style w:type="paragraph" w:styleId="a5">
    <w:name w:val="footer"/>
    <w:basedOn w:val="a"/>
    <w:link w:val="Char1"/>
    <w:uiPriority w:val="99"/>
    <w:rsid w:val="00F42B35"/>
    <w:pPr>
      <w:tabs>
        <w:tab w:val="center" w:pos="4153"/>
        <w:tab w:val="right" w:pos="8306"/>
      </w:tabs>
      <w:snapToGrid w:val="0"/>
      <w:jc w:val="left"/>
    </w:pPr>
    <w:rPr>
      <w:rFonts w:ascii="Cambria" w:eastAsia="黑体" w:hAnsi="Cambria"/>
      <w:sz w:val="18"/>
      <w:szCs w:val="18"/>
    </w:rPr>
  </w:style>
  <w:style w:type="character" w:customStyle="1" w:styleId="Char1">
    <w:name w:val="页脚 Char"/>
    <w:link w:val="a5"/>
    <w:uiPriority w:val="99"/>
    <w:semiHidden/>
    <w:rsid w:val="00995E24"/>
    <w:rPr>
      <w:sz w:val="18"/>
      <w:szCs w:val="18"/>
    </w:rPr>
  </w:style>
  <w:style w:type="paragraph" w:styleId="a6">
    <w:name w:val="header"/>
    <w:basedOn w:val="a"/>
    <w:link w:val="Char2"/>
    <w:uiPriority w:val="99"/>
    <w:rsid w:val="00F42B35"/>
    <w:pPr>
      <w:pBdr>
        <w:bottom w:val="single" w:sz="6" w:space="1" w:color="auto"/>
      </w:pBdr>
      <w:tabs>
        <w:tab w:val="center" w:pos="4153"/>
        <w:tab w:val="right" w:pos="8306"/>
      </w:tabs>
      <w:snapToGrid w:val="0"/>
      <w:jc w:val="center"/>
    </w:pPr>
    <w:rPr>
      <w:rFonts w:ascii="Cambria" w:eastAsia="黑体" w:hAnsi="Cambria"/>
      <w:sz w:val="18"/>
      <w:szCs w:val="18"/>
    </w:rPr>
  </w:style>
  <w:style w:type="character" w:customStyle="1" w:styleId="Char2">
    <w:name w:val="页眉 Char"/>
    <w:link w:val="a6"/>
    <w:uiPriority w:val="99"/>
    <w:semiHidden/>
    <w:rsid w:val="00995E24"/>
    <w:rPr>
      <w:sz w:val="18"/>
      <w:szCs w:val="18"/>
    </w:rPr>
  </w:style>
  <w:style w:type="paragraph" w:styleId="a7">
    <w:name w:val="Subtitle"/>
    <w:basedOn w:val="a"/>
    <w:next w:val="a"/>
    <w:link w:val="Char3"/>
    <w:uiPriority w:val="99"/>
    <w:qFormat/>
    <w:rsid w:val="00F42B35"/>
    <w:pPr>
      <w:widowControl/>
      <w:spacing w:after="200" w:line="276" w:lineRule="auto"/>
      <w:jc w:val="left"/>
    </w:pPr>
    <w:rPr>
      <w:rFonts w:ascii="Calibri" w:hAnsi="Calibri" w:cs="Arial"/>
      <w:i/>
      <w:iCs/>
      <w:color w:val="F0A22E"/>
      <w:spacing w:val="15"/>
      <w:kern w:val="0"/>
      <w:sz w:val="24"/>
    </w:rPr>
  </w:style>
  <w:style w:type="character" w:customStyle="1" w:styleId="Char3">
    <w:name w:val="副标题 Char"/>
    <w:link w:val="a7"/>
    <w:uiPriority w:val="11"/>
    <w:rsid w:val="00995E24"/>
    <w:rPr>
      <w:rFonts w:ascii="Cambria" w:hAnsi="Cambria" w:cs="Times New Roman"/>
      <w:b/>
      <w:bCs/>
      <w:kern w:val="28"/>
      <w:sz w:val="32"/>
      <w:szCs w:val="32"/>
    </w:rPr>
  </w:style>
  <w:style w:type="paragraph" w:styleId="a8">
    <w:name w:val="Title"/>
    <w:basedOn w:val="a"/>
    <w:next w:val="a"/>
    <w:link w:val="Char4"/>
    <w:uiPriority w:val="99"/>
    <w:qFormat/>
    <w:rsid w:val="00F42B35"/>
    <w:pPr>
      <w:widowControl/>
      <w:pBdr>
        <w:bottom w:val="single" w:sz="8" w:space="4" w:color="F0A22E"/>
      </w:pBdr>
      <w:spacing w:after="300"/>
      <w:contextualSpacing/>
      <w:jc w:val="left"/>
    </w:pPr>
    <w:rPr>
      <w:rFonts w:ascii="Calibri" w:hAnsi="Calibri" w:cs="Arial"/>
      <w:color w:val="3A2C24"/>
      <w:spacing w:val="5"/>
      <w:kern w:val="28"/>
      <w:sz w:val="52"/>
      <w:szCs w:val="52"/>
    </w:rPr>
  </w:style>
  <w:style w:type="character" w:customStyle="1" w:styleId="Char4">
    <w:name w:val="标题 Char"/>
    <w:link w:val="a8"/>
    <w:uiPriority w:val="10"/>
    <w:rsid w:val="00995E24"/>
    <w:rPr>
      <w:rFonts w:ascii="Cambria" w:hAnsi="Cambria" w:cs="Times New Roman"/>
      <w:b/>
      <w:bCs/>
      <w:sz w:val="32"/>
      <w:szCs w:val="32"/>
    </w:rPr>
  </w:style>
  <w:style w:type="paragraph" w:customStyle="1" w:styleId="NoSpacing1">
    <w:name w:val="No Spacing1"/>
    <w:uiPriority w:val="99"/>
    <w:rsid w:val="00F42B35"/>
    <w:pPr>
      <w:spacing w:after="160" w:line="480" w:lineRule="auto"/>
    </w:pPr>
    <w:rPr>
      <w:rFonts w:ascii="Cambria" w:eastAsia="黑体" w:hAnsi="Cambria"/>
      <w:sz w:val="22"/>
      <w:szCs w:val="22"/>
    </w:rPr>
  </w:style>
  <w:style w:type="character" w:customStyle="1" w:styleId="Style1">
    <w:name w:val="Style1"/>
    <w:uiPriority w:val="99"/>
    <w:rsid w:val="00F42B35"/>
    <w:rPr>
      <w:rFonts w:ascii="Cambria" w:eastAsia="黑体" w:hAnsi="Cambria" w:cs="Times New Roman"/>
      <w:sz w:val="22"/>
      <w:szCs w:val="22"/>
      <w:lang w:eastAsia="zh-CN"/>
    </w:rPr>
  </w:style>
  <w:style w:type="character" w:customStyle="1" w:styleId="Style2">
    <w:name w:val="Style2"/>
    <w:uiPriority w:val="99"/>
    <w:rsid w:val="00F42B35"/>
    <w:rPr>
      <w:rFonts w:ascii="Cambria" w:eastAsia="黑体" w:hAnsi="Cambria" w:cs="Times New Roman"/>
      <w:sz w:val="22"/>
      <w:szCs w:val="22"/>
      <w:lang w:eastAsia="zh-CN"/>
    </w:rPr>
  </w:style>
  <w:style w:type="character" w:customStyle="1" w:styleId="Style3">
    <w:name w:val="Style3"/>
    <w:uiPriority w:val="99"/>
    <w:rsid w:val="00F42B35"/>
    <w:rPr>
      <w:rFonts w:ascii="Cambria" w:eastAsia="黑体" w:hAnsi="Cambria" w:cs="Times New Roman"/>
      <w:sz w:val="22"/>
      <w:szCs w:val="22"/>
      <w:lang w:eastAsia="zh-CN"/>
    </w:rPr>
  </w:style>
  <w:style w:type="character" w:customStyle="1" w:styleId="Style4">
    <w:name w:val="Style4"/>
    <w:uiPriority w:val="99"/>
    <w:rsid w:val="00F42B35"/>
    <w:rPr>
      <w:rFonts w:ascii="Cambria" w:eastAsia="黑体" w:hAnsi="Cambria" w:cs="Times New Roman"/>
      <w:sz w:val="22"/>
      <w:szCs w:val="22"/>
      <w:lang w:eastAsia="zh-CN"/>
    </w:rPr>
  </w:style>
  <w:style w:type="character" w:customStyle="1" w:styleId="Style5">
    <w:name w:val="Style5"/>
    <w:uiPriority w:val="99"/>
    <w:rsid w:val="00F42B35"/>
    <w:rPr>
      <w:rFonts w:ascii="Cambria" w:eastAsia="黑体" w:hAnsi="Cambria" w:cs="Times New Roman"/>
      <w:sz w:val="22"/>
      <w:szCs w:val="22"/>
      <w:lang w:eastAsia="zh-CN"/>
    </w:rPr>
  </w:style>
  <w:style w:type="paragraph" w:customStyle="1" w:styleId="ListParagraph1">
    <w:name w:val="List Paragraph1"/>
    <w:basedOn w:val="a"/>
    <w:uiPriority w:val="99"/>
    <w:rsid w:val="00F42B35"/>
    <w:pPr>
      <w:ind w:firstLineChars="200" w:firstLine="200"/>
    </w:pPr>
  </w:style>
  <w:style w:type="paragraph" w:styleId="a9">
    <w:name w:val="Normal (Web)"/>
    <w:basedOn w:val="a"/>
    <w:uiPriority w:val="99"/>
    <w:rsid w:val="00F42B35"/>
    <w:pPr>
      <w:widowControl/>
      <w:spacing w:before="100" w:beforeAutospacing="1" w:after="100" w:afterAutospacing="1" w:line="240" w:lineRule="auto"/>
      <w:jc w:val="left"/>
    </w:pPr>
    <w:rPr>
      <w:rFonts w:ascii="宋体" w:cs="宋体"/>
      <w:kern w:val="0"/>
      <w:sz w:val="24"/>
    </w:rPr>
  </w:style>
  <w:style w:type="paragraph" w:customStyle="1" w:styleId="10">
    <w:name w:val="普通(网站)1"/>
    <w:next w:val="a5"/>
    <w:uiPriority w:val="99"/>
    <w:rsid w:val="00F42B35"/>
    <w:pPr>
      <w:widowControl w:val="0"/>
    </w:pPr>
    <w:rPr>
      <w:rFonts w:ascii="Calibri" w:hAnsi="Calibri" w:cs="黑体"/>
      <w:sz w:val="24"/>
      <w:szCs w:val="24"/>
    </w:rPr>
  </w:style>
  <w:style w:type="character" w:styleId="aa">
    <w:name w:val="annotation reference"/>
    <w:uiPriority w:val="99"/>
    <w:semiHidden/>
    <w:rsid w:val="00B76D46"/>
    <w:rPr>
      <w:rFonts w:cs="Times New Roman"/>
      <w:sz w:val="21"/>
      <w:szCs w:val="21"/>
    </w:rPr>
  </w:style>
  <w:style w:type="paragraph" w:styleId="ab">
    <w:name w:val="annotation text"/>
    <w:basedOn w:val="a"/>
    <w:link w:val="Char5"/>
    <w:uiPriority w:val="99"/>
    <w:semiHidden/>
    <w:rsid w:val="00B76D46"/>
    <w:pPr>
      <w:jc w:val="left"/>
    </w:pPr>
  </w:style>
  <w:style w:type="character" w:customStyle="1" w:styleId="Char5">
    <w:name w:val="批注文字 Char"/>
    <w:link w:val="ab"/>
    <w:uiPriority w:val="99"/>
    <w:semiHidden/>
    <w:rsid w:val="00995E24"/>
    <w:rPr>
      <w:szCs w:val="24"/>
    </w:rPr>
  </w:style>
  <w:style w:type="paragraph" w:styleId="ac">
    <w:name w:val="annotation subject"/>
    <w:basedOn w:val="ab"/>
    <w:next w:val="ab"/>
    <w:link w:val="Char6"/>
    <w:uiPriority w:val="99"/>
    <w:semiHidden/>
    <w:rsid w:val="00B76D46"/>
    <w:rPr>
      <w:b/>
      <w:bCs/>
    </w:rPr>
  </w:style>
  <w:style w:type="character" w:customStyle="1" w:styleId="Char6">
    <w:name w:val="批注主题 Char"/>
    <w:link w:val="ac"/>
    <w:uiPriority w:val="99"/>
    <w:semiHidden/>
    <w:rsid w:val="00995E24"/>
    <w:rPr>
      <w:b/>
      <w:bCs/>
      <w:szCs w:val="24"/>
    </w:rPr>
  </w:style>
  <w:style w:type="paragraph" w:styleId="ad">
    <w:name w:val="Revision"/>
    <w:hidden/>
    <w:uiPriority w:val="99"/>
    <w:semiHidden/>
    <w:rsid w:val="004E760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17</Pages>
  <Words>730</Words>
  <Characters>4161</Characters>
  <Application>Microsoft Office Word</Application>
  <DocSecurity>0</DocSecurity>
  <Lines>34</Lines>
  <Paragraphs>9</Paragraphs>
  <ScaleCrop>false</ScaleCrop>
  <Company>Microsoft</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keywords/>
  <dc:description/>
  <cp:lastModifiedBy>user</cp:lastModifiedBy>
  <cp:revision>55</cp:revision>
  <cp:lastPrinted>2019-10-28T08:17:00Z</cp:lastPrinted>
  <dcterms:created xsi:type="dcterms:W3CDTF">2019-09-26T01:09:00Z</dcterms:created>
  <dcterms:modified xsi:type="dcterms:W3CDTF">2021-06-09T00:45:00Z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