
<file path=[Content_Types].xml><?xml version="1.0" encoding="utf-8"?>
<Types xmlns="http://schemas.openxmlformats.org/package/2006/content-types">
  <Default Extension="rels" ContentType="application/vnd.openxmlformats-package.relationships+xml"/>
  <Default Extension="xml" ContentType="application/xml"/>
  <Override PartName="/word/comments.xml" ContentType="application/vnd.openxmlformats-officedocument.wordprocessingml.comment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pPr>
        <w:widowControl/>
        <w:jc w:val="center"/>
        <w:rPr>
          <w:rFonts w:ascii="黑体" w:eastAsia="黑体"/>
          <w:color w:val="002060"/>
          <w:sz w:val="72"/>
          <w:szCs w:val="72"/>
        </w:rPr>
      </w:pPr>
    </w:p>
    <w:p>
      <w:pPr>
        <w:widowControl/>
        <w:jc w:val="center"/>
        <w:rPr>
          <w:rFonts w:ascii="黑体" w:eastAsia="黑体"/>
          <w:b/>
          <w:sz w:val="72"/>
          <w:szCs w:val="72"/>
        </w:rPr>
      </w:pPr>
    </w:p>
    <w:p>
      <w:pPr>
        <w:widowControl/>
        <w:jc w:val="center"/>
        <w:rPr>
          <w:rFonts w:ascii="黑体" w:eastAsia="黑体"/>
          <w:b/>
          <w:sz w:val="72"/>
          <w:szCs w:val="72"/>
        </w:rPr>
      </w:pPr>
    </w:p>
    <w:p>
      <w:pPr>
        <w:widowControl/>
        <w:jc w:val="center"/>
        <w:rPr>
          <w:rFonts w:ascii="黑体" w:eastAsia="黑体"/>
          <w:b/>
          <w:sz w:val="72"/>
          <w:szCs w:val="72"/>
        </w:rPr>
      </w:pPr>
      <w:bookmarkStart w:id="0" w:name="_GoBack"/>
      <w:bookmarkEnd w:id="0"/>
    </w:p>
    <w:p>
      <w:pPr>
        <w:widowControl/>
        <w:jc w:val="center"/>
        <w:rPr>
          <w:rFonts w:ascii="黑体" w:eastAsia="黑体"/>
          <w:b/>
          <w:sz w:val="72"/>
          <w:szCs w:val="72"/>
        </w:rPr>
      </w:pPr>
    </w:p>
    <w:p>
      <w:pPr>
        <w:widowControl/>
        <w:jc w:val="center"/>
        <w:rPr>
          <w:rFonts w:ascii="黑体" w:eastAsia="黑体"/>
          <w:b/>
          <w:sz w:val="72"/>
          <w:szCs w:val="72"/>
        </w:rPr>
      </w:pPr>
    </w:p>
    <w:p>
      <w:pPr>
        <w:jc w:val="center"/>
      </w:pPr>
      <w:r>
        <w:rPr>
          <w:rFonts w:hint="eastAsia"/>
          <w:b/>
          <w:sz w:val="44"/>
          <w:szCs w:val="44"/>
        </w:rPr>
        <w:t>廊坊市广阳区行政审批局</w:t>
      </w:r>
    </w:p>
    <w:p/>
    <w:p/>
    <w:p/>
    <w:p/>
    <w:p/>
    <w:p>
      <w:pPr>
        <w:widowControl/>
        <w:jc w:val="center"/>
        <w:rPr>
          <w:color w:val="000000"/>
          <w:sz w:val="72"/>
          <w:szCs w:val="72"/>
        </w:rPr>
      </w:pPr>
      <w:r>
        <w:rPr>
          <w:rFonts w:ascii="黑体" w:eastAsia="黑体" w:hint="eastAsia"/>
          <w:color w:val="000000"/>
          <w:sz w:val="72"/>
          <w:szCs w:val="72"/>
        </w:rPr>
        <w:t>第一部分  部门概况</w:t>
      </w:r>
    </w:p>
    <w:p/>
    <w:p/>
    <w:p/>
    <w:p/>
    <w:p/>
    <w:p/>
    <w:p/>
    <w:p/>
    <w:p/>
    <w:p/>
    <w:p/>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一、部门职责</w:t>
      </w:r>
    </w:p>
    <w:p>
      <w:pPr>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1．主要职能：广阳区行政审批局贯彻执行国家、省、市有关行政审批的方针政策、法律法规，指定行政审批局各项规章制度和管理办法，并组织实施。配合有关部门做好深化行政审批制度改革、规范审批行为，优化政务服务环境等工作。负责办理投资项目、经贸商务、环保城管、建设交通、文教卫生、社会事务、农林水务等方面行政审批及相关事务，并对审批行为承担相应的法律责任。负责协调垂管部门、双重管理部门及其他部门进驻政务服务中设置窗口，并对其行政审批工作进行规范、管理和监督。负责行政审批局业务培训和人员的教育培训、管理、监督和考核工作。负责承办区委、区政府交办的其他事项。</w:t>
      </w:r>
    </w:p>
    <w:p>
      <w:pPr>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2． 根据工作需要，结合我区实际拟设4个内设机构：（1）办公室（2）综合审批一股（3）综合审批二股（4）综合审批三股。</w:t>
      </w:r>
    </w:p>
    <w:p>
      <w:pPr>
        <w:snapToGrid w:val="0"/>
        <w:spacing w:line="520" w:lineRule="exact"/>
        <w:ind w:firstLineChars="200" w:firstLine="600"/>
        <w:rPr>
          <w:rFonts w:ascii="仿宋_GB2312" w:eastAsia="仿宋_GB2312"/>
          <w:sz w:val="30"/>
          <w:szCs w:val="30"/>
        </w:rPr>
      </w:pPr>
      <w:r>
        <w:rPr>
          <w:rFonts w:ascii="仿宋_GB2312" w:eastAsia="仿宋_GB2312" w:hint="eastAsia"/>
          <w:sz w:val="30"/>
          <w:szCs w:val="30"/>
        </w:rPr>
        <w:t>3． 人员编制是12名，但现广阳区行政审批局所有人员关系还未划转。</w:t>
      </w:r>
    </w:p>
    <w:p>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从决算编报单位构成看，纳入2018 年度本部门决算汇编范围的独立核算单位（以下简称“单位”）共1个，具体情况如下：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trPr>
          <w:trHeight w:val="596"/>
        </w:trPr>
        <w:tc>
          <w:tcPr>
            <w:tcW w:w="985"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廊坊市广阳区行政审批局</w:t>
            </w:r>
          </w:p>
        </w:tc>
        <w:tc>
          <w:tcPr>
            <w:tcW w:w="2445"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Pr>
          <w:p>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trPr>
          <w:trHeight w:val="606"/>
        </w:trPr>
        <w:tc>
          <w:tcPr>
            <w:tcW w:w="9580" w:type="dxa"/>
            <w:gridSpan w:val="4"/>
            <w:tcBorders>
              <w:top w:val="single" w:sz="4" w:space="0" w:color="auto"/>
              <w:left w:val="nil"/>
              <w:bottom w:val="nil"/>
              <w:right w:val="nil"/>
            </w:tcBorders>
          </w:tcPr>
          <w:p>
            <w:pPr>
              <w:spacing w:after="0" w:line="560" w:lineRule="exact"/>
              <w:ind w:firstLineChars="200" w:firstLine="560"/>
              <w:jc w:val="left"/>
              <w:rPr>
                <w:rFonts w:ascii="仿宋_GB2312" w:eastAsia="仿宋_GB2312" w:cs="ArialUnicodeMS"/>
                <w:kern w:val="0"/>
                <w:sz w:val="28"/>
                <w:szCs w:val="28"/>
              </w:rPr>
            </w:pPr>
          </w:p>
        </w:tc>
      </w:tr>
    </w:tbl>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p>
    <w:p>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pPr>
        <w:widowControl/>
        <w:spacing w:line="1200" w:lineRule="exact"/>
        <w:jc w:val="center"/>
        <w:rPr>
          <w:color w:val="000000"/>
          <w:sz w:val="72"/>
          <w:szCs w:val="96"/>
        </w:rPr>
      </w:pPr>
      <w:r>
        <w:rPr>
          <w:rFonts w:ascii="黑体" w:eastAsia="黑体" w:hint="eastAsia"/>
          <w:color w:val="000000"/>
          <w:sz w:val="72"/>
          <w:szCs w:val="96"/>
        </w:rPr>
        <w:t>2018年度部门决算报表</w:t>
      </w: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60" w:lineRule="exact"/>
        <w:jc w:val="center"/>
        <w:rPr>
          <w:rFonts w:ascii="黑体" w:eastAsia="黑体" w:cs="MS-UIGothic,Bold"/>
          <w:bCs/>
          <w:kern w:val="0"/>
          <w:sz w:val="52"/>
          <w:szCs w:val="52"/>
        </w:rPr>
      </w:pPr>
    </w:p>
    <w:p>
      <w:pPr>
        <w:widowControl/>
        <w:spacing w:line="580" w:lineRule="exact"/>
        <w:ind w:firstLineChars="200" w:firstLine="640"/>
        <w:rPr>
          <w:rFonts w:eastAsia="仿宋_GB2312"/>
          <w:sz w:val="20"/>
          <w:szCs w:val="32"/>
        </w:rPr>
      </w:pPr>
      <w:r>
        <w:rPr>
          <w:rFonts w:eastAsia="黑体"/>
          <w:sz w:val="32"/>
          <w:szCs w:val="32"/>
        </w:rPr>
        <w:t>第二部分   201</w:t>
      </w:r>
      <w:r>
        <w:rPr>
          <w:rFonts w:eastAsia="黑体" w:hint="eastAsia"/>
          <w:sz w:val="32"/>
          <w:szCs w:val="32"/>
        </w:rPr>
        <w:t>8</w:t>
      </w:r>
      <w:r>
        <w:rPr>
          <w:rFonts w:eastAsia="黑体"/>
          <w:sz w:val="32"/>
          <w:szCs w:val="32"/>
        </w:rPr>
        <w:t>年度部门决算报表</w:t>
      </w:r>
    </w:p>
    <w:p>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pPr>
        <w:widowControl/>
        <w:spacing w:line="580" w:lineRule="exact"/>
        <w:ind w:left="640" w:firstLineChars="200" w:firstLine="640"/>
        <w:rPr>
          <w:rFonts w:eastAsia="仿宋_GB2312"/>
          <w:sz w:val="32"/>
          <w:szCs w:val="32"/>
        </w:rPr>
      </w:pPr>
      <w:r>
        <w:rPr>
          <w:rFonts w:eastAsia="仿宋_GB2312"/>
          <w:sz w:val="32"/>
          <w:szCs w:val="32"/>
        </w:rPr>
        <w:t>二、收入决算表</w:t>
      </w:r>
    </w:p>
    <w:p>
      <w:pPr>
        <w:widowControl/>
        <w:spacing w:line="580" w:lineRule="exact"/>
        <w:ind w:left="640" w:firstLineChars="200" w:firstLine="640"/>
        <w:rPr>
          <w:rFonts w:eastAsia="仿宋_GB2312"/>
          <w:sz w:val="32"/>
          <w:szCs w:val="32"/>
        </w:rPr>
      </w:pPr>
      <w:r>
        <w:rPr>
          <w:rFonts w:eastAsia="仿宋_GB2312"/>
          <w:sz w:val="32"/>
          <w:szCs w:val="32"/>
        </w:rPr>
        <w:t>三、支出决算表</w:t>
      </w:r>
    </w:p>
    <w:p>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“三公”经费</w:t>
      </w:r>
      <w:r>
        <w:rPr>
          <w:rFonts w:eastAsia="仿宋_GB2312" w:hint="eastAsia"/>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pPr>
        <w:rPr>
          <w:rFonts w:ascii="宋体" w:cs="ArialUnicodeMS"/>
          <w:color w:val="000000"/>
          <w:kern w:val="0"/>
        </w:rPr>
      </w:pPr>
    </w:p>
    <w:p>
      <w:pPr>
        <w:tabs>
          <w:tab w:val="left" w:pos="1086"/>
        </w:tabs>
        <w:jc w:val="left"/>
        <w:rPr>
          <w:rFonts w:ascii="仿宋_GB2312" w:eastAsia="仿宋_GB2312"/>
          <w:b/>
          <w:sz w:val="28"/>
          <w:szCs w:val="28"/>
          <w:highlight w:val="yellow"/>
        </w:rPr>
        <w:sectPr>
          <w:pgSz w:w="11906" w:h="16838"/>
          <w:pgMar w:top="2098" w:right="1474" w:bottom="1984" w:left="1588" w:header="851" w:footer="992" w:gutter="0"/>
          <w:docGrid w:type="lines" w:linePitch="312" w:charSpace="0"/>
        </w:sectPr>
      </w:pPr>
      <w:r>
        <w:rPr>
          <w:rFonts w:hint="eastAsia"/>
        </w:rPr>
        <w:tab/>
      </w: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pPr>
        <w:widowControl/>
        <w:spacing w:line="1200" w:lineRule="exact"/>
        <w:jc w:val="center"/>
        <w:rPr>
          <w:color w:val="000000"/>
          <w:sz w:val="72"/>
          <w:szCs w:val="72"/>
        </w:rPr>
      </w:pPr>
      <w:r>
        <w:rPr>
          <w:rFonts w:ascii="黑体" w:eastAsia="黑体" w:hint="eastAsia"/>
          <w:color w:val="000000"/>
          <w:sz w:val="72"/>
          <w:szCs w:val="72"/>
        </w:rPr>
        <w:t>部门决算情况说明</w:t>
      </w:r>
    </w:p>
    <w:p>
      <w:pPr>
        <w:rPr>
          <w:rFonts w:ascii="宋体" w:cs="ArialUnicodeMS"/>
          <w:color w:val="000000"/>
          <w:kern w:val="0"/>
        </w:rPr>
        <w:sectPr>
          <w:pgSz w:w="11906" w:h="16838"/>
          <w:pgMar w:top="2098" w:right="1474" w:bottom="1984" w:left="1588" w:header="851" w:footer="992" w:gutter="0"/>
          <w:docGrid w:type="lines" w:linePitch="312" w:charSpace="0"/>
        </w:sectPr>
      </w:pPr>
    </w:p>
    <w:p>
      <w:pPr>
        <w:pStyle w:val="2"/>
        <w:spacing w:before="0" w:after="0" w:line="580" w:lineRule="exact"/>
        <w:ind w:firstLineChars="200" w:firstLine="640"/>
        <w:rPr>
          <w:rFonts w:ascii="黑体" w:eastAsia="黑体"/>
          <w:b w:val="0"/>
          <w:bCs w:val="0"/>
        </w:rPr>
      </w:pPr>
      <w:r>
        <w:rPr>
          <w:rFonts w:ascii="黑体" w:eastAsia="黑体" w:hint="eastAsia"/>
          <w:b w:val="0"/>
          <w:bCs w:val="0"/>
        </w:rPr>
        <w:t>一、收入</w:t>
      </w:r>
      <w:r>
        <w:rPr>
          <w:rFonts w:ascii="黑体" w:eastAsia="黑体" w:cs="黑体" w:hint="eastAsia"/>
          <w:b w:val="0"/>
          <w:bCs w:val="0"/>
          <w:kern w:val="0"/>
        </w:rPr>
        <w:t>支出</w:t>
      </w:r>
      <w:r>
        <w:rPr>
          <w:rFonts w:ascii="黑体" w:eastAsia="黑体" w:hint="eastAsia"/>
          <w:b w:val="0"/>
          <w:bCs w:val="0"/>
        </w:rPr>
        <w:t>决算总体情况说明</w:t>
      </w:r>
    </w:p>
    <w:p>
      <w:pPr>
        <w:snapToGrid w:val="0"/>
        <w:spacing w:line="520" w:lineRule="exact"/>
        <w:ind w:firstLineChars="200" w:firstLine="640"/>
        <w:rPr>
          <w:rFonts w:ascii="楷体_GB2312" w:eastAsia="楷体_GB2312"/>
          <w:sz w:val="32"/>
          <w:szCs w:val="32"/>
        </w:rPr>
      </w:pPr>
      <w:r>
        <w:rPr>
          <w:rFonts w:ascii="仿宋_GB2312" w:eastAsia="仿宋_GB2312" w:cs="DengXian-Regular" w:hint="eastAsia"/>
          <w:sz w:val="32"/>
          <w:szCs w:val="32"/>
        </w:rPr>
        <w:t>本部门2018年度收</w:t>
      </w:r>
      <w:r>
        <w:rPr>
          <w:rFonts w:ascii="仿宋_GB2312" w:eastAsia="仿宋_GB2312" w:cs="DengXian-Regular" w:hint="eastAsia"/>
          <w:sz w:val="32"/>
          <w:szCs w:val="32"/>
          <w:lang w:eastAsia="zh-CN"/>
        </w:rPr>
        <w:t>入</w:t>
      </w:r>
      <w:r>
        <w:rPr>
          <w:rFonts w:ascii="仿宋_GB2312" w:eastAsia="仿宋_GB2312" w:cs="DengXian-Regular" w:hint="eastAsia"/>
          <w:sz w:val="32"/>
          <w:szCs w:val="32"/>
        </w:rPr>
        <w:t>总计（含结转和结余）</w:t>
      </w:r>
      <w:r>
        <w:rPr>
          <w:rFonts w:ascii="楷体_GB2312" w:eastAsia="楷体_GB2312" w:hint="eastAsia"/>
          <w:sz w:val="32"/>
          <w:szCs w:val="32"/>
        </w:rPr>
        <w:t>3</w:t>
      </w:r>
      <w:r>
        <w:rPr>
          <w:rFonts w:ascii="楷体_GB2312" w:eastAsia="楷体_GB2312" w:hint="eastAsia"/>
          <w:sz w:val="32"/>
          <w:szCs w:val="32"/>
          <w:lang w:val="en-US" w:eastAsia="zh-CN"/>
        </w:rPr>
        <w:t>07.47</w:t>
      </w:r>
      <w:r>
        <w:rPr>
          <w:rFonts w:ascii="楷体_GB2312" w:eastAsia="楷体_GB2312" w:hint="eastAsia"/>
          <w:sz w:val="32"/>
          <w:szCs w:val="32"/>
        </w:rPr>
        <w:t>万元，</w:t>
      </w:r>
      <w:r>
        <w:rPr>
          <w:rFonts w:ascii="楷体_GB2312" w:eastAsia="楷体_GB2312" w:hint="eastAsia"/>
          <w:sz w:val="32"/>
          <w:szCs w:val="32"/>
          <w:lang w:eastAsia="zh-CN"/>
        </w:rPr>
        <w:t>上年结转余额</w:t>
      </w:r>
      <w:r>
        <w:rPr>
          <w:rFonts w:ascii="楷体_GB2312" w:eastAsia="楷体_GB2312" w:hint="eastAsia"/>
          <w:sz w:val="32"/>
          <w:szCs w:val="32"/>
          <w:lang w:val="en-US" w:eastAsia="zh-CN"/>
        </w:rPr>
        <w:t>44.32万元，</w:t>
      </w:r>
      <w:r>
        <w:rPr>
          <w:rFonts w:ascii="楷体_GB2312" w:eastAsia="楷体_GB2312" w:hint="eastAsia"/>
          <w:sz w:val="32"/>
          <w:szCs w:val="32"/>
          <w:lang w:eastAsia="zh-CN"/>
        </w:rPr>
        <w:t>支出总计</w:t>
      </w:r>
      <w:r>
        <w:rPr>
          <w:rFonts w:ascii="楷体_GB2312" w:eastAsia="楷体_GB2312" w:hint="eastAsia"/>
          <w:sz w:val="32"/>
          <w:szCs w:val="32"/>
          <w:lang w:val="en-US" w:eastAsia="zh-CN"/>
        </w:rPr>
        <w:t>349.45万元，结转下年2.33万元，</w:t>
      </w:r>
      <w:r>
        <w:rPr>
          <w:rFonts w:ascii="楷体_GB2312" w:eastAsia="楷体_GB2312" w:hint="eastAsia"/>
          <w:sz w:val="32"/>
          <w:szCs w:val="32"/>
        </w:rPr>
        <w:t>由于我单位</w:t>
      </w:r>
      <w:r>
        <w:rPr>
          <w:rFonts w:ascii="楷体_GB2312" w:eastAsia="楷体_GB2312" w:hint="eastAsia"/>
          <w:sz w:val="32"/>
          <w:szCs w:val="32"/>
          <w:lang w:eastAsia="zh-CN"/>
        </w:rPr>
        <w:t>正式</w:t>
      </w:r>
      <w:r>
        <w:rPr>
          <w:rFonts w:ascii="楷体_GB2312" w:eastAsia="楷体_GB2312" w:hint="eastAsia"/>
          <w:sz w:val="32"/>
          <w:szCs w:val="32"/>
        </w:rPr>
        <w:t>成立于2018年，与2017年无可比数据。</w:t>
      </w:r>
    </w:p>
    <w:p>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pPr>
        <w:adjustRightInd w:val="0"/>
        <w:snapToGrid w:val="0"/>
        <w:spacing w:after="0" w:line="580" w:lineRule="exact"/>
        <w:ind w:firstLineChars="200" w:firstLine="640"/>
        <w:rPr>
          <w:rFonts w:eastAsia="仿宋_GB2312"/>
          <w:sz w:val="32"/>
          <w:szCs w:val="32"/>
        </w:rPr>
      </w:pPr>
      <w:r>
        <w:rPr>
          <w:rFonts w:ascii="仿宋_GB2312" w:eastAsia="仿宋_GB2312" w:cs="DengXian-Regular" w:hint="eastAsia"/>
          <w:sz w:val="32"/>
          <w:szCs w:val="32"/>
        </w:rPr>
        <w:t>本部门2018年度本年收入合计</w:t>
      </w:r>
      <w:r>
        <w:rPr>
          <w:rFonts w:ascii="楷体_GB2312" w:eastAsia="楷体_GB2312" w:hint="eastAsia"/>
          <w:sz w:val="32"/>
          <w:szCs w:val="32"/>
        </w:rPr>
        <w:t>307.47万</w:t>
      </w:r>
      <w:r>
        <w:rPr>
          <w:rFonts w:ascii="仿宋_GB2312" w:eastAsia="仿宋_GB2312" w:cs="DengXian-Regular" w:hint="eastAsia"/>
          <w:sz w:val="32"/>
          <w:szCs w:val="32"/>
        </w:rPr>
        <w:t>元，其中：财政拨款收入</w:t>
      </w:r>
      <w:r>
        <w:rPr>
          <w:rFonts w:ascii="楷体_GB2312" w:eastAsia="楷体_GB2312" w:hint="eastAsia"/>
          <w:sz w:val="32"/>
          <w:szCs w:val="32"/>
        </w:rPr>
        <w:t>307.47万</w:t>
      </w:r>
      <w:r>
        <w:rPr>
          <w:rFonts w:ascii="仿宋_GB2312" w:eastAsia="仿宋_GB2312" w:cs="DengXian-Regular" w:hint="eastAsia"/>
          <w:sz w:val="32"/>
          <w:szCs w:val="32"/>
        </w:rPr>
        <w:t>元，占100%；事业收入0万元，占0%；经营收入0万元，占0%；其他收入0万元，占0%。</w:t>
      </w:r>
    </w:p>
    <w:p>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w:t>
      </w:r>
      <w:r>
        <w:rPr>
          <w:rFonts w:ascii="楷体_GB2312" w:eastAsia="楷体_GB2312" w:hint="eastAsia"/>
          <w:sz w:val="32"/>
          <w:szCs w:val="32"/>
        </w:rPr>
        <w:t>349.45万</w:t>
      </w:r>
      <w:r>
        <w:rPr>
          <w:rFonts w:ascii="仿宋_GB2312" w:eastAsia="仿宋_GB2312" w:cs="DengXian-Regular" w:hint="eastAsia"/>
          <w:sz w:val="32"/>
          <w:szCs w:val="32"/>
        </w:rPr>
        <w:t>元，其中：基本支出</w:t>
      </w:r>
      <w:r>
        <w:rPr>
          <w:rFonts w:ascii="仿宋_GB2312" w:eastAsia="仿宋_GB2312" w:cs="DengXian-Regular" w:hint="eastAsia"/>
          <w:sz w:val="32"/>
          <w:szCs w:val="32"/>
          <w:lang w:val="en-US" w:eastAsia="zh-CN"/>
        </w:rPr>
        <w:t>0</w:t>
      </w:r>
      <w:r>
        <w:rPr>
          <w:rFonts w:ascii="楷体_GB2312" w:eastAsia="楷体_GB2312" w:hint="eastAsia"/>
          <w:sz w:val="32"/>
          <w:szCs w:val="32"/>
        </w:rPr>
        <w:t>万</w:t>
      </w:r>
      <w:r>
        <w:rPr>
          <w:rFonts w:ascii="仿宋_GB2312" w:eastAsia="仿宋_GB2312" w:cs="DengXian-Regular" w:hint="eastAsia"/>
          <w:sz w:val="32"/>
          <w:szCs w:val="32"/>
        </w:rPr>
        <w:t>元，占</w:t>
      </w:r>
      <w:r>
        <w:rPr>
          <w:rFonts w:ascii="仿宋_GB2312" w:eastAsia="仿宋_GB2312" w:cs="DengXian-Regular" w:hint="eastAsia"/>
          <w:sz w:val="32"/>
          <w:szCs w:val="32"/>
          <w:lang w:val="en-US" w:eastAsia="zh-CN"/>
        </w:rPr>
        <w:t>0</w:t>
      </w:r>
      <w:r>
        <w:rPr>
          <w:rFonts w:ascii="仿宋_GB2312" w:eastAsia="仿宋_GB2312" w:cs="DengXian-Regular" w:hint="eastAsia"/>
          <w:sz w:val="32"/>
          <w:szCs w:val="32"/>
        </w:rPr>
        <w:t>%；项目支出</w:t>
      </w:r>
      <w:r>
        <w:rPr>
          <w:rFonts w:ascii="仿宋_GB2312" w:eastAsia="仿宋_GB2312" w:cs="DengXian-Regular" w:hint="eastAsia"/>
          <w:sz w:val="32"/>
          <w:szCs w:val="32"/>
          <w:lang w:val="en-US" w:eastAsia="zh-CN"/>
        </w:rPr>
        <w:t>349.45</w:t>
      </w:r>
      <w:r>
        <w:rPr>
          <w:rFonts w:ascii="仿宋_GB2312" w:eastAsia="仿宋_GB2312" w:cs="DengXian-Regular" w:hint="eastAsia"/>
          <w:sz w:val="32"/>
          <w:szCs w:val="32"/>
        </w:rPr>
        <w:t>万元，占</w:t>
      </w:r>
      <w:r>
        <w:rPr>
          <w:rFonts w:ascii="仿宋_GB2312" w:eastAsia="仿宋_GB2312" w:cs="DengXian-Regular" w:hint="eastAsia"/>
          <w:sz w:val="32"/>
          <w:szCs w:val="32"/>
          <w:lang w:val="en-US" w:eastAsia="zh-CN"/>
        </w:rPr>
        <w:t>10</w:t>
      </w:r>
      <w:r>
        <w:rPr>
          <w:rFonts w:ascii="仿宋_GB2312" w:eastAsia="仿宋_GB2312" w:cs="DengXian-Regular" w:hint="eastAsia"/>
          <w:sz w:val="32"/>
          <w:szCs w:val="32"/>
        </w:rPr>
        <w:t>0%；经营支出0万元，占0%。</w:t>
      </w:r>
    </w:p>
    <w:p>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w:t>
      </w:r>
      <w:r>
        <w:rPr>
          <w:rFonts w:ascii="楷体_GB2312" w:eastAsia="楷体_GB2312" w:hint="eastAsia"/>
          <w:sz w:val="32"/>
          <w:szCs w:val="32"/>
        </w:rPr>
        <w:t>307.47万</w:t>
      </w:r>
      <w:r>
        <w:rPr>
          <w:rFonts w:ascii="仿宋_GB2312" w:eastAsia="仿宋_GB2312" w:cs="DengXian-Regular" w:hint="eastAsia"/>
          <w:sz w:val="32"/>
          <w:szCs w:val="32"/>
        </w:rPr>
        <w:t>元；本年支出</w:t>
      </w:r>
      <w:r>
        <w:rPr>
          <w:rFonts w:ascii="仿宋_GB2312" w:eastAsia="仿宋_GB2312" w:hint="eastAsia"/>
          <w:sz w:val="32"/>
          <w:szCs w:val="32"/>
        </w:rPr>
        <w:t>349.</w:t>
      </w:r>
      <w:r>
        <w:rPr>
          <w:rFonts w:ascii="仿宋_GB2312" w:eastAsia="仿宋_GB2312" w:hint="eastAsia"/>
          <w:sz w:val="32"/>
          <w:szCs w:val="32"/>
          <w:lang w:val="en-US" w:eastAsia="zh-CN"/>
        </w:rPr>
        <w:t>45</w:t>
      </w:r>
      <w:r>
        <w:rPr>
          <w:rFonts w:ascii="楷体_GB2312" w:eastAsia="楷体_GB2312" w:hint="eastAsia"/>
          <w:sz w:val="32"/>
          <w:szCs w:val="32"/>
        </w:rPr>
        <w:t>万</w:t>
      </w:r>
      <w:r>
        <w:rPr>
          <w:rFonts w:ascii="仿宋_GB2312" w:eastAsia="仿宋_GB2312" w:cs="DengXian-Regular" w:hint="eastAsia"/>
          <w:sz w:val="32"/>
          <w:szCs w:val="32"/>
        </w:rPr>
        <w:t>元，由于我单位成立于2018年，因此无2017年对比数据。</w:t>
      </w:r>
    </w:p>
    <w:p>
      <w:pPr>
        <w:spacing w:after="0" w:line="580" w:lineRule="exact"/>
        <w:ind w:firstLineChars="200" w:firstLine="640"/>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本部门2018年度一般公共预算财政拨款收入307.47万元，完成年初预算的</w:t>
      </w:r>
      <w:r>
        <w:rPr>
          <w:rFonts w:ascii="仿宋_GB2312" w:eastAsia="仿宋_GB2312" w:cs="DengXian-Regular" w:hint="eastAsia"/>
          <w:sz w:val="32"/>
          <w:szCs w:val="32"/>
          <w:lang w:val="en-US" w:eastAsia="zh-CN"/>
        </w:rPr>
        <w:t>1</w:t>
      </w:r>
      <w:r>
        <w:rPr>
          <w:rFonts w:ascii="仿宋_GB2312" w:eastAsia="仿宋_GB2312" w:cs="DengXian-Regular" w:hint="eastAsia"/>
          <w:sz w:val="32"/>
          <w:szCs w:val="32"/>
        </w:rPr>
        <w:t>5</w:t>
      </w:r>
      <w:r>
        <w:rPr>
          <w:rFonts w:ascii="仿宋_GB2312" w:eastAsia="仿宋_GB2312" w:cs="DengXian-Regular" w:hint="eastAsia"/>
          <w:sz w:val="32"/>
          <w:szCs w:val="32"/>
          <w:lang w:val="en-US" w:eastAsia="zh-CN"/>
        </w:rPr>
        <w:t>2.97</w:t>
      </w:r>
      <w:r>
        <w:rPr>
          <w:rFonts w:ascii="仿宋_GB2312" w:eastAsia="仿宋_GB2312" w:cs="DengXian-Regular" w:hint="eastAsia"/>
          <w:sz w:val="32"/>
          <w:szCs w:val="32"/>
        </w:rPr>
        <w:t>%,比年初预算增加106.47万元，本年支出</w:t>
      </w:r>
      <w:r>
        <w:rPr>
          <w:rFonts w:ascii="仿宋_GB2312" w:eastAsia="仿宋_GB2312" w:cs="DengXian-Regular" w:hint="eastAsia"/>
          <w:sz w:val="32"/>
          <w:szCs w:val="32"/>
          <w:lang w:val="en-US" w:eastAsia="zh-CN"/>
        </w:rPr>
        <w:t>349.45</w:t>
      </w:r>
      <w:r>
        <w:rPr>
          <w:rFonts w:ascii="仿宋_GB2312" w:eastAsia="仿宋_GB2312" w:cs="DengXian-Regular" w:hint="eastAsia"/>
          <w:sz w:val="32"/>
          <w:szCs w:val="32"/>
        </w:rPr>
        <w:t>万元，完成年初预算的</w:t>
      </w:r>
      <w:r>
        <w:rPr>
          <w:rFonts w:ascii="仿宋_GB2312" w:eastAsia="仿宋_GB2312" w:cs="DengXian-Regular" w:hint="eastAsia"/>
          <w:sz w:val="32"/>
          <w:szCs w:val="32"/>
          <w:lang w:val="en-US" w:eastAsia="zh-CN"/>
        </w:rPr>
        <w:t>175</w:t>
      </w:r>
      <w:r>
        <w:rPr>
          <w:rFonts w:ascii="仿宋_GB2312" w:eastAsia="仿宋_GB2312" w:cs="DengXian-Regular" w:hint="eastAsia"/>
          <w:sz w:val="32"/>
          <w:szCs w:val="32"/>
        </w:rPr>
        <w:t>%,比年初预算增加</w:t>
      </w:r>
      <w:r>
        <w:rPr>
          <w:rFonts w:ascii="仿宋_GB2312" w:eastAsia="仿宋_GB2312" w:cs="DengXian-Regular" w:hint="eastAsia"/>
          <w:sz w:val="32"/>
          <w:szCs w:val="32"/>
          <w:lang w:val="en-US" w:eastAsia="zh-CN"/>
        </w:rPr>
        <w:t>148.45</w:t>
      </w:r>
      <w:r>
        <w:rPr>
          <w:rFonts w:ascii="仿宋_GB2312" w:eastAsia="仿宋_GB2312" w:cs="DengXian-Regular" w:hint="eastAsia"/>
          <w:sz w:val="32"/>
          <w:szCs w:val="32"/>
        </w:rPr>
        <w:t>万元</w:t>
      </w:r>
      <w:r>
        <w:rPr>
          <w:rFonts w:ascii="仿宋_GB2312" w:eastAsia="仿宋_GB2312" w:cs="DengXian-Regular" w:hint="eastAsia"/>
          <w:sz w:val="32"/>
          <w:szCs w:val="32"/>
          <w:lang w:eastAsia="zh-CN"/>
        </w:rPr>
        <w:t>，</w:t>
      </w:r>
      <w:r>
        <w:rPr>
          <w:rFonts w:ascii="仿宋_GB2312" w:eastAsia="仿宋_GB2312" w:cs="DengXian-Regular" w:hint="eastAsia"/>
          <w:sz w:val="32"/>
          <w:szCs w:val="32"/>
        </w:rPr>
        <w:t>决算数大于预算数，主要原因是</w:t>
      </w:r>
      <w:r>
        <w:rPr>
          <w:rFonts w:ascii="仿宋_GB2312" w:eastAsia="仿宋_GB2312" w:cs="DengXian-Regular" w:hint="eastAsia"/>
          <w:sz w:val="32"/>
          <w:szCs w:val="32"/>
          <w:lang w:eastAsia="zh-CN"/>
        </w:rPr>
        <w:t>需负担政务中心院内所有</w:t>
      </w:r>
      <w:r>
        <w:rPr>
          <w:rFonts w:ascii="仿宋_GB2312" w:eastAsia="仿宋_GB2312" w:cs="DengXian-Regular" w:hint="eastAsia"/>
          <w:sz w:val="32"/>
          <w:szCs w:val="32"/>
        </w:rPr>
        <w:t>单位的水费、电费、取暖费等必要开支。</w:t>
      </w:r>
      <w:r>
        <w:rPr>
          <w:rFonts w:ascii="仿宋_GB2312" w:eastAsia="仿宋_GB2312" w:cs="DengXian-Regular"/>
          <w:sz w:val="32"/>
          <w:szCs w:val="32"/>
        </w:rPr>
        <w:commentReference w:id="0"/>
      </w:r>
    </w:p>
    <w:p>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年度财政拨款支出349.45万元，主要用于以下方面，一般公共服务（类）支出349.45万元，占100%。</w:t>
      </w:r>
    </w:p>
    <w:p>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w:t>
      </w:r>
      <w:r>
        <w:rPr>
          <w:rFonts w:ascii="仿宋_GB2312" w:eastAsia="仿宋_GB2312" w:cs="DengXian-Regular" w:hint="eastAsia"/>
          <w:b/>
          <w:bCs/>
          <w:sz w:val="32"/>
          <w:szCs w:val="32"/>
        </w:rPr>
        <w:t>349.45万元</w:t>
      </w:r>
      <w:r>
        <w:rPr>
          <w:rFonts w:ascii="仿宋_GB2312" w:eastAsia="仿宋_GB2312" w:cs="DengXian-Regular" w:hint="eastAsia"/>
          <w:sz w:val="32"/>
          <w:szCs w:val="32"/>
        </w:rPr>
        <w:t>，其中：人员经费 0元，公用经费</w:t>
      </w:r>
      <w:r>
        <w:rPr>
          <w:rFonts w:ascii="仿宋_GB2312" w:eastAsia="仿宋_GB2312" w:cs="DengXian-Regular" w:hint="eastAsia"/>
          <w:b/>
          <w:bCs/>
          <w:sz w:val="32"/>
          <w:szCs w:val="32"/>
        </w:rPr>
        <w:t>349.45万元</w:t>
      </w:r>
      <w:r>
        <w:rPr>
          <w:rFonts w:ascii="仿宋_GB2312" w:eastAsia="仿宋_GB2312" w:cs="DengXian-Regular" w:hint="eastAsia"/>
          <w:sz w:val="32"/>
          <w:szCs w:val="32"/>
        </w:rPr>
        <w:t>，主要包括办公费、印刷费、咨询费、手续费、水费、电费、邮电费、取暖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本部门201</w:t>
      </w:r>
      <w:r>
        <w:rPr>
          <w:rFonts w:eastAsia="仿宋_GB2312" w:hint="eastAsia"/>
          <w:sz w:val="32"/>
          <w:szCs w:val="32"/>
        </w:rPr>
        <w:t>8</w:t>
      </w:r>
      <w:r>
        <w:rPr>
          <w:rFonts w:eastAsia="仿宋_GB2312"/>
          <w:sz w:val="32"/>
          <w:szCs w:val="32"/>
        </w:rPr>
        <w:t>年度一般公共预算财政拨款“三公”经费支出共计</w:t>
      </w:r>
      <w:r>
        <w:rPr>
          <w:rFonts w:ascii="仿宋_GB2312" w:eastAsia="仿宋_GB2312" w:hint="eastAsia"/>
          <w:sz w:val="32"/>
          <w:szCs w:val="32"/>
        </w:rPr>
        <w:t>20.35万</w:t>
      </w:r>
      <w:r>
        <w:rPr>
          <w:rFonts w:eastAsia="仿宋_GB2312"/>
          <w:sz w:val="32"/>
          <w:szCs w:val="32"/>
        </w:rPr>
        <w:t>元，主要</w:t>
      </w:r>
      <w:r>
        <w:rPr>
          <w:rFonts w:ascii="仿宋_GB2312" w:eastAsia="仿宋_GB2312" w:cs="DengXian-Regular" w:hint="eastAsia"/>
          <w:sz w:val="32"/>
          <w:szCs w:val="32"/>
        </w:rPr>
        <w:t>原因</w:t>
      </w:r>
      <w:r>
        <w:rPr>
          <w:rFonts w:eastAsia="仿宋_GB2312"/>
          <w:sz w:val="32"/>
          <w:szCs w:val="32"/>
        </w:rPr>
        <w:t>是</w:t>
      </w:r>
      <w:r>
        <w:rPr>
          <w:rFonts w:eastAsia="仿宋_GB2312" w:hint="eastAsia"/>
          <w:sz w:val="32"/>
          <w:szCs w:val="32"/>
        </w:rPr>
        <w:t>2018年因工作需要添置应急通信用车一辆，2018年成立，2017年无可比数据。</w:t>
      </w:r>
    </w:p>
    <w:p>
      <w:pPr>
        <w:adjustRightInd w:val="0"/>
        <w:snapToGrid w:val="0"/>
        <w:spacing w:line="584" w:lineRule="exact"/>
        <w:ind w:firstLineChars="200" w:firstLine="640"/>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楷体_GB2312" w:hint="eastAsia"/>
          <w:b/>
          <w:bCs/>
          <w:sz w:val="32"/>
          <w:szCs w:val="32"/>
        </w:rPr>
        <w:t>：</w:t>
      </w:r>
      <w:r>
        <w:rPr>
          <w:rFonts w:eastAsia="仿宋_GB2312"/>
          <w:sz w:val="32"/>
          <w:szCs w:val="32"/>
        </w:rPr>
        <w:t>本部门201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%，主要是</w:t>
      </w:r>
      <w:r>
        <w:rPr>
          <w:rFonts w:eastAsia="仿宋_GB2312" w:hint="eastAsia"/>
          <w:sz w:val="32"/>
          <w:szCs w:val="32"/>
        </w:rPr>
        <w:t>未发生因公出国(境)支出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%，主要是</w:t>
      </w:r>
      <w:r>
        <w:rPr>
          <w:rFonts w:eastAsia="仿宋_GB2312" w:hint="eastAsia"/>
          <w:sz w:val="32"/>
          <w:szCs w:val="32"/>
        </w:rPr>
        <w:t>未发生因公出国(境)支出</w:t>
      </w:r>
      <w:r>
        <w:rPr>
          <w:rFonts w:eastAsia="仿宋_GB2312"/>
          <w:sz w:val="32"/>
          <w:szCs w:val="32"/>
        </w:rPr>
        <w:t>。</w:t>
      </w:r>
    </w:p>
    <w:p>
      <w:pPr>
        <w:adjustRightInd w:val="0"/>
        <w:snapToGrid w:val="0"/>
        <w:spacing w:line="584" w:lineRule="exact"/>
        <w:ind w:firstLineChars="200" w:firstLine="420"/>
        <w:rPr>
          <w:rFonts w:ascii="仿宋_GB2312" w:eastAsia="仿宋_GB2312" w:cs="DengXian-Regular"/>
          <w:sz w:val="32"/>
          <w:szCs w:val="32"/>
        </w:rPr>
      </w:pPr>
      <w:r>
        <w:rPr>
          <w:rFonts w:eastAsia="楷体_GB2312"/>
          <w:b/>
          <w:bCs/>
          <w:szCs w:val="21"/>
        </w:rPr>
        <w:t>（</w:t>
      </w:r>
      <w:r>
        <w:rPr>
          <w:rFonts w:eastAsia="楷体_GB2312"/>
          <w:b/>
          <w:bCs/>
          <w:sz w:val="32"/>
          <w:szCs w:val="32"/>
        </w:rPr>
        <w:t>二）公务用车购置及运行维护费支出</w:t>
      </w:r>
      <w:r>
        <w:rPr>
          <w:rFonts w:eastAsia="楷体_GB2312" w:hint="eastAsia"/>
          <w:b/>
          <w:bCs/>
          <w:sz w:val="32"/>
          <w:szCs w:val="32"/>
        </w:rPr>
        <w:t>20.3</w:t>
      </w:r>
      <w:r>
        <w:rPr>
          <w:rFonts w:eastAsia="楷体_GB2312" w:hint="eastAsia"/>
          <w:b/>
          <w:bCs/>
          <w:sz w:val="32"/>
          <w:szCs w:val="32"/>
          <w:lang w:val="en-US" w:eastAsia="zh-CN"/>
        </w:rPr>
        <w:t>5</w:t>
      </w:r>
      <w:r>
        <w:rPr>
          <w:rFonts w:eastAsia="楷体_GB2312" w:hint="eastAsia"/>
          <w:b/>
          <w:bCs/>
          <w:sz w:val="32"/>
          <w:szCs w:val="32"/>
        </w:rPr>
        <w:t>万</w:t>
      </w:r>
      <w:r>
        <w:rPr>
          <w:rFonts w:eastAsia="楷体_GB2312"/>
          <w:b/>
          <w:bCs/>
          <w:sz w:val="32"/>
          <w:szCs w:val="32"/>
        </w:rPr>
        <w:t>元。</w:t>
      </w:r>
      <w:r>
        <w:rPr>
          <w:rFonts w:ascii="仿宋_GB2312" w:eastAsia="仿宋_GB2312" w:cs="DengXian-Regular" w:hint="eastAsia"/>
          <w:sz w:val="32"/>
          <w:szCs w:val="32"/>
        </w:rPr>
        <w:t>本部门2018</w:t>
      </w:r>
      <w:r>
        <w:rPr>
          <w:rFonts w:ascii="仿宋_GB2312" w:eastAsia="仿宋_GB2312" w:cs="DengXian-Regular" w:hint="eastAsia"/>
          <w:sz w:val="32"/>
          <w:szCs w:val="32"/>
          <w:lang w:eastAsia="zh-CN"/>
        </w:rPr>
        <w:t>度</w:t>
      </w:r>
      <w:r>
        <w:rPr>
          <w:rFonts w:ascii="仿宋_GB2312" w:eastAsia="仿宋_GB2312" w:cs="DengXian-Regular" w:hint="eastAsia"/>
          <w:sz w:val="32"/>
          <w:szCs w:val="32"/>
        </w:rPr>
        <w:t>购买应急通信车一辆；2017年无可比数据。</w:t>
      </w:r>
    </w:p>
    <w:p>
      <w:pPr>
        <w:adjustRightInd w:val="0"/>
        <w:snapToGrid w:val="0"/>
        <w:spacing w:line="584" w:lineRule="exact"/>
        <w:ind w:firstLineChars="200" w:firstLine="640"/>
        <w:rPr>
          <w:rFonts w:eastAsia="仿宋_GB2312"/>
          <w:sz w:val="32"/>
          <w:szCs w:val="32"/>
        </w:rPr>
      </w:pPr>
      <w:r>
        <w:rPr>
          <w:rFonts w:eastAsia="仿宋_GB2312"/>
          <w:b/>
          <w:sz w:val="32"/>
          <w:szCs w:val="32"/>
        </w:rPr>
        <w:t>公务用车购置费支出</w:t>
      </w:r>
      <w:r>
        <w:rPr>
          <w:rFonts w:eastAsia="仿宋_GB2312" w:hint="eastAsia"/>
          <w:b/>
          <w:sz w:val="32"/>
          <w:szCs w:val="32"/>
        </w:rPr>
        <w:t>19.62</w:t>
      </w:r>
      <w:r>
        <w:rPr>
          <w:rFonts w:eastAsia="仿宋_GB2312"/>
          <w:b/>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1</w:t>
      </w:r>
      <w:r>
        <w:rPr>
          <w:rFonts w:eastAsia="仿宋_GB2312"/>
          <w:sz w:val="32"/>
          <w:szCs w:val="32"/>
        </w:rPr>
        <w:t>辆</w:t>
      </w:r>
      <w:r>
        <w:rPr>
          <w:rFonts w:eastAsia="仿宋_GB2312" w:hint="eastAsia"/>
          <w:sz w:val="32"/>
          <w:szCs w:val="32"/>
          <w:lang w:eastAsia="zh-CN"/>
        </w:rPr>
        <w:t>，支出</w:t>
      </w:r>
      <w:r>
        <w:rPr>
          <w:rFonts w:eastAsia="仿宋_GB2312" w:hint="eastAsia"/>
          <w:sz w:val="32"/>
          <w:szCs w:val="32"/>
          <w:lang w:val="en-US" w:eastAsia="zh-CN"/>
        </w:rPr>
        <w:t>19.62万元。</w:t>
      </w:r>
      <w:r>
        <w:rPr>
          <w:rFonts w:eastAsia="仿宋_GB2312" w:hint="eastAsia"/>
          <w:sz w:val="32"/>
          <w:szCs w:val="32"/>
        </w:rPr>
        <w:t>2017年无可比数据。</w:t>
      </w:r>
    </w:p>
    <w:p>
      <w:pPr>
        <w:adjustRightInd w:val="0"/>
        <w:snapToGrid w:val="0"/>
        <w:spacing w:line="584" w:lineRule="exact"/>
        <w:ind w:firstLineChars="200" w:firstLine="640"/>
        <w:rPr>
          <w:rFonts w:eastAsia="仿宋_GB2312"/>
          <w:sz w:val="32"/>
          <w:szCs w:val="32"/>
          <w:highlight w:val="yellow"/>
        </w:rPr>
      </w:pPr>
      <w:r>
        <w:rPr>
          <w:rFonts w:eastAsia="仿宋_GB2312"/>
          <w:b/>
          <w:sz w:val="32"/>
          <w:szCs w:val="32"/>
        </w:rPr>
        <w:t>公务用车运行维护费支出</w:t>
      </w:r>
      <w:r>
        <w:rPr>
          <w:rFonts w:ascii="仿宋_GB2312" w:eastAsia="仿宋_GB2312" w:cs="DengXian-Regular" w:hint="eastAsia"/>
          <w:sz w:val="32"/>
          <w:szCs w:val="32"/>
        </w:rPr>
        <w:t>0.73万</w:t>
      </w:r>
      <w:r>
        <w:rPr>
          <w:rFonts w:eastAsia="仿宋_GB2312"/>
          <w:b/>
          <w:sz w:val="32"/>
          <w:szCs w:val="32"/>
        </w:rPr>
        <w:t>元。</w:t>
      </w:r>
      <w:r>
        <w:rPr>
          <w:rFonts w:eastAsia="仿宋_GB2312"/>
          <w:sz w:val="32"/>
          <w:szCs w:val="32"/>
        </w:rPr>
        <w:t>本部门201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1</w:t>
      </w:r>
      <w:r>
        <w:rPr>
          <w:rFonts w:eastAsia="仿宋_GB2312"/>
          <w:sz w:val="32"/>
          <w:szCs w:val="32"/>
        </w:rPr>
        <w:t>辆</w:t>
      </w:r>
      <w:r>
        <w:rPr>
          <w:rFonts w:eastAsia="仿宋_GB2312" w:hint="eastAsia"/>
          <w:sz w:val="32"/>
          <w:szCs w:val="32"/>
          <w:lang w:eastAsia="zh-CN"/>
        </w:rPr>
        <w:t>，支出费用</w:t>
      </w:r>
      <w:r>
        <w:rPr>
          <w:rFonts w:eastAsia="仿宋_GB2312" w:hint="eastAsia"/>
          <w:sz w:val="32"/>
          <w:szCs w:val="32"/>
          <w:lang w:val="en-US" w:eastAsia="zh-CN"/>
        </w:rPr>
        <w:t>0.73万元。</w:t>
      </w:r>
      <w:r>
        <w:rPr>
          <w:rFonts w:eastAsia="仿宋_GB2312" w:hint="eastAsia"/>
          <w:sz w:val="32"/>
          <w:szCs w:val="32"/>
        </w:rPr>
        <w:t>2017年无数据。</w:t>
      </w:r>
    </w:p>
    <w:p>
      <w:pPr>
        <w:ind w:firstLineChars="200" w:firstLine="640"/>
        <w:rPr>
          <w:highlight w:val="yellow"/>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本部门201</w:t>
      </w:r>
      <w:r>
        <w:rPr>
          <w:rFonts w:eastAsia="仿宋_GB2312" w:hint="eastAsia"/>
          <w:sz w:val="32"/>
          <w:szCs w:val="32"/>
        </w:rPr>
        <w:t>8</w:t>
      </w:r>
      <w:r>
        <w:rPr>
          <w:rFonts w:eastAsia="仿宋_GB2312"/>
          <w:sz w:val="32"/>
          <w:szCs w:val="32"/>
        </w:rPr>
        <w:t>年度未发生公务接待经费支出。公务接待费支出较年初预算无增减变化；</w:t>
      </w:r>
    </w:p>
    <w:p>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我单位坚持提高行政效能为目标，以依法廉洁从政为准则，深入开展审批行为，审批效能及廉洁自律等方面的监督检查，切实开展效能监察，提高行政审批效率。大力开展日常监察，加强纪律作风建设。本单位严格按照预算绩效管理办法执行预算费用。2018年度预算为五证合一业务经费100万元，主要用于单位的日常办公、审批大院的水电费、取暖费、维修费、一般设备购置、公务用车运行维护。五证合一外包服务费101万元，用于支出20名劳务派遣人员工资、保险等各项费用。</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100万五证合一业务经费全部按照要求用于审批业务运行，101万五证合一外包服务费中92.07万元用于劳务派遣人员工资及保险，由于10月份以后由人社局统一购买服务，其余资金20.66万元按照要求退回财政局。</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（三）我单位2018年度无重点项目。</w:t>
      </w:r>
    </w:p>
    <w:p>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本部门2018年度机关运行经费支出3</w:t>
      </w:r>
      <w:r>
        <w:rPr>
          <w:rFonts w:ascii="仿宋_GB2312" w:eastAsia="仿宋_GB2312" w:cs="DengXian-Regular" w:hint="eastAsia"/>
          <w:sz w:val="32"/>
          <w:szCs w:val="32"/>
          <w:lang w:val="en-US" w:eastAsia="zh-CN"/>
        </w:rPr>
        <w:t>49.45</w:t>
      </w:r>
      <w:r>
        <w:rPr>
          <w:rFonts w:ascii="仿宋_GB2312" w:eastAsia="仿宋_GB2312" w:cs="DengXian-Regular" w:hint="eastAsia"/>
          <w:sz w:val="32"/>
          <w:szCs w:val="32"/>
        </w:rPr>
        <w:t>万元，比年初预算数增加 1</w:t>
      </w:r>
      <w:r>
        <w:rPr>
          <w:rFonts w:ascii="仿宋_GB2312" w:eastAsia="仿宋_GB2312" w:cs="DengXian-Regular" w:hint="eastAsia"/>
          <w:sz w:val="32"/>
          <w:szCs w:val="32"/>
          <w:lang w:val="en-US" w:eastAsia="zh-CN"/>
        </w:rPr>
        <w:t>48</w:t>
      </w:r>
      <w:r>
        <w:rPr>
          <w:rFonts w:ascii="仿宋_GB2312" w:eastAsia="仿宋_GB2312" w:cs="DengXian-Regular" w:hint="eastAsia"/>
          <w:sz w:val="32"/>
          <w:szCs w:val="32"/>
        </w:rPr>
        <w:t>.</w:t>
      </w:r>
      <w:r>
        <w:rPr>
          <w:rFonts w:ascii="仿宋_GB2312" w:eastAsia="仿宋_GB2312" w:cs="DengXian-Regular" w:hint="eastAsia"/>
          <w:sz w:val="32"/>
          <w:szCs w:val="32"/>
          <w:lang w:val="en-US" w:eastAsia="zh-CN"/>
        </w:rPr>
        <w:t>45</w:t>
      </w:r>
      <w:r>
        <w:rPr>
          <w:rFonts w:ascii="仿宋_GB2312" w:eastAsia="仿宋_GB2312" w:cs="DengXian-Regular" w:hint="eastAsia"/>
          <w:sz w:val="32"/>
          <w:szCs w:val="32"/>
        </w:rPr>
        <w:t>万元，增长</w:t>
      </w:r>
      <w:r>
        <w:rPr>
          <w:rFonts w:ascii="仿宋_GB2312" w:eastAsia="仿宋_GB2312" w:cs="DengXian-Regular" w:hint="eastAsia"/>
          <w:sz w:val="32"/>
          <w:szCs w:val="32"/>
          <w:lang w:val="en-US" w:eastAsia="zh-CN"/>
        </w:rPr>
        <w:t>74</w:t>
      </w:r>
      <w:r>
        <w:rPr>
          <w:rFonts w:eastAsia="仿宋_GB2312" w:hint="eastAsia"/>
          <w:sz w:val="32"/>
          <w:szCs w:val="32"/>
        </w:rPr>
        <w:t>.0</w:t>
      </w:r>
      <w:r>
        <w:rPr>
          <w:rFonts w:eastAsia="仿宋_GB2312"/>
          <w:sz w:val="32"/>
          <w:szCs w:val="32"/>
        </w:rPr>
        <w:t>%</w:t>
      </w:r>
      <w:r>
        <w:rPr>
          <w:rFonts w:ascii="仿宋_GB2312" w:eastAsia="仿宋_GB2312" w:cs="DengXian-Regular" w:hint="eastAsia"/>
          <w:sz w:val="32"/>
          <w:szCs w:val="32"/>
        </w:rPr>
        <w:t>。主要原因是本单位负责审批大院所有单位的水费、电费、取暖费、维修等费用</w:t>
      </w:r>
      <w:r>
        <w:rPr>
          <w:rFonts w:ascii="仿宋_GB2312" w:eastAsia="仿宋_GB2312" w:cs="DengXian-Regular" w:hint="eastAsia"/>
          <w:sz w:val="32"/>
          <w:szCs w:val="32"/>
          <w:lang w:eastAsia="zh-CN"/>
        </w:rPr>
        <w:t>及购买服务费用</w:t>
      </w:r>
      <w:r>
        <w:rPr>
          <w:rFonts w:ascii="仿宋_GB2312" w:eastAsia="仿宋_GB2312" w:cs="DengXian-Regular" w:hint="eastAsia"/>
          <w:sz w:val="32"/>
          <w:szCs w:val="32"/>
        </w:rPr>
        <w:t>。</w:t>
      </w:r>
      <w:r>
        <w:rPr>
          <w:rFonts w:eastAsia="仿宋_GB2312"/>
          <w:sz w:val="32"/>
          <w:szCs w:val="32"/>
        </w:rPr>
        <w:t>较201</w:t>
      </w:r>
      <w:r>
        <w:rPr>
          <w:rFonts w:eastAsia="仿宋_GB2312" w:hint="eastAsia"/>
          <w:sz w:val="32"/>
          <w:szCs w:val="32"/>
        </w:rPr>
        <w:t>7</w:t>
      </w:r>
      <w:r>
        <w:rPr>
          <w:rFonts w:eastAsia="仿宋_GB2312"/>
          <w:sz w:val="32"/>
          <w:szCs w:val="32"/>
        </w:rPr>
        <w:t>年度</w:t>
      </w:r>
      <w:r>
        <w:rPr>
          <w:rFonts w:eastAsia="仿宋_GB2312" w:hint="eastAsia"/>
          <w:sz w:val="32"/>
          <w:szCs w:val="32"/>
        </w:rPr>
        <w:t>无可比数据。</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pPr>
        <w:pStyle w:val="3"/>
        <w:spacing w:before="0" w:after="0" w:line="580" w:lineRule="exact"/>
        <w:ind w:firstLineChars="200" w:firstLine="640"/>
        <w:rPr>
          <w:rFonts w:ascii="楷体_GB2312" w:eastAsia="楷体_GB2312" w:cs="DengXian-Bold"/>
          <w:b w:val="0"/>
          <w:bCs w:val="0"/>
        </w:rPr>
      </w:pPr>
      <w:r>
        <w:rPr>
          <w:rFonts w:ascii="仿宋_GB2312" w:eastAsia="仿宋_GB2312" w:cs="DengXian-Regular" w:hint="eastAsia"/>
          <w:b w:val="0"/>
          <w:bCs w:val="0"/>
        </w:rPr>
        <w:t>本部门2018年度政府采购支出总额29.88万元，从采购类型来看，</w:t>
      </w:r>
      <w:r>
        <w:rPr>
          <w:rFonts w:ascii="仿宋_GB2312" w:eastAsia="仿宋_GB2312" w:cs="仿宋_GB2312"/>
          <w:b w:val="0"/>
          <w:bCs w:val="0"/>
          <w:color w:val="000000"/>
          <w:kern w:val="0"/>
        </w:rPr>
        <w:t>政府采购货物支出</w:t>
      </w:r>
      <w:r>
        <w:rPr>
          <w:rFonts w:ascii="仿宋_GB2312" w:eastAsia="仿宋_GB2312" w:cs="仿宋_GB2312" w:hint="eastAsia"/>
          <w:b w:val="0"/>
          <w:bCs w:val="0"/>
          <w:color w:val="000000"/>
          <w:kern w:val="0"/>
        </w:rPr>
        <w:t>29.88</w:t>
      </w:r>
      <w:r>
        <w:rPr>
          <w:rFonts w:ascii="仿宋_GB2312" w:eastAsia="仿宋_GB2312" w:cs="仿宋_GB2312"/>
          <w:b w:val="0"/>
          <w:bCs w:val="0"/>
          <w:color w:val="000000"/>
          <w:kern w:val="0"/>
        </w:rPr>
        <w:t xml:space="preserve"> 万元</w:t>
      </w:r>
      <w:r>
        <w:rPr>
          <w:rFonts w:ascii="仿宋_GB2312" w:eastAsia="仿宋_GB2312" w:cs="仿宋_GB2312" w:hint="eastAsia"/>
          <w:b w:val="0"/>
          <w:bCs w:val="0"/>
          <w:color w:val="000000"/>
          <w:kern w:val="0"/>
        </w:rPr>
        <w:t>。</w:t>
      </w:r>
      <w:r>
        <w:rPr>
          <w:rFonts w:ascii="仿宋_GB2312" w:eastAsia="仿宋_GB2312" w:cs="仿宋_GB2312"/>
          <w:b w:val="0"/>
          <w:bCs w:val="0"/>
          <w:color w:val="000000"/>
          <w:kern w:val="0"/>
        </w:rPr>
        <w:t>政府采购工程支出</w:t>
      </w:r>
      <w:r>
        <w:rPr>
          <w:rFonts w:ascii="仿宋_GB2312" w:eastAsia="仿宋_GB2312" w:cs="仿宋_GB2312" w:hint="eastAsia"/>
          <w:b w:val="0"/>
          <w:bCs w:val="0"/>
          <w:color w:val="000000"/>
          <w:kern w:val="0"/>
        </w:rPr>
        <w:t>0</w:t>
      </w:r>
      <w:r>
        <w:rPr>
          <w:rFonts w:ascii="仿宋_GB2312" w:eastAsia="仿宋_GB2312" w:cs="仿宋_GB2312"/>
          <w:b w:val="0"/>
          <w:bCs w:val="0"/>
          <w:color w:val="000000"/>
          <w:kern w:val="0"/>
        </w:rPr>
        <w:t xml:space="preserve">万元、政府采购服务支出 </w:t>
      </w:r>
      <w:r>
        <w:rPr>
          <w:rFonts w:ascii="仿宋_GB2312" w:eastAsia="仿宋_GB2312" w:cs="仿宋_GB2312" w:hint="eastAsia"/>
          <w:b w:val="0"/>
          <w:bCs w:val="0"/>
          <w:color w:val="000000"/>
          <w:kern w:val="0"/>
        </w:rPr>
        <w:t>0</w:t>
      </w:r>
      <w:r>
        <w:rPr>
          <w:rFonts w:ascii="仿宋_GB2312" w:eastAsia="仿宋_GB2312" w:cs="仿宋_GB2312"/>
          <w:b w:val="0"/>
          <w:bCs w:val="0"/>
          <w:color w:val="000000"/>
          <w:kern w:val="0"/>
        </w:rPr>
        <w:t>万元。授予中小企业合同金</w:t>
      </w:r>
      <w:r>
        <w:rPr>
          <w:rFonts w:ascii="仿宋_GB2312" w:eastAsia="仿宋_GB2312" w:cs="仿宋_GB2312" w:hint="eastAsia"/>
          <w:b w:val="0"/>
          <w:bCs w:val="0"/>
          <w:color w:val="000000"/>
          <w:kern w:val="0"/>
        </w:rPr>
        <w:t>0</w:t>
      </w:r>
      <w:r>
        <w:rPr>
          <w:rFonts w:ascii="仿宋_GB2312" w:eastAsia="仿宋_GB2312" w:cs="仿宋_GB2312"/>
          <w:b w:val="0"/>
          <w:bCs w:val="0"/>
          <w:color w:val="000000"/>
          <w:kern w:val="0"/>
        </w:rPr>
        <w:t>万元，占政府采购支出总额的</w:t>
      </w:r>
      <w:r>
        <w:rPr>
          <w:rFonts w:ascii="仿宋_GB2312" w:eastAsia="仿宋_GB2312" w:cs="仿宋_GB2312" w:hint="eastAsia"/>
          <w:b w:val="0"/>
          <w:bCs w:val="0"/>
          <w:color w:val="000000"/>
          <w:kern w:val="0"/>
        </w:rPr>
        <w:t>0%，</w:t>
      </w:r>
      <w:r>
        <w:rPr>
          <w:rFonts w:ascii="仿宋_GB2312" w:eastAsia="仿宋_GB2312" w:cs="仿宋_GB2312"/>
          <w:b w:val="0"/>
          <w:bCs w:val="0"/>
          <w:color w:val="000000"/>
          <w:kern w:val="0"/>
        </w:rPr>
        <w:t>其中授予小微企业合同金额</w:t>
      </w:r>
      <w:r>
        <w:rPr>
          <w:rFonts w:ascii="仿宋_GB2312" w:eastAsia="仿宋_GB2312" w:cs="仿宋_GB2312" w:hint="eastAsia"/>
          <w:b w:val="0"/>
          <w:bCs w:val="0"/>
          <w:color w:val="000000"/>
          <w:kern w:val="0"/>
        </w:rPr>
        <w:t>0</w:t>
      </w:r>
      <w:r>
        <w:rPr>
          <w:rFonts w:ascii="仿宋_GB2312" w:eastAsia="仿宋_GB2312" w:cs="仿宋_GB2312"/>
          <w:b w:val="0"/>
          <w:bCs w:val="0"/>
          <w:color w:val="000000"/>
          <w:kern w:val="0"/>
        </w:rPr>
        <w:t>万元，占政府采购支出总额的</w:t>
      </w:r>
      <w:r>
        <w:rPr>
          <w:rFonts w:ascii="仿宋_GB2312" w:eastAsia="仿宋_GB2312" w:cs="仿宋_GB2312" w:hint="eastAsia"/>
          <w:b w:val="0"/>
          <w:bCs w:val="0"/>
          <w:color w:val="000000"/>
          <w:kern w:val="0"/>
        </w:rPr>
        <w:t>0</w:t>
      </w:r>
      <w:r>
        <w:rPr>
          <w:rFonts w:ascii="仿宋_GB2312" w:eastAsia="仿宋_GB2312" w:cs="仿宋_GB2312"/>
          <w:b w:val="0"/>
          <w:bCs w:val="0"/>
          <w:color w:val="000000"/>
          <w:kern w:val="0"/>
        </w:rPr>
        <w:t>%。</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1辆，比上年增加1辆，主要原因是广阳区行政审批局2018年开始预算运行。其中，副部（省）级及以上领导用车0辆，主要领导干部用车0辆，机要通信用和应急保障用车1辆，执法执勤用车0辆，特种专业技术用车0辆，离退休干部用车0辆，其他用车0辆；单位价值</w:t>
      </w:r>
      <w:r>
        <w:rPr>
          <w:rFonts w:ascii="仿宋_GB2312" w:eastAsia="仿宋_GB2312" w:cs="TimesNewRomanPSMT" w:hint="eastAsia"/>
          <w:sz w:val="32"/>
          <w:szCs w:val="32"/>
        </w:rPr>
        <w:t>50</w:t>
      </w:r>
      <w:r>
        <w:rPr>
          <w:rFonts w:ascii="仿宋_GB2312" w:eastAsia="仿宋_GB2312" w:cs="DengXian-Regular" w:hint="eastAsia"/>
          <w:sz w:val="32"/>
          <w:szCs w:val="32"/>
        </w:rPr>
        <w:t>万元以上通用设备0台（套），我单位成立于2018年，无上年可比数据。</w:t>
      </w:r>
    </w:p>
    <w:p>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1、本部门2018年度无国有资金经营预算收入等，无收支及结转结余情况，故09表以空表列示：</w:t>
      </w:r>
    </w:p>
    <w:p>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Chars="200" w:firstLine="880"/>
        <w:jc w:val="left"/>
        <w:rPr>
          <w:rFonts w:ascii="宋体" w:cs="MS-UIGothic,Bold"/>
          <w:b/>
          <w:bCs/>
          <w:kern w:val="0"/>
          <w:sz w:val="44"/>
          <w:szCs w:val="44"/>
        </w:rPr>
        <w:sectPr>
          <w:pgSz w:w="11906" w:h="16838"/>
          <w:pgMar w:top="2098" w:right="1474" w:bottom="1984" w:left="1588" w:header="851" w:footer="992" w:gutter="0"/>
          <w:docGrid w:type="lines" w:linePitch="312" w:charSpace="0"/>
        </w:sect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p>
    <w:p>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pPr>
        <w:widowControl/>
        <w:spacing w:line="1200" w:lineRule="exact"/>
        <w:jc w:val="center"/>
        <w:rPr>
          <w:color w:val="000000"/>
          <w:sz w:val="96"/>
          <w:szCs w:val="96"/>
        </w:rPr>
      </w:pPr>
      <w:r>
        <w:rPr>
          <w:rFonts w:ascii="黑体" w:eastAsia="黑体" w:hint="eastAsia"/>
          <w:color w:val="000000"/>
          <w:sz w:val="96"/>
          <w:szCs w:val="96"/>
        </w:rPr>
        <w:t>名词解释</w:t>
      </w:r>
    </w:p>
    <w:p>
      <w:pPr>
        <w:rPr>
          <w:rFonts w:ascii="宋体" w:cs="ArialUnicodeMS"/>
          <w:color w:val="000000"/>
          <w:kern w:val="0"/>
        </w:rPr>
        <w:sectPr>
          <w:pgSz w:w="11906" w:h="16838"/>
          <w:pgMar w:top="2098" w:right="1474" w:bottom="1984" w:left="1588" w:header="851" w:footer="992" w:gutter="0"/>
          <w:docGrid w:type="lines" w:linePitch="312" w:charSpace="0"/>
        </w:sectPr>
      </w:pP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（七）年末结转和结余：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pPr>
        <w:widowControl/>
        <w:spacing w:after="0" w:line="560" w:lineRule="exact"/>
        <w:ind w:firstLineChars="200" w:firstLine="640"/>
        <w:rPr>
          <w:rFonts w:ascii="仿宋_GB2312" w:eastAsia="仿宋_GB2312"/>
          <w:color w:val="000000"/>
          <w:kern w:val="0"/>
          <w:sz w:val="32"/>
          <w:szCs w:val="32"/>
        </w:rPr>
      </w:pPr>
      <w:r>
        <w:rPr>
          <w:rFonts w:ascii="仿宋_GB2312" w:eastAsia="仿宋_GB2312" w:hint="eastAsia"/>
          <w:b/>
          <w:bCs/>
          <w:color w:val="000000"/>
          <w:kern w:val="0"/>
          <w:sz w:val="32"/>
          <w:szCs w:val="32"/>
        </w:rPr>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Chars="200" w:firstLine="640"/>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可分为财政拨款、财政性资金基本保证、财政性资金定额或定项补助、财政性资金零补助四类。</w:t>
      </w: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ind w:firstLineChars="200" w:firstLine="640"/>
        <w:rPr>
          <w:rFonts w:ascii="仿宋_GB2312" w:eastAsia="仿宋_GB2312" w:cs="ArialUnicodeMS"/>
          <w:kern w:val="0"/>
          <w:sz w:val="32"/>
          <w:szCs w:val="32"/>
        </w:rPr>
      </w:pPr>
    </w:p>
    <w:p>
      <w:pPr>
        <w:widowControl/>
        <w:spacing w:after="0" w:line="560" w:lineRule="exact"/>
        <w:rPr>
          <w:rFonts w:ascii="仿宋_GB2312" w:eastAsia="仿宋_GB2312" w:cs="ArialUnicodeMS"/>
          <w:kern w:val="0"/>
          <w:sz w:val="32"/>
          <w:szCs w:val="32"/>
        </w:rPr>
      </w:pPr>
    </w:p>
    <w:sectPr>
      <w:pgSz w:w="11906" w:h="16838"/>
      <w:pgMar w:top="2098" w:right="1474" w:bottom="1985" w:left="1588" w:header="851" w:footer="992" w:gutter="0"/>
      <w:docGrid w:type="lines" w:linePitch="312" w:charSpace="0"/>
    </w:sectPr>
  </w:body>
</w:document>
</file>

<file path=word/comments.xml><?xml version="1.0" encoding="utf-8"?>
<w:comments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http://schemas.openxmlformats.org/drawingml/2006/wordprocessingDrawing" xmlns:pic="http://schemas.openxmlformats.org/drawingml/2006/picture" xmlns:mc="http://schemas.openxmlformats.org/markup-compatibility/2006" xmlns:w14="http://schemas.microsoft.com/office/word/2010/wordml" xmlns:a14="http://schemas.microsoft.com/office/drawing/2010/main" mc:Ignorable="w14">
  <w:comment w:id="0" w:author="by" w:date="2021-05-27T20:34:00Z" w:initials="b">
    <w:p>
      <w:pPr>
        <w:pStyle w:val="15"/>
      </w:pPr>
      <w:r>
        <w:annotationRef/>
      </w:r>
      <w:r>
        <w:rPr>
          <w:rFonts w:hint="eastAsia"/>
        </w:rPr>
        <w:t>本年支出？</w:t>
      </w:r>
    </w:p>
  </w:comment>
</w:comments>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仿宋_GB2312">
    <w:altName w:val="仿宋"/>
    <w:panose1 w:val="02010609030101010101"/>
    <w:charset w:val="86"/>
    <w:family w:val="modern"/>
    <w:pitch w:val="variable"/>
    <w:sig w:usb0="00000001" w:usb1="080E0000" w:usb2="00000000" w:usb3="00000000" w:csb0="00040000" w:csb1="00000000"/>
  </w:font>
  <w:font w:name="ArialUnicodeMS">
    <w:altName w:val="Arial Unicode MS"/>
    <w:panose1 w:val="00000000000000000000"/>
    <w:charset w:val="81"/>
    <w:family w:val="auto"/>
    <w:pitch w:val="variable"/>
    <w:sig w:usb0="00000000" w:usb1="00000000" w:usb2="00000010" w:usb3="00000000" w:csb0="00080001" w:csb1="00000000"/>
  </w:font>
  <w:font w:name="MS-UIGothic,Bold">
    <w:altName w:val="Arial Unicode MS"/>
    <w:panose1 w:val="00000000000000000000"/>
    <w:charset w:val="81"/>
    <w:family w:val="auto"/>
    <w:pitch w:val="variable"/>
    <w:sig w:usb0="00000000" w:usb1="00000000" w:usb2="00000010" w:usb3="00000000" w:csb0="00080000" w:csb1="00000000"/>
  </w:font>
  <w:font w:name="宋体">
    <w:panose1 w:val="02010600030101010101"/>
    <w:charset w:val="86"/>
    <w:family w:val="auto"/>
    <w:pitch w:val="variable"/>
    <w:sig w:usb0="00000003" w:usb1="080E0000" w:usb2="00000000" w:usb3="00000000" w:csb0="00040001" w:csb1="00000000"/>
  </w:font>
  <w:font w:name="DengXian-Regular">
    <w:altName w:val="宋体"/>
    <w:panose1 w:val="00000000000000000000"/>
    <w:charset w:val="86"/>
    <w:family w:val="auto"/>
    <w:pitch w:val="variable"/>
    <w:sig w:usb0="00000000" w:usb1="00000000" w:usb2="00000010" w:usb3="00000000" w:csb0="00040001" w:csb1="00000000"/>
  </w:font>
  <w:font w:name="楷体_GB2312">
    <w:altName w:val="楷体"/>
    <w:panose1 w:val="02010609030101010101"/>
    <w:charset w:val="86"/>
    <w:family w:val="modern"/>
    <w:pitch w:val="variable"/>
    <w:sig w:usb0="00000001" w:usb1="080E0000" w:usb2="00000000" w:usb3="00000000" w:csb0="00040000" w:csb1="00000000"/>
  </w:font>
  <w:font w:name="DengXian-Bold">
    <w:altName w:val="宋体"/>
    <w:panose1 w:val="00000000000000000000"/>
    <w:charset w:val="86"/>
    <w:family w:val="auto"/>
    <w:pitch w:val="variable"/>
    <w:sig w:usb0="00000000" w:usb1="00000000" w:usb2="00000010" w:usb3="00000000" w:csb0="00040001" w:csb1="00000000"/>
  </w:font>
  <w:font w:name="Times New Roman">
    <w:panose1 w:val="02020603050405020304"/>
    <w:charset w:val="00"/>
    <w:family w:val="roman"/>
    <w:pitch w:val="variable"/>
    <w:sig w:usb0="20007A87" w:usb1="80000000" w:usb2="00000008" w:usb3="00000000" w:csb0="000001FF" w:csb1="00000000"/>
  </w:font>
  <w:font w:name="TimesNewRomanPSMT">
    <w:altName w:val="Arial"/>
    <w:panose1 w:val="00000000000000000000"/>
    <w:charset w:val="00"/>
    <w:family w:val="swiss"/>
    <w:pitch w:val="variable"/>
    <w:sig w:usb0="00000000" w:usb1="00000000" w:usb2="00000000" w:usb3="00000000" w:csb0="00000001" w:csb1="00000000"/>
  </w:font>
  <w:font w:name="Calibri">
    <w:panose1 w:val="020F0502020204030204"/>
    <w:charset w:val="00"/>
    <w:family w:val="swiss"/>
    <w:pitch w:val="variable"/>
    <w:sig w:usb0="A00002EF" w:usb1="4000207B" w:usb2="00000000" w:usb3="00000000" w:csb0="2000009F" w:csb1="00000000"/>
  </w:font>
  <w:font w:name="Arial">
    <w:panose1 w:val="020B0604020202020204"/>
    <w:charset w:val="01"/>
    <w:family w:val="swiss"/>
    <w:pitch w:val="variable"/>
    <w:sig w:usb0="00007A87" w:usb1="80000000" w:usb2="00000008" w:usb3="00000000" w:csb0="400001FF" w:csb1="FFFF0000"/>
  </w:font>
  <w:font w:name="Cambria">
    <w:panose1 w:val="02040503050406030204"/>
    <w:charset w:val="00"/>
    <w:family w:val="roman"/>
    <w:pitch w:val="variable"/>
    <w:sig w:usb0="A00002EF" w:usb1="4000004B" w:usb2="00000000" w:usb3="00000000" w:csb0="2000009F"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70"/>
  <w:displayBackgroundShape/>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after="160" w:line="480"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Calibri" w:cs="Arial" w:hAnsi="Calibri"/>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paragraph" w:styleId="4">
    <w:name w:val="heading 4"/>
    <w:basedOn w:val="0"/>
    <w:next w:val="0"/>
    <w:pPr>
      <w:keepNext/>
      <w:keepLines/>
      <w:widowControl w:val="0"/>
      <w:spacing w:before="280" w:after="290" w:line="377" w:lineRule="auto"/>
      <w:outlineLvl w:val="3"/>
    </w:pPr>
    <w:rPr>
      <w:rFonts w:ascii="Calibri" w:cs="Arial" w:hAnsi="Calibri"/>
      <w:b/>
      <w:bCs/>
      <w:sz w:val="28"/>
      <w:szCs w:val="28"/>
    </w:rPr>
  </w:style>
  <w:style w:type="character" w:default="1" w:styleId="10">
    <w:name w:val="Default Paragraph Font"/>
  </w:style>
  <w:style w:type="paragraph" w:styleId="15">
    <w:name w:val="annotation text"/>
    <w:basedOn w:val="0"/>
    <w:pPr>
      <w:jc w:val="left"/>
    </w:pPr>
  </w:style>
  <w:style w:type="paragraph" w:styleId="16">
    <w:name w:val="Date"/>
    <w:basedOn w:val="0"/>
    <w:next w:val="0"/>
    <w:pPr>
      <w:ind w:leftChars="2500" w:left="25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mbria" w:eastAsia="黑体" w:hAnsi="Cambria"/>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20">
    <w:name w:val="Subtitle"/>
    <w:basedOn w:val="0"/>
    <w:next w:val="0"/>
    <w:pPr>
      <w:widowControl/>
      <w:spacing w:after="200" w:line="276" w:lineRule="auto"/>
      <w:jc w:val="left"/>
    </w:pPr>
    <w:rPr>
      <w:rFonts w:ascii="Calibri" w:cs="Arial" w:hAnsi="Calibri"/>
      <w:i/>
      <w:iCs/>
      <w:color w:val="F0A22E"/>
      <w:spacing w:val="15"/>
      <w:kern w:val="0"/>
      <w:sz w:val="24"/>
    </w:rPr>
  </w:style>
  <w:style w:type="paragraph" w:styleId="21">
    <w:name w:val="Title"/>
    <w:basedOn w:val="0"/>
    <w:next w:val="0"/>
    <w:pPr>
      <w:widowControl/>
      <w:pBdr>
        <w:bottom w:val="single" w:sz="8" w:space="4" w:color="F0A22E"/>
      </w:pBdr>
      <w:spacing w:after="300"/>
      <w:contextualSpacing/>
      <w:jc w:val="left"/>
    </w:pPr>
    <w:rPr>
      <w:rFonts w:ascii="Calibri" w:cs="Arial" w:hAnsi="Calibri"/>
      <w:color w:val="3A2C24"/>
      <w:spacing w:val="5"/>
      <w:kern w:val="28"/>
      <w:sz w:val="52"/>
      <w:szCs w:val="52"/>
    </w:rPr>
  </w:style>
  <w:style w:type="character" w:styleId="22">
    <w:name w:val="annotation reference"/>
    <w:basedOn w:val="10"/>
    <w:rPr>
      <w:sz w:val="21"/>
      <w:szCs w:val="21"/>
    </w:rPr>
  </w:style>
  <w:style w:type="paragraph" w:customStyle="1" w:styleId="23">
    <w:name w:val="无间隔1"/>
    <w:pPr>
      <w:spacing w:after="160" w:line="480" w:lineRule="auto"/>
    </w:pPr>
    <w:rPr>
      <w:rFonts w:ascii="Cambria" w:eastAsia="黑体" w:cs="Times New Roman" w:hAnsi="Cambria"/>
      <w:sz w:val="22"/>
      <w:szCs w:val="22"/>
      <w:lang w:val="en-US" w:eastAsia="zh-CN" w:bidi="ar-SA"/>
    </w:rPr>
  </w:style>
  <w:style w:type="character" w:customStyle="1" w:styleId="24">
    <w:name w:val="Style1"/>
    <w:basedOn w:val="10"/>
    <w:rPr>
      <w:rFonts w:ascii="Cambria" w:eastAsia="黑体" w:cs="Times New Roman" w:hAnsi="Cambria"/>
      <w:sz w:val="22"/>
      <w:szCs w:val="22"/>
      <w:lang w:eastAsia="zh-CN"/>
    </w:rPr>
  </w:style>
  <w:style w:type="character" w:customStyle="1" w:styleId="25">
    <w:name w:val="Style2"/>
    <w:basedOn w:val="10"/>
    <w:rPr>
      <w:rFonts w:ascii="Cambria" w:eastAsia="黑体" w:cs="Times New Roman" w:hAnsi="Cambria"/>
      <w:sz w:val="22"/>
      <w:szCs w:val="22"/>
      <w:lang w:eastAsia="zh-CN"/>
    </w:rPr>
  </w:style>
  <w:style w:type="character" w:customStyle="1" w:styleId="26">
    <w:name w:val="Style3"/>
    <w:basedOn w:val="10"/>
    <w:rPr>
      <w:rFonts w:ascii="Cambria" w:eastAsia="黑体" w:cs="Times New Roman" w:hAnsi="Cambria"/>
      <w:szCs w:val="22"/>
      <w:lang w:eastAsia="zh-CN"/>
    </w:rPr>
  </w:style>
  <w:style w:type="character" w:customStyle="1" w:styleId="27">
    <w:name w:val="Style4"/>
    <w:basedOn w:val="10"/>
    <w:rPr>
      <w:rFonts w:ascii="Cambria" w:eastAsia="黑体" w:cs="Times New Roman" w:hAnsi="Cambria"/>
      <w:szCs w:val="22"/>
      <w:lang w:eastAsia="zh-CN"/>
    </w:rPr>
  </w:style>
  <w:style w:type="character" w:customStyle="1" w:styleId="28">
    <w:name w:val="Style5"/>
    <w:basedOn w:val="10"/>
    <w:rPr>
      <w:rFonts w:ascii="Cambria" w:eastAsia="黑体" w:cs="Times New Roman" w:hAnsi="Cambria"/>
      <w:sz w:val="22"/>
      <w:szCs w:val="22"/>
      <w:lang w:eastAsia="zh-CN"/>
    </w:rPr>
  </w:style>
  <w:style w:type="paragraph" w:customStyle="1" w:styleId="29">
    <w:name w:val="列出段落1"/>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113</TotalTime>
  <Application>Yozo_Office</Application>
  <Pages>15</Pages>
  <Words>3898</Words>
  <Characters>4195</Characters>
  <Lines>240</Lines>
  <Paragraphs>86</Paragraphs>
  <CharactersWithSpaces>4207</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2017年度部门决算</dc:title>
  <dc:subject>石家庄市xxx部门</dc:subject>
  <dc:creator>User</dc:creator>
  <cp:lastModifiedBy>lenovo</cp:lastModifiedBy>
  <cp:revision>50</cp:revision>
  <cp:lastPrinted>2019-09-27T00:42:00Z</cp:lastPrinted>
  <dcterms:created xsi:type="dcterms:W3CDTF">2019-09-26T01:09:00Z</dcterms:created>
  <dcterms:modified xsi:type="dcterms:W3CDTF">2021-06-03T01:32:50Z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2052-10.1.0.7520</vt:lpwstr>
  </property>
</Properties>
</file>