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7CD" w:rsidRDefault="002667CD">
      <w:pPr>
        <w:widowControl/>
        <w:spacing w:line="1200" w:lineRule="exact"/>
        <w:jc w:val="center"/>
        <w:rPr>
          <w:rFonts w:ascii="黑体" w:eastAsia="黑体"/>
          <w:color w:val="000000"/>
          <w:sz w:val="96"/>
          <w:szCs w:val="96"/>
        </w:rPr>
      </w:pPr>
    </w:p>
    <w:p w:rsidR="002667CD" w:rsidRDefault="002667CD">
      <w:pPr>
        <w:widowControl/>
        <w:spacing w:line="1200" w:lineRule="exact"/>
        <w:jc w:val="center"/>
        <w:rPr>
          <w:rFonts w:ascii="黑体" w:eastAsia="黑体"/>
          <w:color w:val="000000"/>
          <w:sz w:val="96"/>
          <w:szCs w:val="96"/>
        </w:rPr>
      </w:pPr>
    </w:p>
    <w:p w:rsidR="002667CD" w:rsidRDefault="00034965">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2667CD" w:rsidRDefault="002667CD">
      <w:pPr>
        <w:widowControl/>
        <w:jc w:val="center"/>
        <w:rPr>
          <w:rFonts w:ascii="黑体" w:eastAsia="黑体"/>
          <w:color w:val="002060"/>
          <w:sz w:val="72"/>
          <w:szCs w:val="72"/>
        </w:rPr>
      </w:pPr>
    </w:p>
    <w:p w:rsidR="002667CD" w:rsidRDefault="002667CD">
      <w:pPr>
        <w:widowControl/>
        <w:jc w:val="center"/>
        <w:rPr>
          <w:rFonts w:ascii="黑体" w:eastAsia="黑体"/>
          <w:b/>
          <w:sz w:val="72"/>
          <w:szCs w:val="72"/>
        </w:rPr>
      </w:pPr>
    </w:p>
    <w:p w:rsidR="002667CD" w:rsidRDefault="002667CD">
      <w:pPr>
        <w:widowControl/>
        <w:jc w:val="center"/>
        <w:rPr>
          <w:rFonts w:ascii="黑体" w:eastAsia="黑体"/>
          <w:b/>
          <w:sz w:val="72"/>
          <w:szCs w:val="72"/>
        </w:rPr>
      </w:pPr>
    </w:p>
    <w:p w:rsidR="002667CD" w:rsidRDefault="002667CD">
      <w:pPr>
        <w:widowControl/>
        <w:jc w:val="center"/>
        <w:rPr>
          <w:rFonts w:ascii="黑体" w:eastAsia="黑体"/>
          <w:b/>
          <w:sz w:val="72"/>
          <w:szCs w:val="72"/>
        </w:rPr>
      </w:pPr>
    </w:p>
    <w:p w:rsidR="002667CD" w:rsidRDefault="002667CD">
      <w:pPr>
        <w:widowControl/>
        <w:jc w:val="center"/>
        <w:rPr>
          <w:rFonts w:ascii="黑体" w:eastAsia="黑体"/>
          <w:b/>
          <w:sz w:val="72"/>
          <w:szCs w:val="72"/>
        </w:rPr>
      </w:pPr>
    </w:p>
    <w:p w:rsidR="002667CD" w:rsidRDefault="002667CD">
      <w:pPr>
        <w:widowControl/>
        <w:jc w:val="center"/>
        <w:rPr>
          <w:rFonts w:ascii="黑体" w:eastAsia="黑体"/>
          <w:b/>
          <w:sz w:val="72"/>
          <w:szCs w:val="72"/>
        </w:rPr>
      </w:pPr>
    </w:p>
    <w:p w:rsidR="002667CD" w:rsidRDefault="00034965">
      <w:pPr>
        <w:jc w:val="center"/>
      </w:pPr>
      <w:r>
        <w:rPr>
          <w:rFonts w:hint="eastAsia"/>
          <w:b/>
          <w:sz w:val="44"/>
          <w:szCs w:val="44"/>
        </w:rPr>
        <w:t>廊坊市广阳区食品药品监督管理局</w:t>
      </w:r>
    </w:p>
    <w:p w:rsidR="002667CD" w:rsidRDefault="002667CD"/>
    <w:p w:rsidR="002667CD" w:rsidRDefault="002667CD"/>
    <w:p w:rsidR="002667CD" w:rsidRDefault="002667CD"/>
    <w:p w:rsidR="002667CD" w:rsidRDefault="002667CD"/>
    <w:p w:rsidR="002667CD" w:rsidRDefault="00034965">
      <w:pPr>
        <w:widowControl/>
        <w:jc w:val="center"/>
        <w:rPr>
          <w:color w:val="000000"/>
          <w:sz w:val="72"/>
          <w:szCs w:val="72"/>
        </w:rPr>
      </w:pPr>
      <w:r>
        <w:rPr>
          <w:rFonts w:ascii="黑体" w:eastAsia="黑体" w:hint="eastAsia"/>
          <w:color w:val="000000"/>
          <w:sz w:val="72"/>
          <w:szCs w:val="72"/>
        </w:rPr>
        <w:t>第一部分</w:t>
      </w:r>
      <w:r>
        <w:rPr>
          <w:rFonts w:ascii="黑体" w:eastAsia="黑体" w:hint="eastAsia"/>
          <w:color w:val="000000"/>
          <w:sz w:val="72"/>
          <w:szCs w:val="72"/>
        </w:rPr>
        <w:t xml:space="preserve">  </w:t>
      </w:r>
      <w:r>
        <w:rPr>
          <w:rFonts w:ascii="黑体" w:eastAsia="黑体" w:hint="eastAsia"/>
          <w:color w:val="000000"/>
          <w:sz w:val="72"/>
          <w:szCs w:val="72"/>
        </w:rPr>
        <w:t>部门概况</w:t>
      </w:r>
    </w:p>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2667CD"/>
    <w:p w:rsidR="002667CD" w:rsidRDefault="00034965">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⑴、贯彻执行国家、省、市食品（含食品添加剂、保健食品，下同）、药品（含中药、民族药，下同）、医疗器械、化妆品监督管理的法律法规和方针政策。</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⑵、承担全区食品（含酒类）生产、流通、消费环节监督管理工作；根据食品安全风险监测方案开展食品安全风险监测。</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⑶、负责药品、医疗器械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⑷、负责化妆品的监督管理和全区不良反应监测的管理。</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⑸、监督实施中药材生产质量管理规范、中药饮片炮制规范。依法实施中药品种保护制度。</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⑹、负责制定食品、药品、医疗器械、化妆品监督管理的稽查制度并组织实施，组织查处重大违法行为。监督实施问题产品召回和处置制度。</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⑺、负责食品药品安全事故应急体系建设，组织指导食品药品安全事故应急处置和调查处理工作，监督事故查处落实情况。</w:t>
      </w:r>
    </w:p>
    <w:p w:rsidR="002667CD" w:rsidRDefault="00034965">
      <w:pPr>
        <w:rPr>
          <w:rFonts w:ascii="仿宋_GB2312" w:eastAsia="仿宋_GB2312"/>
          <w:sz w:val="32"/>
          <w:szCs w:val="32"/>
        </w:rPr>
      </w:pPr>
      <w:r>
        <w:rPr>
          <w:rFonts w:ascii="仿宋_GB2312" w:eastAsia="仿宋_GB2312"/>
          <w:sz w:val="32"/>
          <w:szCs w:val="32"/>
        </w:rPr>
        <w:lastRenderedPageBreak/>
        <w:t xml:space="preserve">   </w:t>
      </w:r>
      <w:r>
        <w:rPr>
          <w:rFonts w:ascii="仿宋_GB2312" w:eastAsia="仿宋_GB2312" w:hint="eastAsia"/>
          <w:sz w:val="32"/>
          <w:szCs w:val="32"/>
        </w:rPr>
        <w:t>⑻、负责食品、药品、医疗器械、化妆品安全信息系统一公布制度和重大信息直报制度，公布重大安全信息。负责对食品、药品、医疗器械、化妆品等广告进行检查和监测。</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⑼、负责制定全区食品药品安全科技发展规划并组织实施，推动食品药品检验监测体系、电子监管追溯体系和信息</w:t>
      </w:r>
      <w:r>
        <w:rPr>
          <w:rFonts w:ascii="仿宋_GB2312" w:eastAsia="仿宋_GB2312" w:hint="eastAsia"/>
          <w:sz w:val="32"/>
          <w:szCs w:val="32"/>
        </w:rPr>
        <w:t>化建设。</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⑽、负责开展食品药品安全宣传、教育培训、交流合作。推进诚信体系建设。</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⑾、按规定组织实施食品药品等从业人员的培训和执业资格准入制度。</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⑿、负责指导和监督全区食品药品监督管理工作，规范行政执法行为，推动完善行政执法与刑事司法衔接机制。</w:t>
      </w:r>
    </w:p>
    <w:p w:rsidR="002667CD" w:rsidRDefault="0003496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⒀、承担区政府食品安全委员会日常工作。负责安全监督管理综合协调，推动健全协调联动机制。督促检查乡镇（办事处）、园区和区直有关部门履行食品药品安全监督管理职责，并负责考核评价。</w:t>
      </w:r>
    </w:p>
    <w:p w:rsidR="002667CD" w:rsidRDefault="00034965">
      <w:pPr>
        <w:pStyle w:val="1"/>
        <w:spacing w:before="0" w:after="0" w:line="600" w:lineRule="exact"/>
        <w:ind w:firstLine="642"/>
        <w:jc w:val="left"/>
        <w:rPr>
          <w:rFonts w:ascii="仿宋_GB2312" w:eastAsia="仿宋_GB2312"/>
          <w:sz w:val="32"/>
          <w:szCs w:val="32"/>
        </w:rPr>
      </w:pPr>
      <w:r>
        <w:rPr>
          <w:rFonts w:ascii="仿宋_GB2312" w:eastAsia="仿宋_GB2312" w:hint="eastAsia"/>
          <w:b w:val="0"/>
          <w:bCs w:val="0"/>
          <w:kern w:val="2"/>
          <w:sz w:val="32"/>
          <w:szCs w:val="32"/>
        </w:rPr>
        <w:t>⒁、承办区政府及区食品安全委员会交办的其他事项。</w:t>
      </w:r>
    </w:p>
    <w:p w:rsidR="002667CD" w:rsidRDefault="00034965">
      <w:pPr>
        <w:pStyle w:val="1"/>
        <w:spacing w:before="0" w:after="0" w:line="600" w:lineRule="exact"/>
        <w:ind w:firstLine="642"/>
        <w:jc w:val="left"/>
        <w:rPr>
          <w:rFonts w:ascii="黑体" w:eastAsia="黑体" w:cs="黑体"/>
          <w:b w:val="0"/>
          <w:bCs w:val="0"/>
          <w:kern w:val="0"/>
          <w:sz w:val="32"/>
          <w:szCs w:val="32"/>
        </w:rPr>
      </w:pPr>
      <w:r>
        <w:rPr>
          <w:rFonts w:ascii="黑体" w:eastAsia="黑体" w:cs="黑体" w:hint="eastAsia"/>
          <w:b w:val="0"/>
          <w:bCs w:val="0"/>
          <w:kern w:val="0"/>
          <w:sz w:val="32"/>
          <w:szCs w:val="32"/>
        </w:rPr>
        <w:t>二、机构设</w:t>
      </w:r>
      <w:r>
        <w:rPr>
          <w:rFonts w:ascii="黑体" w:eastAsia="黑体" w:cs="黑体" w:hint="eastAsia"/>
          <w:b w:val="0"/>
          <w:bCs w:val="0"/>
          <w:kern w:val="0"/>
          <w:sz w:val="32"/>
          <w:szCs w:val="32"/>
        </w:rPr>
        <w:t>置</w:t>
      </w:r>
    </w:p>
    <w:p w:rsidR="002667CD" w:rsidRDefault="00034965">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85"/>
        <w:gridCol w:w="3485"/>
        <w:gridCol w:w="2445"/>
        <w:gridCol w:w="2665"/>
      </w:tblGrid>
      <w:tr w:rsidR="002667CD">
        <w:trPr>
          <w:trHeight w:val="811"/>
        </w:trPr>
        <w:tc>
          <w:tcPr>
            <w:tcW w:w="985" w:type="dxa"/>
            <w:vAlign w:val="center"/>
          </w:tcPr>
          <w:p w:rsidR="002667CD" w:rsidRDefault="00034965">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lastRenderedPageBreak/>
              <w:t>序号</w:t>
            </w:r>
          </w:p>
        </w:tc>
        <w:tc>
          <w:tcPr>
            <w:tcW w:w="3485" w:type="dxa"/>
            <w:vAlign w:val="center"/>
          </w:tcPr>
          <w:p w:rsidR="002667CD" w:rsidRDefault="00034965">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2667CD" w:rsidRDefault="00034965">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2667CD" w:rsidRDefault="00034965">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2667CD">
        <w:trPr>
          <w:trHeight w:val="596"/>
        </w:trPr>
        <w:tc>
          <w:tcPr>
            <w:tcW w:w="985" w:type="dxa"/>
          </w:tcPr>
          <w:p w:rsidR="002667CD" w:rsidRDefault="00034965">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2667CD" w:rsidRDefault="00034965">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廊坊市广阳区食品药品监督管理局</w:t>
            </w:r>
            <w:r>
              <w:rPr>
                <w:rFonts w:ascii="仿宋_GB2312" w:eastAsia="仿宋_GB2312" w:cs="ArialUnicodeMS" w:hint="eastAsia"/>
                <w:kern w:val="0"/>
                <w:sz w:val="28"/>
                <w:szCs w:val="28"/>
              </w:rPr>
              <w:t>(</w:t>
            </w:r>
            <w:r>
              <w:rPr>
                <w:rFonts w:ascii="仿宋_GB2312" w:eastAsia="仿宋_GB2312" w:cs="ArialUnicodeMS" w:hint="eastAsia"/>
                <w:kern w:val="0"/>
                <w:sz w:val="28"/>
                <w:szCs w:val="28"/>
              </w:rPr>
              <w:t>本级</w:t>
            </w:r>
            <w:r>
              <w:rPr>
                <w:rFonts w:ascii="仿宋_GB2312" w:eastAsia="仿宋_GB2312" w:cs="ArialUnicodeMS" w:hint="eastAsia"/>
                <w:kern w:val="0"/>
                <w:sz w:val="28"/>
                <w:szCs w:val="28"/>
              </w:rPr>
              <w:t>)</w:t>
            </w:r>
          </w:p>
        </w:tc>
        <w:tc>
          <w:tcPr>
            <w:tcW w:w="2445" w:type="dxa"/>
          </w:tcPr>
          <w:p w:rsidR="002667CD" w:rsidRDefault="00034965">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2667CD" w:rsidRDefault="00034965">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2667CD">
        <w:trPr>
          <w:trHeight w:val="606"/>
        </w:trPr>
        <w:tc>
          <w:tcPr>
            <w:tcW w:w="9580" w:type="dxa"/>
            <w:gridSpan w:val="4"/>
            <w:tcBorders>
              <w:top w:val="single" w:sz="4" w:space="0" w:color="auto"/>
              <w:left w:val="nil"/>
              <w:bottom w:val="nil"/>
              <w:right w:val="nil"/>
            </w:tcBorders>
          </w:tcPr>
          <w:p w:rsidR="002667CD" w:rsidRDefault="002667CD">
            <w:pPr>
              <w:spacing w:after="0" w:line="560" w:lineRule="exact"/>
              <w:ind w:firstLineChars="200" w:firstLine="560"/>
              <w:jc w:val="left"/>
              <w:rPr>
                <w:rFonts w:ascii="仿宋_GB2312" w:eastAsia="仿宋_GB2312" w:cs="ArialUnicodeMS"/>
                <w:kern w:val="0"/>
                <w:sz w:val="28"/>
                <w:szCs w:val="28"/>
              </w:rPr>
            </w:pPr>
          </w:p>
        </w:tc>
      </w:tr>
    </w:tbl>
    <w:p w:rsidR="002667CD" w:rsidRDefault="002667CD">
      <w:pPr>
        <w:widowControl/>
        <w:spacing w:line="560" w:lineRule="exact"/>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sectPr w:rsidR="002667CD">
          <w:pgSz w:w="11906" w:h="16838"/>
          <w:pgMar w:top="2098" w:right="1474" w:bottom="1984" w:left="1588" w:header="851" w:footer="992" w:gutter="0"/>
          <w:cols w:space="720"/>
          <w:docGrid w:type="lines" w:linePitch="312"/>
        </w:sectPr>
      </w:pPr>
    </w:p>
    <w:p w:rsidR="002667CD" w:rsidRDefault="002667CD">
      <w:pPr>
        <w:widowControl/>
        <w:spacing w:line="1200" w:lineRule="exact"/>
        <w:jc w:val="center"/>
        <w:rPr>
          <w:rFonts w:ascii="黑体" w:eastAsia="黑体"/>
          <w:color w:val="000000"/>
          <w:sz w:val="72"/>
          <w:szCs w:val="96"/>
        </w:rPr>
      </w:pPr>
    </w:p>
    <w:p w:rsidR="002667CD" w:rsidRDefault="002667CD">
      <w:pPr>
        <w:widowControl/>
        <w:spacing w:line="1200" w:lineRule="exact"/>
        <w:jc w:val="center"/>
        <w:rPr>
          <w:rFonts w:ascii="黑体" w:eastAsia="黑体"/>
          <w:color w:val="000000"/>
          <w:sz w:val="72"/>
          <w:szCs w:val="96"/>
        </w:rPr>
      </w:pPr>
    </w:p>
    <w:p w:rsidR="002667CD" w:rsidRDefault="002667CD">
      <w:pPr>
        <w:widowControl/>
        <w:spacing w:line="1200" w:lineRule="exact"/>
        <w:jc w:val="center"/>
        <w:rPr>
          <w:rFonts w:ascii="黑体" w:eastAsia="黑体"/>
          <w:color w:val="000000"/>
          <w:sz w:val="72"/>
          <w:szCs w:val="96"/>
        </w:rPr>
      </w:pPr>
    </w:p>
    <w:p w:rsidR="002667CD" w:rsidRDefault="00034965">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2667CD" w:rsidRDefault="00034965">
      <w:pPr>
        <w:widowControl/>
        <w:spacing w:line="1200" w:lineRule="exact"/>
        <w:jc w:val="center"/>
        <w:rPr>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2667CD">
      <w:pPr>
        <w:widowControl/>
        <w:spacing w:line="560" w:lineRule="exact"/>
        <w:jc w:val="center"/>
        <w:rPr>
          <w:rFonts w:ascii="黑体" w:eastAsia="黑体" w:cs="MS-UIGothic,Bold"/>
          <w:bCs/>
          <w:kern w:val="0"/>
          <w:sz w:val="52"/>
          <w:szCs w:val="52"/>
        </w:rPr>
      </w:pPr>
    </w:p>
    <w:p w:rsidR="002667CD" w:rsidRDefault="00034965">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二、收入决算表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三、支出决算表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667CD" w:rsidRDefault="00034965">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667CD" w:rsidRDefault="00034965">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667CD" w:rsidRDefault="00034965">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2667CD" w:rsidRDefault="00034965">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2667CD" w:rsidRDefault="002667CD">
      <w:pPr>
        <w:rPr>
          <w:rFonts w:ascii="宋体" w:cs="ArialUnicodeMS"/>
          <w:color w:val="000000"/>
          <w:kern w:val="0"/>
        </w:rPr>
      </w:pPr>
    </w:p>
    <w:p w:rsidR="002667CD" w:rsidRDefault="00034965">
      <w:pPr>
        <w:tabs>
          <w:tab w:val="left" w:pos="1086"/>
        </w:tabs>
        <w:jc w:val="left"/>
        <w:rPr>
          <w:rFonts w:ascii="仿宋_GB2312" w:eastAsia="仿宋_GB2312"/>
          <w:b/>
          <w:sz w:val="28"/>
          <w:szCs w:val="28"/>
          <w:highlight w:val="yellow"/>
        </w:rPr>
        <w:sectPr w:rsidR="002667CD">
          <w:pgSz w:w="11906" w:h="16838"/>
          <w:pgMar w:top="2098" w:right="1474" w:bottom="1984" w:left="1588" w:header="851" w:footer="992" w:gutter="0"/>
          <w:cols w:space="720"/>
          <w:docGrid w:type="lines" w:linePitch="312"/>
        </w:sectPr>
      </w:pPr>
      <w:r>
        <w:rPr>
          <w:rFonts w:hint="eastAsia"/>
        </w:rPr>
        <w:tab/>
      </w:r>
    </w:p>
    <w:p w:rsidR="002667CD" w:rsidRDefault="002667CD">
      <w:pPr>
        <w:widowControl/>
        <w:spacing w:line="1200" w:lineRule="exact"/>
        <w:jc w:val="center"/>
        <w:rPr>
          <w:rFonts w:ascii="黑体" w:eastAsia="黑体"/>
          <w:color w:val="000000"/>
          <w:sz w:val="96"/>
          <w:szCs w:val="96"/>
        </w:rPr>
      </w:pPr>
    </w:p>
    <w:p w:rsidR="002667CD" w:rsidRDefault="002667CD">
      <w:pPr>
        <w:widowControl/>
        <w:spacing w:line="1200" w:lineRule="exact"/>
        <w:jc w:val="center"/>
        <w:rPr>
          <w:rFonts w:ascii="黑体" w:eastAsia="黑体"/>
          <w:color w:val="000000"/>
          <w:sz w:val="96"/>
          <w:szCs w:val="96"/>
        </w:rPr>
      </w:pPr>
    </w:p>
    <w:p w:rsidR="002667CD" w:rsidRDefault="002667CD">
      <w:pPr>
        <w:widowControl/>
        <w:spacing w:line="1200" w:lineRule="exact"/>
        <w:jc w:val="center"/>
        <w:rPr>
          <w:rFonts w:ascii="黑体" w:eastAsia="黑体"/>
          <w:color w:val="000000"/>
          <w:sz w:val="96"/>
          <w:szCs w:val="96"/>
        </w:rPr>
      </w:pPr>
    </w:p>
    <w:p w:rsidR="002667CD" w:rsidRDefault="00034965">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2667CD" w:rsidRDefault="00034965">
      <w:pPr>
        <w:widowControl/>
        <w:spacing w:line="1200" w:lineRule="exact"/>
        <w:jc w:val="center"/>
        <w:rPr>
          <w:color w:val="000000"/>
          <w:sz w:val="72"/>
          <w:szCs w:val="72"/>
        </w:rPr>
      </w:pPr>
      <w:r>
        <w:rPr>
          <w:rFonts w:ascii="黑体" w:eastAsia="黑体" w:hint="eastAsia"/>
          <w:color w:val="000000"/>
          <w:sz w:val="72"/>
          <w:szCs w:val="72"/>
        </w:rPr>
        <w:t>部门决算情况说明</w:t>
      </w:r>
    </w:p>
    <w:p w:rsidR="002667CD" w:rsidRDefault="002667CD">
      <w:pPr>
        <w:rPr>
          <w:rFonts w:ascii="宋体" w:cs="ArialUnicodeMS"/>
          <w:color w:val="000000"/>
          <w:kern w:val="0"/>
        </w:rPr>
        <w:sectPr w:rsidR="002667CD">
          <w:pgSz w:w="11906" w:h="16838"/>
          <w:pgMar w:top="2098" w:right="1474" w:bottom="1984" w:left="1588" w:header="851" w:footer="992" w:gutter="0"/>
          <w:cols w:space="720"/>
          <w:docGrid w:type="lines" w:linePitch="312"/>
        </w:sectPr>
      </w:pPr>
    </w:p>
    <w:p w:rsidR="002667CD" w:rsidRDefault="00034965">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年度收入（含结余和结转）总计</w:t>
      </w:r>
      <w:r>
        <w:rPr>
          <w:rFonts w:ascii="仿宋_GB2312" w:eastAsia="仿宋_GB2312" w:cs="DengXian-Regular" w:hint="eastAsia"/>
          <w:sz w:val="32"/>
          <w:szCs w:val="32"/>
        </w:rPr>
        <w:t>773.53</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hint="eastAsia"/>
          <w:sz w:val="32"/>
          <w:szCs w:val="32"/>
        </w:rPr>
        <w:t>145.62</w:t>
      </w:r>
      <w:r>
        <w:rPr>
          <w:rFonts w:ascii="仿宋_GB2312" w:eastAsia="仿宋_GB2312" w:cs="DengXian-Regular" w:hint="eastAsia"/>
          <w:sz w:val="32"/>
          <w:szCs w:val="32"/>
        </w:rPr>
        <w:t>万元，增长</w:t>
      </w:r>
      <w:r>
        <w:rPr>
          <w:rFonts w:ascii="仿宋_GB2312" w:eastAsia="仿宋_GB2312" w:cs="DengXian-Regular" w:hint="eastAsia"/>
          <w:sz w:val="32"/>
          <w:szCs w:val="32"/>
        </w:rPr>
        <w:t>23.2%</w:t>
      </w:r>
      <w:r>
        <w:rPr>
          <w:rFonts w:ascii="仿宋_GB2312" w:eastAsia="仿宋_GB2312" w:cs="DengXian-Regular" w:hint="eastAsia"/>
          <w:sz w:val="32"/>
          <w:szCs w:val="32"/>
        </w:rPr>
        <w:t>，主要原因是由于工资、保险增加，执法监管专项增加，抽检经费增加。</w:t>
      </w:r>
    </w:p>
    <w:p w:rsidR="002667CD" w:rsidRDefault="0003496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667CD" w:rsidRDefault="00034965">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751.34</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718.80</w:t>
      </w:r>
      <w:r>
        <w:rPr>
          <w:rFonts w:ascii="仿宋_GB2312" w:eastAsia="仿宋_GB2312" w:cs="DengXian-Regular" w:hint="eastAsia"/>
          <w:sz w:val="32"/>
          <w:szCs w:val="32"/>
        </w:rPr>
        <w:t>万元，占</w:t>
      </w:r>
      <w:r>
        <w:rPr>
          <w:rFonts w:ascii="仿宋_GB2312" w:eastAsia="仿宋_GB2312" w:cs="DengXian-Regular" w:hint="eastAsia"/>
          <w:sz w:val="32"/>
          <w:szCs w:val="32"/>
        </w:rPr>
        <w:t>96.0%</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；其他收入</w:t>
      </w:r>
      <w:r>
        <w:rPr>
          <w:rFonts w:ascii="仿宋_GB2312" w:eastAsia="仿宋_GB2312" w:cs="DengXian-Regular" w:hint="eastAsia"/>
          <w:sz w:val="32"/>
          <w:szCs w:val="32"/>
        </w:rPr>
        <w:t>32.54</w:t>
      </w:r>
      <w:r>
        <w:rPr>
          <w:rFonts w:ascii="仿宋_GB2312" w:eastAsia="仿宋_GB2312" w:cs="DengXian-Regular" w:hint="eastAsia"/>
          <w:sz w:val="32"/>
          <w:szCs w:val="32"/>
        </w:rPr>
        <w:t>万元，占</w:t>
      </w:r>
      <w:r>
        <w:rPr>
          <w:rFonts w:ascii="仿宋_GB2312" w:eastAsia="仿宋_GB2312" w:cs="DengXian-Regular" w:hint="eastAsia"/>
          <w:sz w:val="32"/>
          <w:szCs w:val="32"/>
        </w:rPr>
        <w:t>4.0%</w:t>
      </w:r>
      <w:r>
        <w:rPr>
          <w:rFonts w:ascii="仿宋_GB2312" w:eastAsia="仿宋_GB2312" w:cs="DengXian-Regular" w:hint="eastAsia"/>
          <w:sz w:val="32"/>
          <w:szCs w:val="32"/>
        </w:rPr>
        <w:t>。</w:t>
      </w:r>
    </w:p>
    <w:p w:rsidR="002667CD" w:rsidRDefault="00034965">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760.76</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566.04</w:t>
      </w:r>
      <w:r>
        <w:rPr>
          <w:rFonts w:ascii="仿宋_GB2312" w:eastAsia="仿宋_GB2312" w:cs="DengXian-Regular" w:hint="eastAsia"/>
          <w:sz w:val="32"/>
          <w:szCs w:val="32"/>
        </w:rPr>
        <w:t>万元，占</w:t>
      </w:r>
      <w:r>
        <w:rPr>
          <w:rFonts w:ascii="仿宋_GB2312" w:eastAsia="仿宋_GB2312" w:cs="DengXian-Regular" w:hint="eastAsia"/>
          <w:sz w:val="32"/>
          <w:szCs w:val="32"/>
        </w:rPr>
        <w:t>74.4%</w:t>
      </w:r>
      <w:r>
        <w:rPr>
          <w:rFonts w:ascii="仿宋_GB2312" w:eastAsia="仿宋_GB2312" w:cs="DengXian-Regular" w:hint="eastAsia"/>
          <w:sz w:val="32"/>
          <w:szCs w:val="32"/>
        </w:rPr>
        <w:t>；项目支出</w:t>
      </w:r>
      <w:r>
        <w:rPr>
          <w:rFonts w:ascii="仿宋_GB2312" w:eastAsia="仿宋_GB2312" w:cs="DengXian-Regular" w:hint="eastAsia"/>
          <w:sz w:val="32"/>
          <w:szCs w:val="32"/>
        </w:rPr>
        <w:t>194.72</w:t>
      </w:r>
      <w:r>
        <w:rPr>
          <w:rFonts w:ascii="仿宋_GB2312" w:eastAsia="仿宋_GB2312" w:cs="DengXian-Regular" w:hint="eastAsia"/>
          <w:sz w:val="32"/>
          <w:szCs w:val="32"/>
        </w:rPr>
        <w:t>万元，占</w:t>
      </w:r>
      <w:r>
        <w:rPr>
          <w:rFonts w:ascii="仿宋_GB2312" w:eastAsia="仿宋_GB2312" w:cs="DengXian-Regular" w:hint="eastAsia"/>
          <w:sz w:val="32"/>
          <w:szCs w:val="32"/>
        </w:rPr>
        <w:t>25.6%</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p>
    <w:p w:rsidR="002667CD" w:rsidRDefault="00034965">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2667CD" w:rsidRDefault="00034965">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718.80</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129.40</w:t>
      </w:r>
      <w:r>
        <w:rPr>
          <w:rFonts w:ascii="仿宋_GB2312" w:eastAsia="仿宋_GB2312" w:cs="DengXian-Regular" w:hint="eastAsia"/>
          <w:sz w:val="32"/>
          <w:szCs w:val="32"/>
        </w:rPr>
        <w:t>万元，增长</w:t>
      </w:r>
      <w:r>
        <w:rPr>
          <w:rFonts w:ascii="仿宋_GB2312" w:eastAsia="仿宋_GB2312" w:cs="DengXian-Regular" w:hint="eastAsia"/>
          <w:sz w:val="32"/>
          <w:szCs w:val="32"/>
        </w:rPr>
        <w:t>21.9%</w:t>
      </w:r>
      <w:r>
        <w:rPr>
          <w:rFonts w:ascii="仿宋_GB2312" w:eastAsia="仿宋_GB2312" w:cs="DengXian-Regular" w:hint="eastAsia"/>
          <w:sz w:val="32"/>
          <w:szCs w:val="32"/>
        </w:rPr>
        <w:t>，主要原因是工资、保险的增加，市场监管增强，抽检经费增加；本年支出</w:t>
      </w:r>
      <w:r>
        <w:rPr>
          <w:rFonts w:ascii="仿宋_GB2312" w:eastAsia="仿宋_GB2312" w:cs="DengXian-Regular" w:hint="eastAsia"/>
          <w:sz w:val="32"/>
          <w:szCs w:val="32"/>
        </w:rPr>
        <w:t>760.76</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155.07</w:t>
      </w:r>
      <w:r>
        <w:rPr>
          <w:rFonts w:ascii="仿宋_GB2312" w:eastAsia="仿宋_GB2312" w:cs="DengXian-Regular" w:hint="eastAsia"/>
          <w:sz w:val="32"/>
          <w:szCs w:val="32"/>
        </w:rPr>
        <w:t>万元，增长</w:t>
      </w:r>
      <w:r>
        <w:rPr>
          <w:rFonts w:ascii="仿宋_GB2312" w:eastAsia="仿宋_GB2312" w:cs="DengXian-Regular" w:hint="eastAsia"/>
          <w:sz w:val="32"/>
          <w:szCs w:val="32"/>
        </w:rPr>
        <w:t>25.6%</w:t>
      </w:r>
      <w:r>
        <w:rPr>
          <w:rFonts w:ascii="仿宋_GB2312" w:eastAsia="仿宋_GB2312" w:cs="DengXian-Regular" w:hint="eastAsia"/>
          <w:sz w:val="32"/>
          <w:szCs w:val="32"/>
        </w:rPr>
        <w:t>，主要原因是人员工资、保险的增加，市场监管增强，抽检经费增加。</w:t>
      </w:r>
    </w:p>
    <w:p w:rsidR="002667CD" w:rsidRDefault="00034965">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718.80</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143.4%,</w:t>
      </w:r>
      <w:r>
        <w:rPr>
          <w:rFonts w:ascii="仿宋_GB2312" w:eastAsia="仿宋_GB2312" w:cs="DengXian-Regular" w:hint="eastAsia"/>
          <w:sz w:val="32"/>
          <w:szCs w:val="32"/>
        </w:rPr>
        <w:t>比年初预算增加</w:t>
      </w:r>
      <w:r>
        <w:rPr>
          <w:rFonts w:ascii="仿宋_GB2312" w:eastAsia="仿宋_GB2312" w:cs="DengXian-Regular" w:hint="eastAsia"/>
          <w:sz w:val="32"/>
          <w:szCs w:val="32"/>
        </w:rPr>
        <w:t>217.69</w:t>
      </w:r>
      <w:r>
        <w:rPr>
          <w:rFonts w:ascii="仿宋_GB2312" w:eastAsia="仿宋_GB2312" w:cs="DengXian-Regular" w:hint="eastAsia"/>
          <w:sz w:val="32"/>
          <w:szCs w:val="32"/>
        </w:rPr>
        <w:t>万元，决算数大于预算数，主要原因是人员经费增加，监管经费增加。本年支出</w:t>
      </w:r>
      <w:r>
        <w:rPr>
          <w:rFonts w:ascii="仿宋_GB2312" w:eastAsia="仿宋_GB2312" w:cs="DengXian-Regular" w:hint="eastAsia"/>
          <w:sz w:val="32"/>
          <w:szCs w:val="32"/>
        </w:rPr>
        <w:t>760.76</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151.8%,</w:t>
      </w:r>
      <w:r>
        <w:rPr>
          <w:rFonts w:ascii="仿宋_GB2312" w:eastAsia="仿宋_GB2312" w:cs="DengXian-Regular" w:hint="eastAsia"/>
          <w:sz w:val="32"/>
          <w:szCs w:val="32"/>
        </w:rPr>
        <w:t>比年初预算增加</w:t>
      </w:r>
      <w:r>
        <w:rPr>
          <w:rFonts w:ascii="仿宋_GB2312" w:eastAsia="仿宋_GB2312" w:cs="DengXian-Regular" w:hint="eastAsia"/>
          <w:sz w:val="32"/>
          <w:szCs w:val="32"/>
        </w:rPr>
        <w:t>259.65</w:t>
      </w:r>
      <w:r>
        <w:rPr>
          <w:rFonts w:ascii="仿宋_GB2312" w:eastAsia="仿宋_GB2312" w:cs="DengXian-Regular" w:hint="eastAsia"/>
          <w:sz w:val="32"/>
          <w:szCs w:val="32"/>
        </w:rPr>
        <w:t>万元，决算数大于预算数，主要原因是人员保险福利经费增加，市场监管、抽检等项目经费增加。</w:t>
      </w:r>
    </w:p>
    <w:p w:rsidR="002667CD" w:rsidRDefault="00034965">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760.76</w:t>
      </w:r>
      <w:r>
        <w:rPr>
          <w:rFonts w:ascii="仿宋_GB2312" w:eastAsia="仿宋_GB2312" w:cs="DengXian-Regular" w:hint="eastAsia"/>
          <w:sz w:val="32"/>
          <w:szCs w:val="32"/>
        </w:rPr>
        <w:t>万元，主要用于以下方面：社会保障和就业支出</w:t>
      </w:r>
      <w:r>
        <w:rPr>
          <w:rFonts w:ascii="仿宋_GB2312" w:eastAsia="仿宋_GB2312" w:cs="DengXian-Regular" w:hint="eastAsia"/>
          <w:sz w:val="32"/>
          <w:szCs w:val="32"/>
        </w:rPr>
        <w:t>51.13</w:t>
      </w:r>
      <w:r>
        <w:rPr>
          <w:rFonts w:ascii="仿宋_GB2312" w:eastAsia="仿宋_GB2312" w:cs="DengXian-Regular" w:hint="eastAsia"/>
          <w:sz w:val="32"/>
          <w:szCs w:val="32"/>
        </w:rPr>
        <w:t>万元，占</w:t>
      </w:r>
      <w:r>
        <w:rPr>
          <w:rFonts w:ascii="仿宋_GB2312" w:eastAsia="仿宋_GB2312" w:cs="DengXian-Regular" w:hint="eastAsia"/>
          <w:sz w:val="32"/>
          <w:szCs w:val="32"/>
        </w:rPr>
        <w:t>6.7%</w:t>
      </w:r>
      <w:r>
        <w:rPr>
          <w:rFonts w:ascii="仿宋_GB2312" w:eastAsia="仿宋_GB2312" w:cs="DengXian-Regular" w:hint="eastAsia"/>
          <w:sz w:val="32"/>
          <w:szCs w:val="32"/>
        </w:rPr>
        <w:t>；医疗卫生与计划生育支出</w:t>
      </w:r>
      <w:r>
        <w:rPr>
          <w:rFonts w:ascii="仿宋_GB2312" w:eastAsia="仿宋_GB2312" w:cs="DengXian-Regular" w:hint="eastAsia"/>
          <w:sz w:val="32"/>
          <w:szCs w:val="32"/>
        </w:rPr>
        <w:t>683.06</w:t>
      </w:r>
      <w:r>
        <w:rPr>
          <w:rFonts w:ascii="仿宋_GB2312" w:eastAsia="仿宋_GB2312" w:cs="DengXian-Regular" w:hint="eastAsia"/>
          <w:sz w:val="32"/>
          <w:szCs w:val="32"/>
        </w:rPr>
        <w:t>万元，占</w:t>
      </w:r>
      <w:r>
        <w:rPr>
          <w:rFonts w:ascii="仿宋_GB2312" w:eastAsia="仿宋_GB2312" w:cs="DengXian-Regular" w:hint="eastAsia"/>
          <w:sz w:val="32"/>
          <w:szCs w:val="32"/>
        </w:rPr>
        <w:t>89.8%</w:t>
      </w:r>
      <w:r>
        <w:rPr>
          <w:rFonts w:ascii="仿宋_GB2312" w:eastAsia="仿宋_GB2312" w:cs="DengXian-Regular" w:hint="eastAsia"/>
          <w:sz w:val="32"/>
          <w:szCs w:val="32"/>
        </w:rPr>
        <w:t>；住房保障支出</w:t>
      </w:r>
      <w:r>
        <w:rPr>
          <w:rFonts w:ascii="仿宋_GB2312" w:eastAsia="仿宋_GB2312" w:cs="DengXian-Regular" w:hint="eastAsia"/>
          <w:sz w:val="32"/>
          <w:szCs w:val="32"/>
        </w:rPr>
        <w:t>26.57</w:t>
      </w:r>
      <w:r>
        <w:rPr>
          <w:rFonts w:ascii="仿宋_GB2312" w:eastAsia="仿宋_GB2312" w:cs="DengXian-Regular" w:hint="eastAsia"/>
          <w:sz w:val="32"/>
          <w:szCs w:val="32"/>
        </w:rPr>
        <w:t>万元，占</w:t>
      </w:r>
      <w:r>
        <w:rPr>
          <w:rFonts w:ascii="仿宋_GB2312" w:eastAsia="仿宋_GB2312" w:cs="DengXian-Regular" w:hint="eastAsia"/>
          <w:sz w:val="32"/>
          <w:szCs w:val="32"/>
        </w:rPr>
        <w:t>3.5%</w:t>
      </w:r>
      <w:r>
        <w:rPr>
          <w:rFonts w:ascii="仿宋_GB2312" w:eastAsia="仿宋_GB2312" w:cs="DengXian-Regular" w:hint="eastAsia"/>
          <w:sz w:val="32"/>
          <w:szCs w:val="32"/>
        </w:rPr>
        <w:t>。</w:t>
      </w:r>
    </w:p>
    <w:p w:rsidR="002667CD" w:rsidRDefault="00034965">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566.04</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504.54</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w:t>
      </w:r>
      <w:r>
        <w:rPr>
          <w:rFonts w:ascii="仿宋_GB2312" w:eastAsia="仿宋_GB2312" w:cs="DengXian-Regular" w:hint="eastAsia"/>
          <w:sz w:val="32"/>
          <w:szCs w:val="32"/>
        </w:rPr>
        <w:t>、其他工资福利支出、离休费、退休费、抚恤金、生活补助、医疗费补助、奖励金、其他对个人和家庭的补助支出等；公用经费</w:t>
      </w:r>
      <w:r>
        <w:rPr>
          <w:rFonts w:ascii="仿宋_GB2312" w:eastAsia="仿宋_GB2312" w:cs="DengXian-Regular" w:hint="eastAsia"/>
          <w:sz w:val="32"/>
          <w:szCs w:val="32"/>
        </w:rPr>
        <w:t>61.50</w:t>
      </w:r>
      <w:r>
        <w:rPr>
          <w:rFonts w:ascii="仿宋_GB2312" w:eastAsia="仿宋_GB2312" w:cs="DengXian-Regular" w:hint="eastAsia"/>
          <w:sz w:val="32"/>
          <w:szCs w:val="32"/>
        </w:rPr>
        <w:t>万元，主要包括办公费、印刷费、咨询费、手续费、水费、电费、邮电费、取暖</w:t>
      </w:r>
      <w:r>
        <w:rPr>
          <w:rFonts w:ascii="仿宋_GB2312" w:eastAsia="仿宋_GB2312" w:cs="DengXian-Regular" w:hint="eastAsia"/>
          <w:sz w:val="32"/>
          <w:szCs w:val="32"/>
        </w:rPr>
        <w:lastRenderedPageBreak/>
        <w:t>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667CD" w:rsidRDefault="0003496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w:t>
      </w:r>
      <w:r>
        <w:rPr>
          <w:rFonts w:ascii="黑体" w:eastAsia="黑体" w:hint="eastAsia"/>
          <w:b w:val="0"/>
          <w:bCs w:val="0"/>
        </w:rPr>
        <w:t>明</w:t>
      </w:r>
    </w:p>
    <w:p w:rsidR="002667CD" w:rsidRDefault="00034965">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6.33</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减少</w:t>
      </w:r>
      <w:r>
        <w:rPr>
          <w:rFonts w:eastAsia="仿宋_GB2312" w:hint="eastAsia"/>
          <w:sz w:val="32"/>
          <w:szCs w:val="32"/>
        </w:rPr>
        <w:t>7.47</w:t>
      </w:r>
      <w:r>
        <w:rPr>
          <w:rFonts w:eastAsia="仿宋_GB2312"/>
          <w:sz w:val="32"/>
          <w:szCs w:val="32"/>
        </w:rPr>
        <w:t>万元，降低</w:t>
      </w:r>
      <w:r>
        <w:rPr>
          <w:rFonts w:eastAsia="仿宋_GB2312" w:hint="eastAsia"/>
          <w:sz w:val="32"/>
          <w:szCs w:val="32"/>
        </w:rPr>
        <w:t>54.1</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集中执法，合理利用公车，减少外出次数</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0.83</w:t>
      </w:r>
      <w:r>
        <w:rPr>
          <w:rFonts w:eastAsia="仿宋_GB2312"/>
          <w:sz w:val="32"/>
          <w:szCs w:val="32"/>
        </w:rPr>
        <w:t>万元，增长</w:t>
      </w:r>
      <w:r>
        <w:rPr>
          <w:rFonts w:eastAsia="仿宋_GB2312" w:hint="eastAsia"/>
          <w:sz w:val="32"/>
          <w:szCs w:val="32"/>
        </w:rPr>
        <w:t>15.0</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新增一辆执法车辆</w:t>
      </w:r>
      <w:r>
        <w:rPr>
          <w:rFonts w:eastAsia="仿宋_GB2312"/>
          <w:sz w:val="32"/>
          <w:szCs w:val="32"/>
        </w:rPr>
        <w:t>。具体情况如下：</w:t>
      </w:r>
    </w:p>
    <w:p w:rsidR="002667CD" w:rsidRDefault="00034965">
      <w:pPr>
        <w:numPr>
          <w:ilvl w:val="0"/>
          <w:numId w:val="2"/>
        </w:numPr>
        <w:adjustRightInd w:val="0"/>
        <w:snapToGrid w:val="0"/>
        <w:spacing w:line="584" w:lineRule="exact"/>
        <w:ind w:firstLineChars="200" w:firstLine="643"/>
        <w:rPr>
          <w:rFonts w:eastAsia="楷体_GB2312"/>
          <w:b/>
          <w:bCs/>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p>
    <w:p w:rsidR="002667CD" w:rsidRDefault="00034965">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未发生因公出国（境）费支出，较年初预算无增减变化，较</w:t>
      </w:r>
      <w:r>
        <w:rPr>
          <w:rFonts w:ascii="仿宋_GB2312" w:eastAsia="仿宋_GB2312" w:cs="DengXian-Regular" w:hint="eastAsia"/>
          <w:sz w:val="32"/>
          <w:szCs w:val="32"/>
        </w:rPr>
        <w:t>2017</w:t>
      </w:r>
      <w:r>
        <w:rPr>
          <w:rFonts w:ascii="仿宋_GB2312" w:eastAsia="仿宋_GB2312" w:cs="DengXian-Regular" w:hint="eastAsia"/>
          <w:sz w:val="32"/>
          <w:szCs w:val="32"/>
        </w:rPr>
        <w:t>年度决算无增减变化。</w:t>
      </w:r>
    </w:p>
    <w:p w:rsidR="002667CD" w:rsidRDefault="00034965">
      <w:pPr>
        <w:numPr>
          <w:ilvl w:val="0"/>
          <w:numId w:val="2"/>
        </w:numPr>
        <w:adjustRightInd w:val="0"/>
        <w:snapToGrid w:val="0"/>
        <w:spacing w:line="584" w:lineRule="exact"/>
        <w:ind w:firstLineChars="200" w:firstLine="643"/>
        <w:rPr>
          <w:rFonts w:eastAsia="楷体_GB2312"/>
          <w:b/>
          <w:bCs/>
          <w:sz w:val="32"/>
          <w:szCs w:val="32"/>
        </w:rPr>
      </w:pPr>
      <w:r>
        <w:rPr>
          <w:rFonts w:eastAsia="楷体_GB2312"/>
          <w:b/>
          <w:bCs/>
          <w:sz w:val="32"/>
          <w:szCs w:val="32"/>
        </w:rPr>
        <w:t>公务用车购置及运行维护费支出</w:t>
      </w:r>
      <w:r>
        <w:rPr>
          <w:rFonts w:eastAsia="楷体_GB2312" w:hint="eastAsia"/>
          <w:b/>
          <w:bCs/>
          <w:sz w:val="32"/>
          <w:szCs w:val="32"/>
        </w:rPr>
        <w:t>6.33</w:t>
      </w:r>
      <w:r>
        <w:rPr>
          <w:rFonts w:eastAsia="楷体_GB2312"/>
          <w:b/>
          <w:bCs/>
          <w:sz w:val="32"/>
          <w:szCs w:val="32"/>
        </w:rPr>
        <w:t>万元。</w:t>
      </w:r>
    </w:p>
    <w:p w:rsidR="002667CD" w:rsidRDefault="00034965">
      <w:pPr>
        <w:adjustRightInd w:val="0"/>
        <w:snapToGrid w:val="0"/>
        <w:spacing w:line="584" w:lineRule="exact"/>
        <w:ind w:leftChars="200" w:left="420" w:firstLineChars="200" w:firstLine="640"/>
        <w:rPr>
          <w:rFonts w:eastAsia="仿宋_GB2312"/>
          <w:b/>
          <w:bCs/>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减少</w:t>
      </w:r>
      <w:r>
        <w:rPr>
          <w:rFonts w:eastAsia="仿宋_GB2312" w:hint="eastAsia"/>
          <w:sz w:val="32"/>
          <w:szCs w:val="32"/>
        </w:rPr>
        <w:t>7.47</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54.13</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eastAsia="仿宋_GB2312" w:hint="eastAsia"/>
          <w:sz w:val="32"/>
          <w:szCs w:val="32"/>
        </w:rPr>
        <w:t>集中执法，合理利用公车，减少外出次数</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0.83</w:t>
      </w:r>
      <w:r>
        <w:rPr>
          <w:rFonts w:eastAsia="仿宋_GB2312"/>
          <w:sz w:val="32"/>
          <w:szCs w:val="32"/>
        </w:rPr>
        <w:t>万元，增长</w:t>
      </w:r>
      <w:r>
        <w:rPr>
          <w:rFonts w:eastAsia="仿宋_GB2312" w:hint="eastAsia"/>
          <w:sz w:val="32"/>
          <w:szCs w:val="32"/>
        </w:rPr>
        <w:t>15.01</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新增一辆执法车辆</w:t>
      </w:r>
      <w:r>
        <w:rPr>
          <w:rFonts w:eastAsia="仿宋_GB2312"/>
          <w:sz w:val="32"/>
          <w:szCs w:val="32"/>
        </w:rPr>
        <w:t>。</w:t>
      </w:r>
      <w:r>
        <w:rPr>
          <w:rFonts w:eastAsia="仿宋_GB2312"/>
          <w:b/>
          <w:bCs/>
          <w:sz w:val="32"/>
          <w:szCs w:val="32"/>
        </w:rPr>
        <w:t>其中：</w:t>
      </w:r>
    </w:p>
    <w:p w:rsidR="002667CD" w:rsidRDefault="00034965">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lastRenderedPageBreak/>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无增减变化</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市局划拨一辆专业技术车辆</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现有执法车辆已经能够满足需要</w:t>
      </w:r>
      <w:r>
        <w:rPr>
          <w:rFonts w:eastAsia="仿宋_GB2312"/>
          <w:sz w:val="32"/>
          <w:szCs w:val="32"/>
        </w:rPr>
        <w:t>。</w:t>
      </w:r>
    </w:p>
    <w:p w:rsidR="002667CD" w:rsidRDefault="00034965">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6.33</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7</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7.47</w:t>
      </w:r>
      <w:r>
        <w:rPr>
          <w:rFonts w:eastAsia="仿宋_GB2312"/>
          <w:sz w:val="32"/>
          <w:szCs w:val="32"/>
        </w:rPr>
        <w:t>万元，降低</w:t>
      </w:r>
      <w:r>
        <w:rPr>
          <w:rFonts w:eastAsia="仿宋_GB2312" w:hint="eastAsia"/>
          <w:sz w:val="32"/>
          <w:szCs w:val="32"/>
        </w:rPr>
        <w:t>54.1</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集中执法，合理利用公车，减少外出次数</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增加</w:t>
      </w:r>
      <w:r>
        <w:rPr>
          <w:rFonts w:eastAsia="仿宋_GB2312" w:hint="eastAsia"/>
          <w:sz w:val="32"/>
          <w:szCs w:val="32"/>
        </w:rPr>
        <w:t>0.83</w:t>
      </w:r>
      <w:r>
        <w:rPr>
          <w:rFonts w:eastAsia="仿宋_GB2312"/>
          <w:sz w:val="32"/>
          <w:szCs w:val="32"/>
        </w:rPr>
        <w:t>万元，增长</w:t>
      </w:r>
      <w:r>
        <w:rPr>
          <w:rFonts w:eastAsia="仿宋_GB2312" w:hint="eastAsia"/>
          <w:sz w:val="32"/>
          <w:szCs w:val="32"/>
        </w:rPr>
        <w:t>15.0</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市局划拨一辆执法车辆，油费、保险、维修费等费用增加。</w:t>
      </w:r>
    </w:p>
    <w:p w:rsidR="002667CD" w:rsidRDefault="00034965">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w:t>
      </w:r>
      <w:r>
        <w:rPr>
          <w:rFonts w:eastAsia="仿宋_GB2312" w:hint="eastAsia"/>
          <w:sz w:val="32"/>
          <w:szCs w:val="32"/>
        </w:rPr>
        <w:t>较</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p>
    <w:p w:rsidR="002667CD" w:rsidRDefault="00034965">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2667CD" w:rsidRDefault="00034965">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根据财政预算绩效管理要求，本部门进一步开展预算绩效管理工作，对中央、省及市下达的项目均列入绩效评价范围，做好预算绩效管理的宣传工作，加大业务培训力度，建立健全贯穿预算管理全过程的绩效管理制，加大预算绩效评价结果的应用，切实提高预算管理的科学化、精细化水平，提高财政资金使用效益。</w:t>
      </w:r>
    </w:p>
    <w:p w:rsidR="002667CD" w:rsidRDefault="00034965">
      <w:pPr>
        <w:adjustRightInd w:val="0"/>
        <w:snapToGrid w:val="0"/>
        <w:spacing w:after="0" w:line="580" w:lineRule="exact"/>
        <w:ind w:leftChars="200" w:left="420" w:firstLineChars="100" w:firstLine="32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2667CD" w:rsidRDefault="00034965">
      <w:pPr>
        <w:adjustRightInd w:val="0"/>
        <w:snapToGrid w:val="0"/>
        <w:spacing w:after="0" w:line="580" w:lineRule="exact"/>
        <w:ind w:leftChars="200" w:left="420"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本部门对</w:t>
      </w:r>
      <w:r>
        <w:rPr>
          <w:rFonts w:ascii="仿宋_GB2312" w:eastAsia="仿宋_GB2312" w:cs="DengXian-Regular" w:hint="eastAsia"/>
          <w:sz w:val="32"/>
          <w:szCs w:val="32"/>
        </w:rPr>
        <w:t>2018</w:t>
      </w:r>
      <w:r>
        <w:rPr>
          <w:rFonts w:ascii="仿宋_GB2312" w:eastAsia="仿宋_GB2312" w:cs="DengXian-Regular" w:hint="eastAsia"/>
          <w:sz w:val="32"/>
          <w:szCs w:val="32"/>
        </w:rPr>
        <w:t>年专项项目全面开展了绩效自评，本次涉及“食品和药品监督管理事务”、“综合监管事务”、“食品、食用农产品年度抽检”、“食品安全示范城市创建”等项目，共涉及资金</w:t>
      </w:r>
      <w:r>
        <w:rPr>
          <w:rFonts w:ascii="仿宋_GB2312" w:eastAsia="仿宋_GB2312" w:cs="DengXian-Regular" w:hint="eastAsia"/>
          <w:sz w:val="32"/>
          <w:szCs w:val="32"/>
        </w:rPr>
        <w:t>194.72</w:t>
      </w:r>
      <w:r>
        <w:rPr>
          <w:rFonts w:ascii="仿宋_GB2312" w:eastAsia="仿宋_GB2312" w:cs="DengXian-Regular" w:hint="eastAsia"/>
          <w:sz w:val="32"/>
          <w:szCs w:val="32"/>
        </w:rPr>
        <w:t>万元，绩效自评覆盖率达</w:t>
      </w:r>
      <w:r>
        <w:rPr>
          <w:rFonts w:ascii="仿宋_GB2312" w:eastAsia="仿宋_GB2312" w:cs="DengXian-Regular" w:hint="eastAsia"/>
          <w:sz w:val="32"/>
          <w:szCs w:val="32"/>
        </w:rPr>
        <w:t>到</w:t>
      </w:r>
      <w:r>
        <w:rPr>
          <w:rFonts w:ascii="仿宋_GB2312" w:eastAsia="仿宋_GB2312" w:cs="DengXian-Regular" w:hint="eastAsia"/>
          <w:sz w:val="32"/>
          <w:szCs w:val="32"/>
        </w:rPr>
        <w:t>100%</w:t>
      </w:r>
      <w:r>
        <w:rPr>
          <w:rFonts w:ascii="仿宋_GB2312" w:eastAsia="仿宋_GB2312" w:cs="DengXian-Regular" w:hint="eastAsia"/>
          <w:sz w:val="32"/>
          <w:szCs w:val="32"/>
        </w:rPr>
        <w:t>，总体绩效评价结果为优。</w:t>
      </w:r>
    </w:p>
    <w:p w:rsidR="002667CD" w:rsidRDefault="00034965">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重点项目绩效评价结果。</w:t>
      </w:r>
    </w:p>
    <w:p w:rsidR="002667CD" w:rsidRDefault="00034965">
      <w:pPr>
        <w:adjustRightInd w:val="0"/>
        <w:snapToGrid w:val="0"/>
        <w:spacing w:after="0" w:line="580" w:lineRule="exact"/>
        <w:ind w:left="640" w:hangingChars="200" w:hanging="640"/>
        <w:rPr>
          <w:rFonts w:ascii="仿宋_GB2312" w:eastAsia="仿宋_GB2312" w:cs="DengXian-Regular"/>
          <w:sz w:val="32"/>
          <w:szCs w:val="32"/>
        </w:rPr>
      </w:pPr>
      <w:r>
        <w:rPr>
          <w:rFonts w:ascii="仿宋_GB2312" w:eastAsia="仿宋_GB2312" w:cs="DengXian-Regular" w:hint="eastAsia"/>
          <w:sz w:val="32"/>
          <w:szCs w:val="32"/>
        </w:rPr>
        <w:t xml:space="preserve">     </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年项目支出均为一般公用支出，无重点项目。</w:t>
      </w:r>
    </w:p>
    <w:p w:rsidR="002667CD" w:rsidRDefault="00034965">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667CD" w:rsidRDefault="000349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61.50</w:t>
      </w:r>
      <w:r>
        <w:rPr>
          <w:rFonts w:ascii="仿宋_GB2312" w:eastAsia="仿宋_GB2312" w:cs="DengXian-Regular" w:hint="eastAsia"/>
          <w:sz w:val="32"/>
          <w:szCs w:val="32"/>
        </w:rPr>
        <w:t>万元，比年初预算数增加</w:t>
      </w:r>
      <w:r>
        <w:rPr>
          <w:rFonts w:ascii="仿宋_GB2312" w:eastAsia="仿宋_GB2312" w:cs="DengXian-Regular" w:hint="eastAsia"/>
          <w:sz w:val="32"/>
          <w:szCs w:val="32"/>
        </w:rPr>
        <w:t>1.96</w:t>
      </w:r>
      <w:r>
        <w:rPr>
          <w:rFonts w:ascii="仿宋_GB2312" w:eastAsia="仿宋_GB2312" w:cs="DengXian-Regular" w:hint="eastAsia"/>
          <w:sz w:val="32"/>
          <w:szCs w:val="32"/>
        </w:rPr>
        <w:t>万元，增长</w:t>
      </w:r>
      <w:r>
        <w:rPr>
          <w:rFonts w:ascii="仿宋_GB2312" w:eastAsia="仿宋_GB2312" w:cs="DengXian-Regular" w:hint="eastAsia"/>
          <w:sz w:val="32"/>
          <w:szCs w:val="32"/>
        </w:rPr>
        <w:t xml:space="preserve">3.3 </w:t>
      </w:r>
      <w:r>
        <w:rPr>
          <w:rFonts w:eastAsia="仿宋_GB2312"/>
          <w:sz w:val="32"/>
          <w:szCs w:val="32"/>
        </w:rPr>
        <w:t>%</w:t>
      </w:r>
      <w:r>
        <w:rPr>
          <w:rFonts w:ascii="仿宋_GB2312" w:eastAsia="仿宋_GB2312" w:cs="DengXian-Regular" w:hint="eastAsia"/>
          <w:sz w:val="32"/>
          <w:szCs w:val="32"/>
        </w:rPr>
        <w:t>。主要原因是执法力度增强，宣传印刷费增长及抽检批次增加，委托业务费增长。</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9.01</w:t>
      </w:r>
      <w:r>
        <w:rPr>
          <w:rFonts w:eastAsia="仿宋_GB2312"/>
          <w:sz w:val="32"/>
          <w:szCs w:val="32"/>
        </w:rPr>
        <w:t>万元，降低</w:t>
      </w:r>
      <w:r>
        <w:rPr>
          <w:rFonts w:eastAsia="仿宋_GB2312" w:hint="eastAsia"/>
          <w:sz w:val="32"/>
          <w:szCs w:val="32"/>
        </w:rPr>
        <w:t>12.8</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2017</w:t>
      </w:r>
      <w:r>
        <w:rPr>
          <w:rFonts w:eastAsia="仿宋_GB2312" w:hint="eastAsia"/>
          <w:sz w:val="32"/>
          <w:szCs w:val="32"/>
        </w:rPr>
        <w:t>年</w:t>
      </w:r>
      <w:r>
        <w:rPr>
          <w:rFonts w:eastAsia="仿宋_GB2312" w:hint="eastAsia"/>
          <w:color w:val="000000"/>
          <w:kern w:val="0"/>
          <w:sz w:val="32"/>
          <w:szCs w:val="32"/>
        </w:rPr>
        <w:t>办公场所变更，办公区维修、办公设备购置等费用增加</w:t>
      </w:r>
      <w:r>
        <w:rPr>
          <w:rFonts w:eastAsia="仿宋_GB2312"/>
          <w:sz w:val="32"/>
          <w:szCs w:val="32"/>
        </w:rPr>
        <w:t>。</w:t>
      </w:r>
    </w:p>
    <w:p w:rsidR="002667CD" w:rsidRDefault="000349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2667CD" w:rsidRDefault="00034965">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w:t>
      </w:r>
      <w:r>
        <w:rPr>
          <w:rFonts w:ascii="仿宋_GB2312" w:eastAsia="仿宋_GB2312" w:cs="DengXian-Regular" w:hint="eastAsia"/>
          <w:sz w:val="32"/>
          <w:szCs w:val="32"/>
        </w:rPr>
        <w:t>出总额</w:t>
      </w:r>
      <w:r>
        <w:rPr>
          <w:rFonts w:ascii="仿宋_GB2312" w:eastAsia="仿宋_GB2312" w:cs="DengXian-Regular" w:hint="eastAsia"/>
          <w:sz w:val="32"/>
          <w:szCs w:val="32"/>
        </w:rPr>
        <w:t>16.61</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16.61</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w:t>
      </w:r>
      <w:r w:rsidRPr="002B0289">
        <w:rPr>
          <w:rFonts w:ascii="仿宋_GB2312" w:eastAsia="仿宋_GB2312" w:cs="DengXian-Regular"/>
          <w:sz w:val="32"/>
          <w:szCs w:val="32"/>
        </w:rPr>
        <w:t>授予中小企业合同金</w:t>
      </w:r>
      <w:r w:rsidR="002B0289" w:rsidRPr="002B0289">
        <w:rPr>
          <w:rFonts w:ascii="仿宋_GB2312" w:eastAsia="仿宋_GB2312" w:cs="DengXian-Regular" w:hint="eastAsia"/>
          <w:sz w:val="32"/>
          <w:szCs w:val="32"/>
        </w:rPr>
        <w:t>16.61</w:t>
      </w:r>
      <w:r w:rsidRPr="002B0289">
        <w:rPr>
          <w:rFonts w:ascii="仿宋_GB2312" w:eastAsia="仿宋_GB2312" w:cs="DengXian-Regular"/>
          <w:sz w:val="32"/>
          <w:szCs w:val="32"/>
        </w:rPr>
        <w:t>万元，占政府采购支出总额的</w:t>
      </w:r>
      <w:r w:rsidR="002B0289" w:rsidRPr="002B0289">
        <w:rPr>
          <w:rFonts w:ascii="仿宋_GB2312" w:eastAsia="仿宋_GB2312" w:cs="DengXian-Regular" w:hint="eastAsia"/>
          <w:sz w:val="32"/>
          <w:szCs w:val="32"/>
        </w:rPr>
        <w:t>100</w:t>
      </w:r>
      <w:r w:rsidRPr="002B0289">
        <w:rPr>
          <w:rFonts w:ascii="仿宋_GB2312" w:eastAsia="仿宋_GB2312" w:cs="DengXian-Regular" w:hint="eastAsia"/>
          <w:sz w:val="32"/>
          <w:szCs w:val="32"/>
        </w:rPr>
        <w:t>%</w:t>
      </w:r>
      <w:r w:rsidRPr="002B0289">
        <w:rPr>
          <w:rFonts w:ascii="仿宋_GB2312" w:eastAsia="仿宋_GB2312" w:cs="DengXian-Regular" w:hint="eastAsia"/>
          <w:sz w:val="32"/>
          <w:szCs w:val="32"/>
        </w:rPr>
        <w:t>，</w:t>
      </w:r>
      <w:r w:rsidRPr="002B0289">
        <w:rPr>
          <w:rFonts w:ascii="仿宋_GB2312" w:eastAsia="仿宋_GB2312" w:cs="DengXian-Regular"/>
          <w:sz w:val="32"/>
          <w:szCs w:val="32"/>
        </w:rPr>
        <w:t>其中授予小</w:t>
      </w:r>
      <w:proofErr w:type="gramStart"/>
      <w:r w:rsidRPr="002B0289">
        <w:rPr>
          <w:rFonts w:ascii="仿宋_GB2312" w:eastAsia="仿宋_GB2312" w:cs="DengXian-Regular"/>
          <w:sz w:val="32"/>
          <w:szCs w:val="32"/>
        </w:rPr>
        <w:t>微企业</w:t>
      </w:r>
      <w:proofErr w:type="gramEnd"/>
      <w:r w:rsidRPr="002B0289">
        <w:rPr>
          <w:rFonts w:ascii="仿宋_GB2312" w:eastAsia="仿宋_GB2312" w:cs="DengXian-Regular"/>
          <w:sz w:val="32"/>
          <w:szCs w:val="32"/>
        </w:rPr>
        <w:t>合同金额</w:t>
      </w:r>
      <w:r w:rsidRPr="002B0289">
        <w:rPr>
          <w:rFonts w:ascii="仿宋_GB2312" w:eastAsia="仿宋_GB2312" w:cs="DengXian-Regular" w:hint="eastAsia"/>
          <w:sz w:val="32"/>
          <w:szCs w:val="32"/>
        </w:rPr>
        <w:t>16.61</w:t>
      </w:r>
      <w:r w:rsidRPr="002B0289">
        <w:rPr>
          <w:rFonts w:ascii="仿宋_GB2312" w:eastAsia="仿宋_GB2312" w:cs="DengXian-Regular"/>
          <w:sz w:val="32"/>
          <w:szCs w:val="32"/>
        </w:rPr>
        <w:t>万元，占政府采购支出总额的</w:t>
      </w:r>
      <w:r w:rsidRPr="002B0289">
        <w:rPr>
          <w:rFonts w:ascii="仿宋_GB2312" w:eastAsia="仿宋_GB2312" w:cs="DengXian-Regular" w:hint="eastAsia"/>
          <w:sz w:val="32"/>
          <w:szCs w:val="32"/>
        </w:rPr>
        <w:t>100</w:t>
      </w:r>
      <w:r w:rsidRPr="002B0289">
        <w:rPr>
          <w:rFonts w:ascii="仿宋_GB2312" w:eastAsia="仿宋_GB2312" w:cs="DengXian-Regular"/>
          <w:sz w:val="32"/>
          <w:szCs w:val="32"/>
        </w:rPr>
        <w:t>%</w:t>
      </w:r>
      <w:r w:rsidRPr="002B0289">
        <w:rPr>
          <w:rFonts w:ascii="仿宋_GB2312" w:eastAsia="仿宋_GB2312" w:cs="DengXian-Regular"/>
          <w:sz w:val="32"/>
          <w:szCs w:val="32"/>
        </w:rPr>
        <w:t>。</w:t>
      </w:r>
      <w:bookmarkStart w:id="0" w:name="_GoBack"/>
      <w:bookmarkEnd w:id="0"/>
    </w:p>
    <w:p w:rsidR="002667CD" w:rsidRDefault="000349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（三）国有资产占用情况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7</w:t>
      </w:r>
      <w:r>
        <w:rPr>
          <w:rFonts w:ascii="仿宋_GB2312" w:eastAsia="仿宋_GB2312" w:cs="DengXian-Regular" w:hint="eastAsia"/>
          <w:sz w:val="32"/>
          <w:szCs w:val="32"/>
        </w:rPr>
        <w:t>辆，比上年增加</w:t>
      </w:r>
      <w:r>
        <w:rPr>
          <w:rFonts w:ascii="仿宋_GB2312" w:eastAsia="仿宋_GB2312" w:cs="DengXian-Regular" w:hint="eastAsia"/>
          <w:sz w:val="32"/>
          <w:szCs w:val="32"/>
        </w:rPr>
        <w:t>1</w:t>
      </w:r>
      <w:r>
        <w:rPr>
          <w:rFonts w:ascii="仿宋_GB2312" w:eastAsia="仿宋_GB2312" w:cs="DengXian-Regular" w:hint="eastAsia"/>
          <w:sz w:val="32"/>
          <w:szCs w:val="32"/>
        </w:rPr>
        <w:t>辆，主要原因是市局划拨特种专业技术用车一辆。其中，机要通信用车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辆，执法执勤用车</w:t>
      </w:r>
      <w:r>
        <w:rPr>
          <w:rFonts w:ascii="仿宋_GB2312" w:eastAsia="仿宋_GB2312" w:cs="DengXian-Regular" w:hint="eastAsia"/>
          <w:sz w:val="32"/>
          <w:szCs w:val="32"/>
        </w:rPr>
        <w:t>4</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2</w:t>
      </w:r>
      <w:r>
        <w:rPr>
          <w:rFonts w:ascii="仿宋_GB2312" w:eastAsia="仿宋_GB2312" w:cs="DengXian-Regular" w:hint="eastAsia"/>
          <w:sz w:val="32"/>
          <w:szCs w:val="32"/>
        </w:rPr>
        <w:t>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台（套），较上年无增减变化，单位价值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台（套），较上年无增减变化。</w:t>
      </w:r>
    </w:p>
    <w:p w:rsidR="002667CD" w:rsidRDefault="0003496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年度政府性基金预算财政拨款无相关收支及结转结余情况，国有资本经营预算财政拨款本年度无相关支出情况，故政府性基金预算财政拨款收入支出决算表、国有资本经营预算财政拨款支出决算表以空表列示。</w:t>
      </w:r>
    </w:p>
    <w:p w:rsidR="002667CD" w:rsidRDefault="000349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2667CD" w:rsidRDefault="002667CD">
      <w:pPr>
        <w:widowControl/>
        <w:spacing w:after="0" w:line="580" w:lineRule="exact"/>
        <w:ind w:firstLineChars="200" w:firstLine="883"/>
        <w:jc w:val="left"/>
        <w:rPr>
          <w:rFonts w:ascii="宋体" w:cs="MS-UIGothic,Bold"/>
          <w:b/>
          <w:bCs/>
          <w:kern w:val="0"/>
          <w:sz w:val="44"/>
          <w:szCs w:val="44"/>
        </w:rPr>
        <w:sectPr w:rsidR="002667CD">
          <w:pgSz w:w="11906" w:h="16838"/>
          <w:pgMar w:top="2098" w:right="1474" w:bottom="1984" w:left="1588" w:header="851" w:footer="992" w:gutter="0"/>
          <w:cols w:space="720"/>
          <w:docGrid w:type="lines" w:linePitch="312"/>
        </w:sectPr>
      </w:pPr>
    </w:p>
    <w:p w:rsidR="002667CD" w:rsidRDefault="002667CD">
      <w:pPr>
        <w:widowControl/>
        <w:spacing w:line="1200" w:lineRule="exact"/>
        <w:jc w:val="center"/>
        <w:rPr>
          <w:rFonts w:ascii="黑体" w:eastAsia="黑体"/>
          <w:color w:val="000000"/>
          <w:sz w:val="96"/>
          <w:szCs w:val="96"/>
        </w:rPr>
      </w:pPr>
    </w:p>
    <w:p w:rsidR="002667CD" w:rsidRDefault="002667CD">
      <w:pPr>
        <w:widowControl/>
        <w:spacing w:line="1200" w:lineRule="exact"/>
        <w:jc w:val="center"/>
        <w:rPr>
          <w:rFonts w:ascii="黑体" w:eastAsia="黑体"/>
          <w:color w:val="000000"/>
          <w:sz w:val="96"/>
          <w:szCs w:val="96"/>
        </w:rPr>
      </w:pPr>
    </w:p>
    <w:p w:rsidR="002667CD" w:rsidRDefault="002667CD">
      <w:pPr>
        <w:widowControl/>
        <w:spacing w:line="1200" w:lineRule="exact"/>
        <w:jc w:val="center"/>
        <w:rPr>
          <w:rFonts w:ascii="黑体" w:eastAsia="黑体"/>
          <w:color w:val="000000"/>
          <w:sz w:val="96"/>
          <w:szCs w:val="96"/>
        </w:rPr>
      </w:pPr>
    </w:p>
    <w:p w:rsidR="002667CD" w:rsidRDefault="00034965">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2667CD" w:rsidRDefault="00034965">
      <w:pPr>
        <w:widowControl/>
        <w:spacing w:line="1200" w:lineRule="exact"/>
        <w:jc w:val="center"/>
        <w:rPr>
          <w:color w:val="000000"/>
          <w:sz w:val="96"/>
          <w:szCs w:val="96"/>
        </w:rPr>
      </w:pPr>
      <w:r>
        <w:rPr>
          <w:rFonts w:ascii="黑体" w:eastAsia="黑体" w:hint="eastAsia"/>
          <w:color w:val="000000"/>
          <w:sz w:val="96"/>
          <w:szCs w:val="96"/>
        </w:rPr>
        <w:t>名词解释</w:t>
      </w:r>
    </w:p>
    <w:p w:rsidR="002667CD" w:rsidRDefault="002667CD">
      <w:pPr>
        <w:rPr>
          <w:rFonts w:ascii="宋体" w:cs="ArialUnicodeMS"/>
          <w:color w:val="000000"/>
          <w:kern w:val="0"/>
        </w:rPr>
        <w:sectPr w:rsidR="002667CD">
          <w:pgSz w:w="11906" w:h="16838"/>
          <w:pgMar w:top="2098" w:right="1474" w:bottom="1984" w:left="1588" w:header="851" w:footer="992" w:gutter="0"/>
          <w:cols w:space="720"/>
          <w:docGrid w:type="lines" w:linePitch="312"/>
        </w:sectPr>
      </w:pP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w:t>
      </w:r>
      <w:r>
        <w:rPr>
          <w:rFonts w:ascii="仿宋_GB2312" w:eastAsia="仿宋_GB2312" w:hint="eastAsia"/>
          <w:color w:val="000000"/>
          <w:kern w:val="0"/>
          <w:sz w:val="32"/>
          <w:szCs w:val="32"/>
        </w:rPr>
        <w:t>家规定提取、用于弥补以后年度收支差额的基金）弥补本年度收支缺口的资金。</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w:t>
      </w:r>
      <w:r>
        <w:rPr>
          <w:rFonts w:ascii="仿宋_GB2312" w:eastAsia="仿宋_GB2312" w:hint="eastAsia"/>
          <w:color w:val="000000"/>
          <w:kern w:val="0"/>
          <w:sz w:val="32"/>
          <w:szCs w:val="32"/>
        </w:rPr>
        <w:t>行政工作任务或事业发展目标，在基本支出之外发生的各项支出</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w:t>
      </w:r>
      <w:r>
        <w:rPr>
          <w:rFonts w:ascii="仿宋_GB2312" w:eastAsia="仿宋_GB2312" w:hint="eastAsia"/>
          <w:color w:val="000000"/>
          <w:kern w:val="0"/>
          <w:sz w:val="32"/>
          <w:szCs w:val="32"/>
        </w:rPr>
        <w:t>、保险费等。</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2667CD" w:rsidRDefault="00034965">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2667CD" w:rsidRDefault="00034965">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w:t>
      </w:r>
      <w:r>
        <w:rPr>
          <w:rFonts w:ascii="仿宋_GB2312" w:eastAsia="仿宋_GB2312" w:hint="eastAsia"/>
          <w:color w:val="000000"/>
          <w:kern w:val="0"/>
          <w:sz w:val="32"/>
          <w:szCs w:val="32"/>
        </w:rPr>
        <w:t>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ind w:firstLineChars="200" w:firstLine="640"/>
        <w:rPr>
          <w:rFonts w:ascii="仿宋_GB2312" w:eastAsia="仿宋_GB2312" w:cs="ArialUnicodeMS"/>
          <w:kern w:val="0"/>
          <w:sz w:val="32"/>
          <w:szCs w:val="32"/>
        </w:rPr>
      </w:pPr>
    </w:p>
    <w:p w:rsidR="002667CD" w:rsidRDefault="002667CD">
      <w:pPr>
        <w:widowControl/>
        <w:spacing w:after="0" w:line="560" w:lineRule="exact"/>
        <w:rPr>
          <w:rFonts w:ascii="仿宋_GB2312" w:eastAsia="仿宋_GB2312" w:cs="ArialUnicodeMS"/>
          <w:kern w:val="0"/>
          <w:sz w:val="32"/>
          <w:szCs w:val="32"/>
        </w:rPr>
      </w:pPr>
    </w:p>
    <w:sectPr w:rsidR="002667CD">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65" w:rsidRDefault="00034965" w:rsidP="002B0289">
      <w:pPr>
        <w:spacing w:after="0" w:line="240" w:lineRule="auto"/>
      </w:pPr>
      <w:r>
        <w:separator/>
      </w:r>
    </w:p>
  </w:endnote>
  <w:endnote w:type="continuationSeparator" w:id="0">
    <w:p w:rsidR="00034965" w:rsidRDefault="00034965" w:rsidP="002B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65" w:rsidRDefault="00034965" w:rsidP="002B0289">
      <w:pPr>
        <w:spacing w:after="0" w:line="240" w:lineRule="auto"/>
      </w:pPr>
      <w:r>
        <w:separator/>
      </w:r>
    </w:p>
  </w:footnote>
  <w:footnote w:type="continuationSeparator" w:id="0">
    <w:p w:rsidR="00034965" w:rsidRDefault="00034965" w:rsidP="002B0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6E891A28"/>
    <w:multiLevelType w:val="singleLevel"/>
    <w:tmpl w:val="6E891A28"/>
    <w:lvl w:ilvl="0">
      <w:start w:val="1"/>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2667CD"/>
    <w:rsid w:val="00034965"/>
    <w:rsid w:val="002667CD"/>
    <w:rsid w:val="002B0289"/>
    <w:rsid w:val="360C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2500"/>
    </w:pPr>
  </w:style>
  <w:style w:type="paragraph" w:styleId="a4">
    <w:name w:val="Balloon Text"/>
    <w:basedOn w:val="a"/>
    <w:rPr>
      <w:sz w:val="18"/>
      <w:szCs w:val="18"/>
    </w:rPr>
  </w:style>
  <w:style w:type="paragraph" w:styleId="a5">
    <w:name w:val="footer"/>
    <w:basedOn w:val="a"/>
    <w:qFormat/>
    <w:pPr>
      <w:tabs>
        <w:tab w:val="center" w:pos="4153"/>
        <w:tab w:val="right" w:pos="8306"/>
      </w:tabs>
      <w:snapToGrid w:val="0"/>
      <w:jc w:val="left"/>
    </w:pPr>
    <w:rPr>
      <w:rFonts w:ascii="Cambria" w:eastAsia="黑体" w:hAnsi="Cambria"/>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8">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2500"/>
    </w:pPr>
  </w:style>
  <w:style w:type="paragraph" w:styleId="a4">
    <w:name w:val="Balloon Text"/>
    <w:basedOn w:val="a"/>
    <w:rPr>
      <w:sz w:val="18"/>
      <w:szCs w:val="18"/>
    </w:rPr>
  </w:style>
  <w:style w:type="paragraph" w:styleId="a5">
    <w:name w:val="footer"/>
    <w:basedOn w:val="a"/>
    <w:qFormat/>
    <w:pPr>
      <w:tabs>
        <w:tab w:val="center" w:pos="4153"/>
        <w:tab w:val="right" w:pos="8306"/>
      </w:tabs>
      <w:snapToGrid w:val="0"/>
      <w:jc w:val="left"/>
    </w:pPr>
    <w:rPr>
      <w:rFonts w:ascii="Cambria" w:eastAsia="黑体" w:hAnsi="Cambria"/>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8">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804</Words>
  <Characters>4583</Characters>
  <Application>Microsoft Office Word</Application>
  <DocSecurity>0</DocSecurity>
  <Lines>38</Lines>
  <Paragraphs>10</Paragraphs>
  <ScaleCrop>false</ScaleCrop>
  <Company>Microsoft</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43</cp:revision>
  <cp:lastPrinted>2019-09-27T00:42:00Z</cp:lastPrinted>
  <dcterms:created xsi:type="dcterms:W3CDTF">2019-09-26T01:09:00Z</dcterms:created>
  <dcterms:modified xsi:type="dcterms:W3CDTF">2021-05-31T06:27:00Z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