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人民政府办公室</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（一）围绕区政府各时期的中心工作和重点工作，加强调查研究，及时了解、掌握经济和社会发展动态，及时反应信息情况，提出建议。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（二）负责区政府各种会议的准备工作，协助区政领导同志组织各类会议。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（三）负责区政府重要文、电的起草、审核把关和政府机关的文书处理工作；负责区政府机关的档案管理、印信管理和保密工作。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（四）负责区政府工作报告、领导同志重要讲话及其他重要材料的起草、修改工作。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（五）根据工作需要，负责与区委、人大、政协、纪委、中省直驻廊单位和驻廊部队的联系；协调乡镇、街办处、部门之间的关系和工作，对重要的问题提出处理意见，报区政府领导审定。</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（六）督促检查区政府各部门、各乡镇人民政府、街道办事处对省政府、市政府、区政府重要文件，区政府会议决定事项及区政府领导同志重要批示的执行、落实情况，并向区政府领导同志报告。</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（七）负责区政府机关值班工作，及时向区政府领导同志报告重要情况，协助领导同志组织处理突发事件、重大灾情和重大事故。</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（八）负责全国、省、市、区人大代表建议、批评、意见及全国、省、市、区政协提案的办理。</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（九）负责区政府外宾、内宾接待，公务接待工作。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（十）负责经济体制改革工作，负责区政府机关事务管理工作。</w:t>
      </w:r>
    </w:p>
    <w:p>
      <w:pPr>
        <w:spacing w:line="584" w:lineRule="exact"/>
        <w:ind w:firstLine="660"/>
        <w:rPr>
          <w:rFonts w:ascii="Times New Roman" w:hAnsi="Times New Roman" w:eastAsia="仿宋_GB2312" w:cs="Times New Roman"/>
          <w:sz w:val="32"/>
          <w:szCs w:val="32"/>
        </w:rPr>
      </w:pPr>
      <w:r>
        <w:rPr>
          <w:rFonts w:hint="eastAsia" w:ascii="仿宋_GB2312" w:eastAsia="仿宋_GB2312"/>
          <w:sz w:val="32"/>
          <w:szCs w:val="32"/>
        </w:rPr>
        <w:t>（十一）办理区政府领导交办的其他事项。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廊坊市广阳区人民政府办公室</w:t>
            </w:r>
          </w:p>
        </w:tc>
        <w:tc>
          <w:tcPr>
            <w:tcW w:w="1134"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行政单位</w:t>
            </w:r>
          </w:p>
        </w:tc>
        <w:tc>
          <w:tcPr>
            <w:tcW w:w="1276"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正科级</w:t>
            </w:r>
          </w:p>
        </w:tc>
        <w:tc>
          <w:tcPr>
            <w:tcW w:w="2902"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1644.62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1644.62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广阳区人民政府办公室2022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1644.62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1088.83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877.53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211.3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555.79</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区政府一招人员经费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区政府华侨补贴、政务管理经费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1644.62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88.9</w:t>
      </w:r>
      <w:r>
        <w:rPr>
          <w:rFonts w:ascii="Times New Roman" w:hAnsi="Times New Roman" w:eastAsia="仿宋_GB2312" w:cs="Times New Roman"/>
          <w:sz w:val="32"/>
          <w:szCs w:val="32"/>
        </w:rPr>
        <w:t>万元，其中：基本支出减</w:t>
      </w:r>
      <w:r>
        <w:rPr>
          <w:rFonts w:hint="eastAsia" w:ascii="Times New Roman" w:hAnsi="Times New Roman" w:eastAsia="仿宋_GB2312" w:cs="Times New Roman"/>
          <w:sz w:val="32"/>
          <w:szCs w:val="32"/>
        </w:rPr>
        <w:t>少40.31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人员保险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129.21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办公自动化</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211.3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广阳区政府</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91.33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15.33</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15.33</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预算绩效信息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主动适应新形势、新任务、新要求，不断增强做好工作的责任感和使命感，全面提升“四个服务”能力和水平，提高政务服务与管理水平，站位全局谋划工作，精准高效提供服务，依照要求对区政府系统工作进行督查督办，促进国务院和省、市政府重大决策部署和重点工作的推动落实。健全机制推动落实，担当作为锤炼作风，全力攻坚克难，全面提高办公室工作制度化、规范化水平，积淀并宣传区文化，努力开创工作新局面。</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1、区政府一招人员经费</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绩效目标：通过项目的开展保证区政府办一招人员待遇落实到位，满足经费需求，保障职工队伍稳定。</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发放人员数量72人次，质量指标为发放标准占计划标准的比例大于等于95%，时效指标为每季度发放完成，成本指标为不超过156.4万元，社会效益指标为有效保障人员生活需求，保持队伍稳定，服务对象满意度为满意人数占全部人数的比例大于等于90%。</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2、归侨职工退休生活补贴经费</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绩效目标：落实归侨职工退休后发放生活补贴政策，满足工作所需经费开支，做到专款专用，保障归国华侨生活补贴及时发放，为工作开展做好充足的准备。</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发放人员数量2人次，质量指标为发放对象占应发放对象比例为100%，时效指标为每季度发放，成本指标为不超过0.24万元，社会效益指标为维护社会安定团结，服务对象满意度为满意人数占全部人数的比例大于等于90%。</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3、金融扶贫贴息资金</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绩效目标：实现扶贫小额贷款贴息，为巩固扶贫脱贫成果提供有力支撑。</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符合贴息政策的建档立卡贫困户数4户，质量指标为年利息利率不超过贷款基准利率，时效指标为6月前发放完成，成本指标为不超过0.15万元，社会效益指标为及时发放户数占总应发户数的比例为100%，服务对象满意度为满意人数占全部人数的比例大于等于90%。</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4、政务管理经费</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绩效目标：通过项目的开展满足工作所需经费开支，保障区政府办工作有序进行，保障广阳区人民政府办公室完成上级布置的各项工作，加大管理力度，维护社会稳定。</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完成工作量占应完成总量的比例大于等于95%，质量指标为合格数量占总数量的比例大于等于95%，时效指标为每季度支出，成本指标为不超过260万元，社会效益指标为t业务提升业务保障能力，服务对象满意度为满意人数占全部人数的比例大于等于95%。</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5、办公自动化经费</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绩效目标：为电子政务和信息化建设的实施和发展奠定良好的基础，运用现代信息技术，为用户提供方便、快捷的服务，增加政策的宣传手段。</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采购的系统1套，质量指标为符合区政府协同办公要求，时效指标为按照采购合同及时完成采购，成本指标为不超过139万元，社会效益指标为提高工作效率，加快文件签批流转速度，服务对象满意度为使用部门满意度大于等于95%</w:t>
      </w:r>
      <w:r>
        <w:rPr>
          <w:rFonts w:ascii="Times New Roman" w:hAnsi="Times New Roman" w:eastAsia="仿宋_GB2312" w:cs="Times New Roman"/>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做好财务工作，要制定好工作计划，加强财务管理，完善财务制度，做到财务计划工作长计划、短安排，使财务工作在规范化、制度化的良好环境。我们将严格按会计制度要求办理一切会计业务，做好工作保障措施。</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1、完善制度建设。认真贯彻执行有关的财务管理制度，加强财务核算管理，反应分析财务计划的执行情况，检查监督财务纪律。</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2、加强支出管理。从单位的切实发展需要出发，做好会计核算工作，加强对财务工作的监督与检查，确保各项支出符合标准，手续齐全，资金合规，真正实现财务支出规范化、合理化。</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3、强化预算执行。将年度预算细化分解，落实到岗，落实到人。科学制定预算使用计划，加快履行政府采购程序，及时启动项目和支付资金，根据需要召开调度会，及时协调解决工作中存在的困难和问题。</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加强内控建设。建立健全内部控制体系，认真执行财经法规和政策要求，对重大支出、资产处置及其他重要经济事项进行有效监督，并完善内部审计，配合做好审计、财政等外部检查，确保资金使用安全有效。</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5、完善绩效管理。制定完善预算绩效管理制度，健全资金管理办法和工作保障机制，加大宣传培训力度，强化部门预算绩效管理意识，进一步提升预算绩效管理水平。</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6、按要求开展绩效运行监控，认真做好绩效评价工作，按月通报支付进度，督促相关股室加快项目执行，确保绩效目标如期保质实现，提高财政资金使用效益。</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7、规范财务资产管理。建立健全固定资产管理制度，对新购、报废的固定资产及时登记与核查，做到账账相符，账实相符。</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8、加强宣传培训调研。财会人员积极参加会计继续教育和各种会计业务培训，在日常工作中加强学习会计制度和法规，不断提高自身素质和业务水平。</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培训人员人次</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达到指标值得15分，否则按照比例扣分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保障单位干部职工学习培训人次</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人次</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Theme="minorEastAsia"/>
              </w:rPr>
            </w:pPr>
            <w:r>
              <w:rPr>
                <w:rFonts w:hint="eastAsia" w:ascii="方正书宋_GBK" w:eastAsiaTheme="minorEastAsia"/>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门户网维护好评量</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达到指标值得15分，否则按照比例扣分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门户网使用好评数量占总数量的比例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质量验收合格率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达到指标值得15分，否则按照比例扣分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购置资产验收合格数量占总数量的比例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Theme="minorEastAsia"/>
              </w:rPr>
            </w:pPr>
            <w:r>
              <w:rPr>
                <w:rFonts w:hint="eastAsia" w:ascii="方正书宋_GBK" w:eastAsiaTheme="minorEastAsia"/>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政务公开率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达到指标值得15分，否则按照比例扣分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实际公开情况占应公开的比例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实际公开数量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经费使用及时率%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达到指标值得10分，否则按照比例扣分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严格按照经费使用计划时间节点</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严格按计划支出</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达到指标值得10分，否则按照比例扣分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全年印刷成本控制不超出招标成本</w:t>
            </w:r>
          </w:p>
        </w:tc>
        <w:tc>
          <w:tcPr>
            <w:tcW w:w="54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不超标控制</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强化政府信誉</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达到指标值得10分，否则按照比例扣分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保障一招人员生活费</w:t>
            </w:r>
          </w:p>
        </w:tc>
        <w:tc>
          <w:tcPr>
            <w:tcW w:w="54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充分保障</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受众满意度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达到指标值得10分，否则按照比例扣分</w:t>
            </w:r>
          </w:p>
        </w:tc>
        <w:tc>
          <w:tcPr>
            <w:tcW w:w="1483" w:type="dxa"/>
            <w:tcBorders>
              <w:tl2br w:val="nil"/>
              <w:tr2bl w:val="nil"/>
            </w:tcBorders>
            <w:noWrap/>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受众人群满意人数占总人数的比例</w:t>
            </w:r>
          </w:p>
        </w:tc>
        <w:tc>
          <w:tcPr>
            <w:tcW w:w="54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1.政务管理经费绩效目标表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1.通过项目的开展满足工作所需经费开支，保障区政府办工作有序进行，保障广阳区人民政府办公室完成上级布置的各项工作，加大管理力度，维护社会稳定。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日常工作完成率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完成工作量占应完成总量的比例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采购质量合格率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合格数量占总数量的比例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采购完成时间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每季度支出</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不超预算成本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不超预算成本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≤260万元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业务保障能力提升情况</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购置对业务保障能力的提升情况</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有效提升</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 办公自动化经费绩效目标表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1.为电子政务和信息化建设的实施和发展奠定良好的基础，运用现代信息技术，为用户提供方便、快捷的服务，增加政策的宣传手段。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采购数量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采购的系统数量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定制功能实现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符合区政府协同办公要求</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系统提交时间率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按照采购合同及时完成采购</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≤1年</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成本控制单价</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项目支出控制在预算范围内</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≤139万元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提高工作效率，加快文件签批流转速度</w:t>
            </w:r>
          </w:p>
        </w:tc>
        <w:tc>
          <w:tcPr>
            <w:tcW w:w="3402"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提高工作效率，加快文件签批流转速度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廊坊市机关政务电子化实施方案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协同办公、文档管理、审批工作流自动化</w:t>
            </w:r>
          </w:p>
        </w:tc>
        <w:tc>
          <w:tcPr>
            <w:tcW w:w="3402"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协同办公、文档管理、审批工作流自动化</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≥5年</w:t>
            </w:r>
          </w:p>
        </w:tc>
        <w:tc>
          <w:tcPr>
            <w:tcW w:w="215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廊坊市机关政务电子化实施方案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使用部门满意度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使用部门的满意度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 归侨职工退休生活补贴经费绩效目标表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1.落实归侨职工退休后发放生活补贴政策，满足工作所需经费开支，做到专款专用，保障归国华侨生活补贴及时发放，为工作开展做好充足的准备。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发放人员数量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发放人员数量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2人次</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受益对象精准率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发放对象占应发放对象比例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每季度发放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项目成本控制</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按照具体规定不超标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≤0.24万元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通过政策的落实, 维护社会安定团结</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维护社会安定团结</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基本维护</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满意人数占全部人数的比例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调查询问</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 金融扶贫贴息资金绩效目标表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1.实现扶贫小额贷款贴息，为巩固扶贫脱贫成果提供有力支撑。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受益建档立卡贫困户数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符合贴息政策的建档立卡贫困户数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达到标准数量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小额信贷贴息利率　</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年利息利率不超过贷款基准利率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符合国家标准</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　</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项目成本控制　</w:t>
            </w:r>
          </w:p>
        </w:tc>
        <w:tc>
          <w:tcPr>
            <w:tcW w:w="3402"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项目经费支出按照具体文件规定执行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≤0.15万元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贷款及时发放率　</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及时发放户数占总应发户数的比例</w:t>
            </w:r>
          </w:p>
        </w:tc>
        <w:tc>
          <w:tcPr>
            <w:tcW w:w="184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及时发放户数占总应发户数的比例100%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受益建档立卡贫困户满意度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调查询问</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 区政府一招人员经费绩效目标表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1.通过项目的开展保证区政府办一招人员待遇落实到位，满足经费需求，保障职工队伍稳定。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发放人员数量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发放人员数量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72人次</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发放标准准确率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发放标准占计划标准的比例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每季度发放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项目成本控制</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按照具体规定不超标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≤156.4万元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保障人员生活需求，保持队伍稳定</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保障人员生活需求，保持队伍稳定</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有效保障</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bl>
    <w:p>
      <w:pPr>
        <w:autoSpaceDE w:val="0"/>
        <w:autoSpaceDN w:val="0"/>
        <w:adjustRightInd w:val="0"/>
        <w:spacing w:line="584" w:lineRule="exact"/>
        <w:jc w:val="left"/>
        <w:rPr>
          <w:rFonts w:ascii="Times New Roman" w:hAnsi="Times New Roman" w:eastAsia="仿宋_GB2312" w:cs="Times New Roman"/>
          <w:sz w:val="28"/>
        </w:rPr>
      </w:pPr>
      <w:r>
        <w:rPr>
          <w:rFonts w:hint="eastAsia" w:ascii="Times New Roman" w:hAnsi="Times New Roman" w:eastAsia="仿宋_GB2312" w:cs="Times New Roman"/>
          <w:sz w:val="28"/>
        </w:rPr>
        <w:t xml:space="preserve">     </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359</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pPr>
      <w:r>
        <w:t>廊坊市</w:t>
      </w:r>
      <w:r>
        <w:rPr>
          <w:rFonts w:hint="eastAsia"/>
        </w:rPr>
        <w:t>广阳区人民政府办公室</w:t>
      </w:r>
      <w:r>
        <w:t xml:space="preserve">                                                                              </w:t>
      </w:r>
      <w:r>
        <w:rPr>
          <w:rFonts w:hint="eastAsia"/>
        </w:rPr>
        <w:t xml:space="preserve">               </w:t>
      </w:r>
      <w:r>
        <w:t>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6"/>
        <w:gridCol w:w="877"/>
        <w:gridCol w:w="1030"/>
        <w:gridCol w:w="1197"/>
        <w:gridCol w:w="639"/>
        <w:gridCol w:w="769"/>
        <w:gridCol w:w="769"/>
        <w:gridCol w:w="874"/>
        <w:gridCol w:w="875"/>
        <w:gridCol w:w="875"/>
        <w:gridCol w:w="875"/>
        <w:gridCol w:w="875"/>
        <w:gridCol w:w="875"/>
        <w:gridCol w:w="875"/>
        <w:gridCol w:w="892"/>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2"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3"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r>
              <w:t>合  计</w:t>
            </w:r>
          </w:p>
        </w:tc>
        <w:tc>
          <w:tcPr>
            <w:tcW w:w="313" w:type="pct"/>
            <w:vAlign w:val="center"/>
          </w:tcPr>
          <w:p>
            <w:pPr>
              <w:pStyle w:val="17"/>
              <w:rPr>
                <w:lang w:eastAsia="zh-CN"/>
              </w:rPr>
            </w:pPr>
            <w:r>
              <w:rPr>
                <w:rFonts w:hint="eastAsia"/>
                <w:lang w:eastAsia="zh-CN"/>
              </w:rPr>
              <w:t>359</w:t>
            </w: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rPr>
                <w:lang w:eastAsia="zh-CN"/>
              </w:rPr>
            </w:pPr>
            <w:r>
              <w:rPr>
                <w:rFonts w:hint="eastAsia"/>
                <w:lang w:eastAsia="zh-CN"/>
              </w:rPr>
              <w:t>359</w:t>
            </w:r>
          </w:p>
        </w:tc>
        <w:tc>
          <w:tcPr>
            <w:tcW w:w="312" w:type="pct"/>
            <w:vAlign w:val="center"/>
          </w:tcPr>
          <w:p>
            <w:pPr>
              <w:pStyle w:val="17"/>
              <w:rPr>
                <w:lang w:eastAsia="zh-CN"/>
              </w:rPr>
            </w:pPr>
            <w:r>
              <w:rPr>
                <w:rFonts w:hint="eastAsia"/>
                <w:lang w:eastAsia="zh-CN"/>
              </w:rPr>
              <w:t>359</w:t>
            </w: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3"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spacing w:line="300" w:lineRule="exact"/>
              <w:jc w:val="left"/>
              <w:rPr>
                <w:rFonts w:ascii="方正书宋_GBK" w:eastAsia="方正书宋_GBK" w:cs="Times New Roman"/>
              </w:rPr>
            </w:pPr>
            <w:r>
              <w:rPr>
                <w:rFonts w:hint="eastAsia" w:ascii="方正书宋_GBK" w:eastAsia="方正书宋_GBK" w:cs="Times New Roman"/>
              </w:rPr>
              <w:t>政务管理经费</w:t>
            </w:r>
          </w:p>
        </w:tc>
        <w:tc>
          <w:tcPr>
            <w:tcW w:w="313"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80</w:t>
            </w:r>
          </w:p>
        </w:tc>
        <w:tc>
          <w:tcPr>
            <w:tcW w:w="367" w:type="pct"/>
            <w:vAlign w:val="center"/>
          </w:tcPr>
          <w:p>
            <w:pPr>
              <w:spacing w:line="300" w:lineRule="exact"/>
              <w:jc w:val="left"/>
              <w:rPr>
                <w:rFonts w:ascii="方正书宋_GBK" w:eastAsia="方正书宋_GBK" w:cs="Times New Roman"/>
              </w:rPr>
            </w:pPr>
            <w:r>
              <w:rPr>
                <w:rFonts w:hint="eastAsia" w:ascii="方正书宋_GBK" w:eastAsia="方正书宋_GBK" w:cs="Times New Roman"/>
              </w:rPr>
              <w:t>办公耗材</w:t>
            </w:r>
          </w:p>
        </w:tc>
        <w:tc>
          <w:tcPr>
            <w:tcW w:w="367" w:type="pct"/>
            <w:vAlign w:val="center"/>
          </w:tcPr>
          <w:p>
            <w:pPr>
              <w:spacing w:line="300" w:lineRule="exact"/>
              <w:jc w:val="left"/>
              <w:rPr>
                <w:rFonts w:ascii="方正书宋_GBK" w:eastAsia="方正书宋_GBK" w:cs="Times New Roman"/>
              </w:rPr>
            </w:pPr>
            <w:r>
              <w:rPr>
                <w:rFonts w:hint="eastAsia" w:ascii="Times New Roman" w:hAnsi="Times New Roman" w:eastAsia="仿宋_GB2312" w:cs="Times New Roman"/>
              </w:rPr>
              <w:t>A0999</w:t>
            </w:r>
          </w:p>
        </w:tc>
        <w:tc>
          <w:tcPr>
            <w:tcW w:w="22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套</w:t>
            </w:r>
          </w:p>
        </w:tc>
        <w:tc>
          <w:tcPr>
            <w:tcW w:w="275"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w:t>
            </w:r>
          </w:p>
        </w:tc>
        <w:tc>
          <w:tcPr>
            <w:tcW w:w="275"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80</w:t>
            </w:r>
          </w:p>
        </w:tc>
        <w:tc>
          <w:tcPr>
            <w:tcW w:w="312"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80</w:t>
            </w:r>
          </w:p>
        </w:tc>
        <w:tc>
          <w:tcPr>
            <w:tcW w:w="312"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80</w:t>
            </w: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3"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spacing w:line="300" w:lineRule="exact"/>
              <w:jc w:val="left"/>
              <w:rPr>
                <w:rFonts w:ascii="方正书宋_GBK" w:eastAsia="方正书宋_GBK" w:cs="Times New Roman"/>
              </w:rPr>
            </w:pPr>
            <w:r>
              <w:rPr>
                <w:rFonts w:hint="eastAsia" w:ascii="方正书宋_GBK" w:eastAsia="方正书宋_GBK" w:cs="Times New Roman"/>
              </w:rPr>
              <w:t>政务管理经费</w:t>
            </w:r>
          </w:p>
        </w:tc>
        <w:tc>
          <w:tcPr>
            <w:tcW w:w="313"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140</w:t>
            </w:r>
          </w:p>
        </w:tc>
        <w:tc>
          <w:tcPr>
            <w:tcW w:w="367" w:type="pct"/>
            <w:vAlign w:val="center"/>
          </w:tcPr>
          <w:p>
            <w:pPr>
              <w:spacing w:line="300" w:lineRule="exact"/>
              <w:jc w:val="left"/>
              <w:rPr>
                <w:rFonts w:ascii="方正书宋_GBK" w:eastAsia="方正书宋_GBK" w:cs="Times New Roman"/>
              </w:rPr>
            </w:pPr>
            <w:r>
              <w:rPr>
                <w:rFonts w:hint="eastAsia" w:ascii="方正书宋_GBK" w:eastAsia="方正书宋_GBK" w:cs="Times New Roman"/>
              </w:rPr>
              <w:t>印刷服务</w:t>
            </w:r>
          </w:p>
        </w:tc>
        <w:tc>
          <w:tcPr>
            <w:tcW w:w="367" w:type="pct"/>
            <w:vAlign w:val="center"/>
          </w:tcPr>
          <w:p>
            <w:pPr>
              <w:spacing w:line="300" w:lineRule="exact"/>
              <w:jc w:val="left"/>
              <w:rPr>
                <w:rFonts w:ascii="方正书宋_GBK" w:eastAsia="方正书宋_GBK" w:cs="Times New Roman"/>
              </w:rPr>
            </w:pPr>
            <w:r>
              <w:rPr>
                <w:rFonts w:hint="eastAsia" w:ascii="Times New Roman" w:hAnsi="Times New Roman" w:eastAsia="仿宋_GB2312" w:cs="Times New Roman"/>
              </w:rPr>
              <w:t>C08140199</w:t>
            </w:r>
          </w:p>
        </w:tc>
        <w:tc>
          <w:tcPr>
            <w:tcW w:w="22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套</w:t>
            </w:r>
          </w:p>
        </w:tc>
        <w:tc>
          <w:tcPr>
            <w:tcW w:w="275"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w:t>
            </w:r>
          </w:p>
        </w:tc>
        <w:tc>
          <w:tcPr>
            <w:tcW w:w="275"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140</w:t>
            </w:r>
          </w:p>
        </w:tc>
        <w:tc>
          <w:tcPr>
            <w:tcW w:w="312"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140</w:t>
            </w:r>
          </w:p>
        </w:tc>
        <w:tc>
          <w:tcPr>
            <w:tcW w:w="312"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140</w:t>
            </w: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3" w:type="pct"/>
            <w:vAlign w:val="center"/>
          </w:tcPr>
          <w:p>
            <w:pPr>
              <w:pStyle w:val="13"/>
            </w:pPr>
          </w:p>
        </w:tc>
        <w:tc>
          <w:tcPr>
            <w:tcW w:w="31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spacing w:line="240" w:lineRule="exact"/>
              <w:rPr>
                <w:lang w:eastAsia="zh-CN"/>
              </w:rPr>
            </w:pPr>
            <w:r>
              <w:rPr>
                <w:rFonts w:hint="eastAsia"/>
                <w:lang w:eastAsia="zh-CN"/>
              </w:rPr>
              <w:t>办公自动化经费</w:t>
            </w:r>
          </w:p>
        </w:tc>
        <w:tc>
          <w:tcPr>
            <w:tcW w:w="313" w:type="pct"/>
            <w:vAlign w:val="center"/>
          </w:tcPr>
          <w:p>
            <w:pPr>
              <w:pStyle w:val="13"/>
              <w:rPr>
                <w:lang w:eastAsia="zh-CN"/>
              </w:rPr>
            </w:pPr>
            <w:r>
              <w:rPr>
                <w:rFonts w:hint="eastAsia"/>
                <w:lang w:eastAsia="zh-CN"/>
              </w:rPr>
              <w:t>139</w:t>
            </w:r>
          </w:p>
        </w:tc>
        <w:tc>
          <w:tcPr>
            <w:tcW w:w="367" w:type="pct"/>
            <w:vAlign w:val="center"/>
          </w:tcPr>
          <w:p>
            <w:pPr>
              <w:pStyle w:val="14"/>
              <w:spacing w:line="240" w:lineRule="exact"/>
            </w:pPr>
            <w:r>
              <w:rPr>
                <w:rFonts w:hint="eastAsia" w:hAnsi="Calibri" w:cs="Times New Roman"/>
                <w:kern w:val="2"/>
                <w:szCs w:val="22"/>
                <w:lang w:eastAsia="zh-CN"/>
              </w:rPr>
              <w:t>软件运维服务</w:t>
            </w:r>
          </w:p>
        </w:tc>
        <w:tc>
          <w:tcPr>
            <w:tcW w:w="367" w:type="pct"/>
            <w:vAlign w:val="center"/>
          </w:tcPr>
          <w:p>
            <w:pPr>
              <w:spacing w:line="300" w:lineRule="exact"/>
              <w:jc w:val="left"/>
            </w:pPr>
            <w:r>
              <w:rPr>
                <w:rFonts w:hint="eastAsia" w:ascii="Times New Roman" w:hAnsi="Times New Roman" w:eastAsia="仿宋_GB2312" w:cs="Times New Roman"/>
              </w:rPr>
              <w:t>C020603</w:t>
            </w:r>
          </w:p>
        </w:tc>
        <w:tc>
          <w:tcPr>
            <w:tcW w:w="229" w:type="pct"/>
            <w:vAlign w:val="center"/>
          </w:tcPr>
          <w:p>
            <w:pPr>
              <w:pStyle w:val="15"/>
              <w:rPr>
                <w:lang w:eastAsia="zh-CN"/>
              </w:rPr>
            </w:pPr>
            <w:r>
              <w:rPr>
                <w:rFonts w:hint="eastAsia"/>
                <w:lang w:eastAsia="zh-CN"/>
              </w:rPr>
              <w:t>套</w:t>
            </w:r>
          </w:p>
        </w:tc>
        <w:tc>
          <w:tcPr>
            <w:tcW w:w="275" w:type="pct"/>
            <w:vAlign w:val="center"/>
          </w:tcPr>
          <w:p>
            <w:pPr>
              <w:pStyle w:val="13"/>
              <w:rPr>
                <w:lang w:eastAsia="zh-CN"/>
              </w:rPr>
            </w:pPr>
            <w:r>
              <w:rPr>
                <w:rFonts w:hint="eastAsia"/>
                <w:lang w:eastAsia="zh-CN"/>
              </w:rPr>
              <w:t>1</w:t>
            </w:r>
          </w:p>
        </w:tc>
        <w:tc>
          <w:tcPr>
            <w:tcW w:w="275" w:type="pct"/>
            <w:vAlign w:val="center"/>
          </w:tcPr>
          <w:p>
            <w:pPr>
              <w:pStyle w:val="13"/>
              <w:rPr>
                <w:lang w:eastAsia="zh-CN"/>
              </w:rPr>
            </w:pPr>
            <w:r>
              <w:rPr>
                <w:rFonts w:hint="eastAsia"/>
                <w:lang w:eastAsia="zh-CN"/>
              </w:rPr>
              <w:t>139</w:t>
            </w:r>
          </w:p>
        </w:tc>
        <w:tc>
          <w:tcPr>
            <w:tcW w:w="312" w:type="pct"/>
            <w:vAlign w:val="center"/>
          </w:tcPr>
          <w:p>
            <w:pPr>
              <w:pStyle w:val="13"/>
              <w:rPr>
                <w:lang w:eastAsia="zh-CN"/>
              </w:rPr>
            </w:pPr>
            <w:r>
              <w:rPr>
                <w:rFonts w:hint="eastAsia"/>
                <w:lang w:eastAsia="zh-CN"/>
              </w:rPr>
              <w:t>139</w:t>
            </w:r>
          </w:p>
        </w:tc>
        <w:tc>
          <w:tcPr>
            <w:tcW w:w="312" w:type="pct"/>
            <w:vAlign w:val="center"/>
          </w:tcPr>
          <w:p>
            <w:pPr>
              <w:pStyle w:val="13"/>
              <w:rPr>
                <w:lang w:eastAsia="zh-CN"/>
              </w:rPr>
            </w:pPr>
            <w:r>
              <w:rPr>
                <w:rFonts w:hint="eastAsia"/>
                <w:lang w:eastAsia="zh-CN"/>
              </w:rPr>
              <w:t>139</w:t>
            </w: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3" w:type="pct"/>
            <w:vAlign w:val="center"/>
          </w:tcPr>
          <w:p>
            <w:pPr>
              <w:pStyle w:val="13"/>
            </w:pPr>
          </w:p>
        </w:tc>
        <w:tc>
          <w:tcPr>
            <w:tcW w:w="312"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 xml:space="preserve">     </w:t>
      </w:r>
    </w:p>
    <w:p>
      <w:pPr>
        <w:spacing w:line="500" w:lineRule="exact"/>
        <w:ind w:firstLine="525" w:firstLineChars="250"/>
        <w:rPr>
          <w:rFonts w:ascii="Times New Roman" w:hAnsi="Times New Roman" w:eastAsia="黑体" w:cs="Times New Roman"/>
          <w:sz w:val="32"/>
          <w:szCs w:val="32"/>
        </w:rPr>
      </w:pPr>
      <w:r>
        <w:rPr>
          <w:rFonts w:hint="eastAsia" w:ascii="方正仿宋_GBK" w:hAnsi="方正仿宋_GBK" w:eastAsia="方正仿宋_GBK" w:cs="方正仿宋_GBK"/>
          <w:color w:val="000000"/>
        </w:rPr>
        <w:t xml:space="preserve"> </w:t>
      </w: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420.74804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总额为139万元，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办公系统</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广阳区人民政府办公室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420.74804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152.48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995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151.94804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0A6C"/>
    <w:rsid w:val="000B362E"/>
    <w:rsid w:val="000B4B45"/>
    <w:rsid w:val="000F6018"/>
    <w:rsid w:val="001436CC"/>
    <w:rsid w:val="00180C19"/>
    <w:rsid w:val="00203971"/>
    <w:rsid w:val="0025632D"/>
    <w:rsid w:val="002A543C"/>
    <w:rsid w:val="003059E0"/>
    <w:rsid w:val="00332B55"/>
    <w:rsid w:val="00382ACF"/>
    <w:rsid w:val="00393BFB"/>
    <w:rsid w:val="0046386C"/>
    <w:rsid w:val="004A54AA"/>
    <w:rsid w:val="0052432C"/>
    <w:rsid w:val="00652F13"/>
    <w:rsid w:val="006B2095"/>
    <w:rsid w:val="00710CEA"/>
    <w:rsid w:val="00731F85"/>
    <w:rsid w:val="00744EC4"/>
    <w:rsid w:val="0075656E"/>
    <w:rsid w:val="00812F98"/>
    <w:rsid w:val="00874CA3"/>
    <w:rsid w:val="008A28C3"/>
    <w:rsid w:val="008D4C35"/>
    <w:rsid w:val="00944233"/>
    <w:rsid w:val="009903F3"/>
    <w:rsid w:val="00A60858"/>
    <w:rsid w:val="00AF6EA0"/>
    <w:rsid w:val="00B40732"/>
    <w:rsid w:val="00B80935"/>
    <w:rsid w:val="00B80F1D"/>
    <w:rsid w:val="00D347CC"/>
    <w:rsid w:val="00DC72B4"/>
    <w:rsid w:val="00F51681"/>
    <w:rsid w:val="052343E1"/>
    <w:rsid w:val="058459A0"/>
    <w:rsid w:val="0C915E3E"/>
    <w:rsid w:val="0CEC1180"/>
    <w:rsid w:val="59186ED4"/>
    <w:rsid w:val="66F44340"/>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1117</Words>
  <Characters>6371</Characters>
  <Lines>53</Lines>
  <Paragraphs>14</Paragraphs>
  <TotalTime>9059</TotalTime>
  <ScaleCrop>false</ScaleCrop>
  <LinksUpToDate>false</LinksUpToDate>
  <CharactersWithSpaces>7474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2022-07-07T03:41:53Z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5A6A9644CDC047A5BF14198C6758572A</vt:lpwstr>
  </property>
</Properties>
</file>