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 w:name="_GoBack"/>
      <w:r>
        <w:rPr>
          <w:rFonts w:hint="eastAsia" w:ascii="Times New Roman" w:hAnsi="Times New Roman" w:eastAsia="方正小标宋简体" w:cs="Times New Roman"/>
          <w:sz w:val="44"/>
          <w:szCs w:val="44"/>
        </w:rPr>
        <w:t>人民检察院</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w:t>
      </w:r>
      <w:bookmarkEnd w:id="3"/>
      <w:r>
        <w:rPr>
          <w:rFonts w:hint="eastAsia" w:ascii="Times New Roman" w:hAnsi="Times New Roman" w:eastAsia="方正小标宋简体" w:cs="Times New Roman"/>
          <w:sz w:val="44"/>
          <w:szCs w:val="44"/>
        </w:rPr>
        <w:t>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广阳区人民检察院</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1、深入贯彻习近平新时代中国特色社会主义思想，深入贯彻党的路线方针和决策部署，坚持党对检察工作的绝对领导，坚决维护习近平总书记的核心地位，坚决维护党中央权威和集中统一领导。</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2、依法向区人民代表大会及其常务委员会提出议案。</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3、贯彻落实检察工作方针、总体规划，研究制定检察工作计划并组织实施。</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4、依照法律规定对直接受理的刑事案件行使侦查权。</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5、负责对管辖的各类刑事案件依法审查批准逮捕、决定逮捕、提起公诉。</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6、负责应由本院承办的刑事、民事、行政诉讼活动及刑事、民事、行政判决和裁定等生效法律文书执行的法律监督工作。</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7、负责应由本院承办的提起公益诉讼工作。</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8、依法受理核准追诉案件，审查是否上报。</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9、负责应由本院承办的对社区矫正等执法活动的法律监督工作。</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10、受理向本院的控告申诉。</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11、组织检察工作中法律政策具体应用问题的研究；组织开展检察理论研究工作。</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12、负责检察人员思想政治教育和业务培训工作；按照权限管理检察官和其他工作人员。</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13、负责本院检务督查工作。</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14、负责本院检务保障以及检察技术、信息化建设工作。</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15、完成其他应当由本院负责的工作。</w:t>
      </w:r>
    </w:p>
    <w:p>
      <w:pPr>
        <w:spacing w:line="584" w:lineRule="exact"/>
        <w:ind w:firstLine="640"/>
        <w:rPr>
          <w:rFonts w:ascii="Times New Roman" w:hAnsi="Times New Roman" w:eastAsia="仿宋_GB2312"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廊坊市广阳区人民检察院</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副处级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广阳区人民检察院</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2066.97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2066.97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广阳区人民检察院2022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2066.97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1352.28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1197.06</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155.22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714.69</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2066.97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462.6</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133.27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595.87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155.22</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机关大楼</w:t>
      </w:r>
      <w:r>
        <w:rPr>
          <w:rFonts w:ascii="Times New Roman" w:hAnsi="Times New Roman" w:eastAsia="仿宋_GB2312" w:cs="Times New Roman"/>
          <w:sz w:val="32"/>
          <w:szCs w:val="32"/>
        </w:rPr>
        <w:t>办公区的日常维修、办公用房水电费、办公用房物业管理费等日常运行支出。</w:t>
      </w:r>
    </w:p>
    <w:p>
      <w:pPr>
        <w:autoSpaceDE w:val="0"/>
        <w:autoSpaceDN w:val="0"/>
        <w:adjustRightInd w:val="0"/>
        <w:spacing w:line="584" w:lineRule="exact"/>
        <w:ind w:firstLine="627" w:firstLineChars="1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28.47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28.47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28.47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举习近平新时代中国特色社会主义思想伟大旗帜，深入学习贯彻党的十九大精神，认真落实中央、省、市、区政法工作会议暨扫黑除恶电视电话会议和全国、全省、全市检察长会议精神，围绕“精神、精致、精彩”的工作定位和争创全省一流、全国先进检察院的工作目标，全面履行检察职责，全面强化队伍建设，全面提升工作成效，为建设经济强区、美丽广阳提供有力司法保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ind w:left="420"/>
        <w:rPr>
          <w:rFonts w:eastAsia="仿宋_GB2312"/>
          <w:kern w:val="2"/>
          <w:sz w:val="32"/>
          <w:szCs w:val="32"/>
          <w:lang w:eastAsia="zh-CN"/>
        </w:rPr>
      </w:pPr>
      <w:r>
        <w:rPr>
          <w:rFonts w:eastAsia="仿宋_GB2312"/>
          <w:kern w:val="2"/>
          <w:sz w:val="32"/>
          <w:szCs w:val="32"/>
          <w:lang w:eastAsia="zh-CN"/>
        </w:rPr>
        <w:t>1、加强普通刑事犯罪检察工作</w:t>
      </w:r>
    </w:p>
    <w:p>
      <w:pPr>
        <w:pStyle w:val="20"/>
        <w:ind w:left="420"/>
        <w:rPr>
          <w:rFonts w:eastAsia="仿宋_GB2312"/>
          <w:kern w:val="2"/>
          <w:sz w:val="32"/>
          <w:szCs w:val="32"/>
          <w:lang w:eastAsia="zh-CN"/>
        </w:rPr>
      </w:pPr>
      <w:r>
        <w:rPr>
          <w:rFonts w:eastAsia="仿宋_GB2312"/>
          <w:kern w:val="2"/>
          <w:sz w:val="32"/>
          <w:szCs w:val="32"/>
          <w:lang w:eastAsia="zh-CN"/>
        </w:rPr>
        <w:t>绩效目标：依法严肃打击侵犯公民财产权、人身权、扰乱社会秩序等各类刑事犯罪；深入推进扫黑除恶专项斗争工作；持续做好认罪认罚从宽工作，不断提升办案质效；以规范化、专业化为导向，加强普通刑事犯罪检察人才队伍和工作机制建设。</w:t>
      </w:r>
    </w:p>
    <w:p>
      <w:pPr>
        <w:pStyle w:val="20"/>
        <w:ind w:left="420"/>
        <w:rPr>
          <w:rFonts w:eastAsia="仿宋_GB2312"/>
          <w:kern w:val="2"/>
          <w:sz w:val="32"/>
          <w:szCs w:val="32"/>
          <w:lang w:eastAsia="zh-CN"/>
        </w:rPr>
      </w:pPr>
      <w:r>
        <w:rPr>
          <w:rFonts w:eastAsia="仿宋_GB2312"/>
          <w:kern w:val="2"/>
          <w:sz w:val="32"/>
          <w:szCs w:val="32"/>
          <w:lang w:eastAsia="zh-CN"/>
        </w:rPr>
        <w:t>绩效指标：依法履行审查逮捕、审查起诉职责，加强立案监督、侦查监督和审判监督，坚决打击“法轮功”、“全能神”等邪教组织破坏法律实施犯罪等各类犯罪；关注民生，挂牌督办一批危害环境资源类的犯罪案件，全力推进扫黑除恶专项斗争，对涉黑和重大涉恶案件统一严格把关，加强扫黑除恶典型案件评比宣传工作，适时推出典型案例；坚决完成高检院提出的认罪认罚从宽案件适用率70%以上的目标，同时坚持稳中求升，不断提升监督质效。</w:t>
      </w:r>
    </w:p>
    <w:p>
      <w:pPr>
        <w:pStyle w:val="20"/>
        <w:ind w:left="420"/>
        <w:rPr>
          <w:rFonts w:eastAsia="仿宋_GB2312"/>
          <w:kern w:val="2"/>
          <w:sz w:val="32"/>
          <w:szCs w:val="32"/>
          <w:lang w:eastAsia="zh-CN"/>
        </w:rPr>
      </w:pPr>
      <w:r>
        <w:rPr>
          <w:rFonts w:eastAsia="仿宋_GB2312"/>
          <w:kern w:val="2"/>
          <w:sz w:val="32"/>
          <w:szCs w:val="32"/>
          <w:lang w:eastAsia="zh-CN"/>
        </w:rPr>
        <w:t>2、进一步提升重大刑事犯罪办案质效</w:t>
      </w:r>
    </w:p>
    <w:p>
      <w:pPr>
        <w:pStyle w:val="20"/>
        <w:ind w:left="420"/>
        <w:rPr>
          <w:rFonts w:eastAsia="仿宋_GB2312"/>
          <w:kern w:val="2"/>
          <w:sz w:val="32"/>
          <w:szCs w:val="32"/>
          <w:lang w:eastAsia="zh-CN"/>
        </w:rPr>
      </w:pPr>
      <w:r>
        <w:rPr>
          <w:rFonts w:eastAsia="仿宋_GB2312"/>
          <w:kern w:val="2"/>
          <w:sz w:val="32"/>
          <w:szCs w:val="32"/>
          <w:lang w:eastAsia="zh-CN"/>
        </w:rPr>
        <w:t>绩效目标：充分发挥重罪检察职能，坚持以司法办案为中心，依法严厉打击危害国家安全、危害公共安全、故意杀人、抢劫、毒品等重大刑事犯罪，进一步提升办案质效，维护社会和谐稳定。</w:t>
      </w:r>
    </w:p>
    <w:p>
      <w:pPr>
        <w:pStyle w:val="20"/>
        <w:ind w:left="420"/>
        <w:rPr>
          <w:rFonts w:eastAsia="仿宋_GB2312"/>
          <w:kern w:val="2"/>
          <w:sz w:val="32"/>
          <w:szCs w:val="32"/>
          <w:lang w:eastAsia="zh-CN"/>
        </w:rPr>
      </w:pPr>
      <w:r>
        <w:rPr>
          <w:rFonts w:eastAsia="仿宋_GB2312"/>
          <w:kern w:val="2"/>
          <w:sz w:val="32"/>
          <w:szCs w:val="32"/>
          <w:lang w:eastAsia="zh-CN"/>
        </w:rPr>
        <w:t>绩效指标：规范案件办理，在法定期限内依法结案。提升办案效率，减少发回案件数量，降低案件比。自觉履行法律监督职能，强化侦查监督、审判监督，依法制发纠正违法通知书、检察建议。</w:t>
      </w:r>
    </w:p>
    <w:p>
      <w:pPr>
        <w:pStyle w:val="20"/>
        <w:ind w:left="420"/>
        <w:rPr>
          <w:rFonts w:eastAsia="仿宋_GB2312"/>
          <w:kern w:val="2"/>
          <w:sz w:val="32"/>
          <w:szCs w:val="32"/>
          <w:lang w:eastAsia="zh-CN"/>
        </w:rPr>
      </w:pPr>
      <w:r>
        <w:rPr>
          <w:rFonts w:eastAsia="仿宋_GB2312"/>
          <w:kern w:val="2"/>
          <w:sz w:val="32"/>
          <w:szCs w:val="32"/>
          <w:lang w:eastAsia="zh-CN"/>
        </w:rPr>
        <w:t>3、为反腐败深入发展提供有力司法保障</w:t>
      </w:r>
    </w:p>
    <w:p>
      <w:pPr>
        <w:pStyle w:val="20"/>
        <w:ind w:left="420"/>
        <w:rPr>
          <w:rFonts w:eastAsia="仿宋_GB2312"/>
          <w:kern w:val="2"/>
          <w:sz w:val="32"/>
          <w:szCs w:val="32"/>
          <w:lang w:eastAsia="zh-CN"/>
        </w:rPr>
      </w:pPr>
      <w:r>
        <w:rPr>
          <w:rFonts w:eastAsia="仿宋_GB2312"/>
          <w:kern w:val="2"/>
          <w:sz w:val="32"/>
          <w:szCs w:val="32"/>
          <w:lang w:eastAsia="zh-CN"/>
        </w:rPr>
        <w:t>绩效目标：充分履行职务犯罪检察职能，着力提高案件办理质效。与监察机关、审判机关、公安机关的协调配合，形成反腐败的工作合力。</w:t>
      </w:r>
    </w:p>
    <w:p>
      <w:pPr>
        <w:pStyle w:val="20"/>
        <w:ind w:left="420"/>
        <w:rPr>
          <w:rFonts w:eastAsia="仿宋_GB2312"/>
          <w:kern w:val="2"/>
          <w:sz w:val="32"/>
          <w:szCs w:val="32"/>
          <w:lang w:eastAsia="zh-CN"/>
        </w:rPr>
      </w:pPr>
      <w:r>
        <w:rPr>
          <w:rFonts w:eastAsia="仿宋_GB2312"/>
          <w:kern w:val="2"/>
          <w:sz w:val="32"/>
          <w:szCs w:val="32"/>
          <w:lang w:eastAsia="zh-CN"/>
        </w:rPr>
        <w:t>绩效指标：有针对性地展开调研不少于一次，提出解决问题的建议；进一步加强案件分析工作，每季度形成的分析报告定期向同级监委进行通报。</w:t>
      </w:r>
    </w:p>
    <w:p>
      <w:pPr>
        <w:pStyle w:val="20"/>
        <w:ind w:left="420"/>
        <w:rPr>
          <w:rFonts w:eastAsia="仿宋_GB2312"/>
          <w:kern w:val="2"/>
          <w:sz w:val="32"/>
          <w:szCs w:val="32"/>
          <w:lang w:eastAsia="zh-CN"/>
        </w:rPr>
      </w:pPr>
      <w:r>
        <w:rPr>
          <w:rFonts w:eastAsia="仿宋_GB2312"/>
          <w:kern w:val="2"/>
          <w:sz w:val="32"/>
          <w:szCs w:val="32"/>
          <w:lang w:eastAsia="zh-CN"/>
        </w:rPr>
        <w:t>4、全面履行民事检察职能</w:t>
      </w:r>
    </w:p>
    <w:p>
      <w:pPr>
        <w:pStyle w:val="20"/>
        <w:ind w:left="420"/>
        <w:rPr>
          <w:rFonts w:eastAsia="仿宋_GB2312"/>
          <w:kern w:val="2"/>
          <w:sz w:val="32"/>
          <w:szCs w:val="32"/>
          <w:lang w:eastAsia="zh-CN"/>
        </w:rPr>
      </w:pPr>
      <w:r>
        <w:rPr>
          <w:rFonts w:eastAsia="仿宋_GB2312"/>
          <w:kern w:val="2"/>
          <w:sz w:val="32"/>
          <w:szCs w:val="32"/>
          <w:lang w:eastAsia="zh-CN"/>
        </w:rPr>
        <w:t>绩效目标：坚持以办案为中心，以做强民事检察工作为目标，坚持精细化监督理念，不断优化裁判结果监督，强化审判人员违法行为监督和执行活动监督，实化虚假诉讼监督，深化全面完善多元化监督格局，推进民事检察工作实现新突破、再上新台阶。</w:t>
      </w:r>
    </w:p>
    <w:p>
      <w:pPr>
        <w:pStyle w:val="20"/>
        <w:ind w:left="420"/>
        <w:rPr>
          <w:rFonts w:eastAsia="仿宋_GB2312"/>
          <w:kern w:val="2"/>
          <w:sz w:val="32"/>
          <w:szCs w:val="32"/>
          <w:lang w:eastAsia="zh-CN"/>
        </w:rPr>
      </w:pPr>
      <w:r>
        <w:rPr>
          <w:rFonts w:eastAsia="仿宋_GB2312"/>
          <w:kern w:val="2"/>
          <w:sz w:val="32"/>
          <w:szCs w:val="32"/>
          <w:lang w:eastAsia="zh-CN"/>
        </w:rPr>
        <w:t>绩效指标：提高办案效率，办案人员所办理的案件法定期限内结案率提升至70%；提高案件监督质量，尤其是抗诉和再审检察建议案件的质量；加大审判违法监督、执行监督和虚假诉讼监督规模和力度。</w:t>
      </w:r>
    </w:p>
    <w:p>
      <w:pPr>
        <w:pStyle w:val="20"/>
        <w:ind w:left="420"/>
        <w:rPr>
          <w:rFonts w:eastAsia="仿宋_GB2312"/>
          <w:kern w:val="2"/>
          <w:sz w:val="32"/>
          <w:szCs w:val="32"/>
          <w:lang w:eastAsia="zh-CN"/>
        </w:rPr>
      </w:pPr>
      <w:r>
        <w:rPr>
          <w:rFonts w:eastAsia="仿宋_GB2312"/>
          <w:kern w:val="2"/>
          <w:sz w:val="32"/>
          <w:szCs w:val="32"/>
          <w:lang w:eastAsia="zh-CN"/>
        </w:rPr>
        <w:t>5、有效履行新时期未检职能</w:t>
      </w:r>
    </w:p>
    <w:p>
      <w:pPr>
        <w:pStyle w:val="20"/>
        <w:ind w:left="420"/>
        <w:rPr>
          <w:rFonts w:eastAsia="仿宋_GB2312"/>
          <w:kern w:val="2"/>
          <w:sz w:val="32"/>
          <w:szCs w:val="32"/>
          <w:lang w:eastAsia="zh-CN"/>
        </w:rPr>
      </w:pPr>
      <w:r>
        <w:rPr>
          <w:rFonts w:eastAsia="仿宋_GB2312"/>
          <w:kern w:val="2"/>
          <w:sz w:val="32"/>
          <w:szCs w:val="32"/>
          <w:lang w:eastAsia="zh-CN"/>
        </w:rPr>
        <w:t xml:space="preserve">绩效目标：严格落实各项未成年人特殊检察制度，切实保护涉罪未成年人及未成年被害人各项诉讼权利，将未成年人特殊司法理念、特殊司法任务落实到未检工作的每一个环节；加强未成年人检察社会支持体系建设，建立健全相关工作机制和制度，解决制约未成年人司法保护社会支持体系建设的难题；落实“谁执法谁普法”普法责任制要求，积极参与青少年法治教育工作，继续深入推进法治进校园等各类法治宣传活动。 </w:t>
      </w:r>
    </w:p>
    <w:p>
      <w:pPr>
        <w:spacing w:line="584" w:lineRule="exact"/>
        <w:ind w:left="479" w:leftChars="228"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绩效指标：审查逮捕案件、审查起诉案件中法律援助、社会调查、亲职教育、帮教等特殊制度适用率20%以上；在全区持续推动未成年人检察社会支持体系建设工作。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overflowPunct w:val="0"/>
        <w:adjustRightInd w:val="0"/>
        <w:snapToGrid w:val="0"/>
        <w:spacing w:after="156" w:afterLines="50" w:line="580" w:lineRule="exact"/>
        <w:ind w:firstLine="627" w:firstLineChars="196"/>
        <w:jc w:val="left"/>
        <w:rPr>
          <w:rFonts w:ascii="仿宋_GB2312" w:eastAsia="仿宋_GB2312" w:cs="Times New Roman"/>
          <w:sz w:val="32"/>
          <w:szCs w:val="32"/>
        </w:rPr>
      </w:pPr>
      <w:r>
        <w:rPr>
          <w:rFonts w:ascii="仿宋_GB2312" w:eastAsia="仿宋_GB2312" w:cs="Times New Roman"/>
          <w:sz w:val="32"/>
          <w:szCs w:val="32"/>
        </w:rPr>
        <w:t>1</w:t>
      </w:r>
      <w:r>
        <w:rPr>
          <w:rFonts w:hint="eastAsia" w:ascii="仿宋_GB2312" w:eastAsia="仿宋_GB2312" w:cs="Times New Roman"/>
          <w:sz w:val="32"/>
          <w:szCs w:val="32"/>
        </w:rPr>
        <w:t>、</w:t>
      </w:r>
      <w:r>
        <w:rPr>
          <w:rFonts w:ascii="仿宋_GB2312" w:eastAsia="仿宋_GB2312" w:cs="Times New Roman"/>
          <w:sz w:val="32"/>
          <w:szCs w:val="32"/>
        </w:rPr>
        <w:t>完善制度建设:建立健全单位绩效管理制度，完善绩效考核体系，加大资金支出效益。制定财政支出考核规章和制度，明确考核工作规则、工作程式、组织方式及结果应用，并界定相关行为主体的权利和义务。对绩效目标的设定作出较为具体、详尽的要求。制定绩效考核结果应用办法，增强考核工作的权威性和约束力，强化各部门使用财政资金的责任感，实现资金支出考核工作制度化和规范化。</w:t>
      </w:r>
    </w:p>
    <w:p>
      <w:pPr>
        <w:overflowPunct w:val="0"/>
        <w:adjustRightInd w:val="0"/>
        <w:snapToGrid w:val="0"/>
        <w:spacing w:after="156" w:afterLines="50" w:line="580" w:lineRule="exact"/>
        <w:ind w:firstLine="627" w:firstLineChars="196"/>
        <w:jc w:val="left"/>
        <w:rPr>
          <w:rFonts w:ascii="仿宋_GB2312" w:eastAsia="仿宋_GB2312" w:cs="Times New Roman"/>
          <w:sz w:val="32"/>
          <w:szCs w:val="32"/>
        </w:rPr>
      </w:pPr>
      <w:r>
        <w:rPr>
          <w:rFonts w:ascii="仿宋_GB2312" w:eastAsia="仿宋_GB2312" w:cs="Times New Roman"/>
          <w:sz w:val="32"/>
          <w:szCs w:val="32"/>
        </w:rPr>
        <w:t>2</w:t>
      </w:r>
      <w:r>
        <w:rPr>
          <w:rFonts w:hint="eastAsia" w:ascii="仿宋_GB2312" w:eastAsia="仿宋_GB2312" w:cs="Times New Roman"/>
          <w:sz w:val="32"/>
          <w:szCs w:val="32"/>
        </w:rPr>
        <w:t>、</w:t>
      </w:r>
      <w:r>
        <w:rPr>
          <w:rFonts w:ascii="仿宋_GB2312" w:eastAsia="仿宋_GB2312" w:cs="Times New Roman"/>
          <w:sz w:val="32"/>
          <w:szCs w:val="32"/>
        </w:rPr>
        <w:t>加强支出管理:重视财政支出绩效管理，增强支出管理的约束力，强化绩效考核手段，为资金支出绩效考核奠定法制基础。</w:t>
      </w:r>
    </w:p>
    <w:p>
      <w:pPr>
        <w:overflowPunct w:val="0"/>
        <w:adjustRightInd w:val="0"/>
        <w:snapToGrid w:val="0"/>
        <w:spacing w:after="156" w:afterLines="50" w:line="580" w:lineRule="exact"/>
        <w:ind w:firstLine="627" w:firstLineChars="196"/>
        <w:jc w:val="left"/>
        <w:rPr>
          <w:rFonts w:ascii="仿宋_GB2312" w:eastAsia="仿宋_GB2312" w:cs="Times New Roman"/>
          <w:sz w:val="32"/>
          <w:szCs w:val="32"/>
        </w:rPr>
      </w:pPr>
      <w:r>
        <w:rPr>
          <w:rFonts w:ascii="仿宋_GB2312" w:eastAsia="仿宋_GB2312" w:cs="Times New Roman"/>
          <w:sz w:val="32"/>
          <w:szCs w:val="32"/>
        </w:rPr>
        <w:t>3</w:t>
      </w:r>
      <w:r>
        <w:rPr>
          <w:rFonts w:hint="eastAsia" w:ascii="仿宋_GB2312" w:eastAsia="仿宋_GB2312" w:cs="Times New Roman"/>
          <w:sz w:val="32"/>
          <w:szCs w:val="32"/>
        </w:rPr>
        <w:t>、</w:t>
      </w:r>
      <w:r>
        <w:rPr>
          <w:rFonts w:ascii="仿宋_GB2312" w:eastAsia="仿宋_GB2312" w:cs="Times New Roman"/>
          <w:sz w:val="32"/>
          <w:szCs w:val="32"/>
        </w:rPr>
        <w:t>加强绩效运行监控针对财政拨付逐笔资金，实行绩效运营监控管理，及时监控资金使用，实现资金最大效益，上报绩效运行监控报告。</w:t>
      </w:r>
    </w:p>
    <w:p>
      <w:pPr>
        <w:overflowPunct w:val="0"/>
        <w:adjustRightInd w:val="0"/>
        <w:snapToGrid w:val="0"/>
        <w:spacing w:after="156" w:afterLines="50" w:line="580" w:lineRule="exact"/>
        <w:ind w:firstLine="627" w:firstLineChars="196"/>
        <w:jc w:val="left"/>
        <w:rPr>
          <w:rFonts w:ascii="仿宋_GB2312" w:eastAsia="仿宋_GB2312" w:cs="Times New Roman"/>
          <w:sz w:val="32"/>
          <w:szCs w:val="32"/>
        </w:rPr>
      </w:pPr>
      <w:r>
        <w:rPr>
          <w:rFonts w:ascii="仿宋_GB2312" w:eastAsia="仿宋_GB2312" w:cs="Times New Roman"/>
          <w:sz w:val="32"/>
          <w:szCs w:val="32"/>
        </w:rPr>
        <w:t>4</w:t>
      </w:r>
      <w:r>
        <w:rPr>
          <w:rFonts w:hint="eastAsia" w:ascii="仿宋_GB2312" w:eastAsia="仿宋_GB2312" w:cs="Times New Roman"/>
          <w:sz w:val="32"/>
          <w:szCs w:val="32"/>
        </w:rPr>
        <w:t>、</w:t>
      </w:r>
      <w:r>
        <w:rPr>
          <w:rFonts w:ascii="仿宋_GB2312" w:eastAsia="仿宋_GB2312" w:cs="Times New Roman"/>
          <w:sz w:val="32"/>
          <w:szCs w:val="32"/>
        </w:rPr>
        <w:t>做好绩效自评:财政支出绩效评价可以使决策层进一步了解专案的实施进展、资金使用、社会经济效益情况。单位及时上报绩效自评报告和绩效自评表。同时，围绕注重实效、加强应用、完善体系的原则，在指标体系制定过程中，要充分考虑评价指标应科学客观、重点突出，构建符合财政支出管理要求的绩效考核工作体系。充分发挥单位作用，强化监督，提高财政资金使用效益。</w:t>
      </w:r>
    </w:p>
    <w:p>
      <w:pPr>
        <w:overflowPunct w:val="0"/>
        <w:adjustRightInd w:val="0"/>
        <w:snapToGrid w:val="0"/>
        <w:spacing w:after="156" w:afterLines="50" w:line="580" w:lineRule="exact"/>
        <w:ind w:firstLine="627" w:firstLineChars="196"/>
        <w:jc w:val="left"/>
        <w:rPr>
          <w:rFonts w:ascii="仿宋_GB2312" w:eastAsia="仿宋_GB2312" w:cs="Times New Roman"/>
          <w:sz w:val="32"/>
          <w:szCs w:val="32"/>
        </w:rPr>
      </w:pPr>
      <w:r>
        <w:rPr>
          <w:rFonts w:ascii="仿宋_GB2312" w:eastAsia="仿宋_GB2312" w:cs="Times New Roman"/>
          <w:sz w:val="32"/>
          <w:szCs w:val="32"/>
        </w:rPr>
        <w:t>5</w:t>
      </w:r>
      <w:r>
        <w:rPr>
          <w:rFonts w:hint="eastAsia" w:ascii="仿宋_GB2312" w:eastAsia="仿宋_GB2312" w:cs="Times New Roman"/>
          <w:sz w:val="32"/>
          <w:szCs w:val="32"/>
        </w:rPr>
        <w:t>、</w:t>
      </w:r>
      <w:r>
        <w:rPr>
          <w:rFonts w:ascii="仿宋_GB2312" w:eastAsia="仿宋_GB2312" w:cs="Times New Roman"/>
          <w:sz w:val="32"/>
          <w:szCs w:val="32"/>
        </w:rPr>
        <w:t>加强单位内部监督:完善单位财务管理制度，预算管理制度等，建立单位内控制度。</w:t>
      </w:r>
    </w:p>
    <w:p>
      <w:pPr>
        <w:overflowPunct w:val="0"/>
        <w:adjustRightInd w:val="0"/>
        <w:snapToGrid w:val="0"/>
        <w:spacing w:after="156" w:afterLines="50" w:line="580" w:lineRule="exact"/>
        <w:ind w:firstLine="627" w:firstLineChars="196"/>
        <w:jc w:val="left"/>
        <w:rPr>
          <w:rFonts w:ascii="仿宋_GB2312" w:eastAsia="仿宋_GB2312" w:cs="Times New Roman"/>
          <w:sz w:val="32"/>
          <w:szCs w:val="32"/>
        </w:rPr>
      </w:pPr>
      <w:r>
        <w:rPr>
          <w:rFonts w:ascii="仿宋_GB2312" w:eastAsia="仿宋_GB2312" w:cs="Times New Roman"/>
          <w:sz w:val="32"/>
          <w:szCs w:val="32"/>
        </w:rPr>
        <w:t>6</w:t>
      </w:r>
      <w:r>
        <w:rPr>
          <w:rFonts w:hint="eastAsia" w:ascii="仿宋_GB2312" w:eastAsia="仿宋_GB2312" w:cs="Times New Roman"/>
          <w:sz w:val="32"/>
          <w:szCs w:val="32"/>
        </w:rPr>
        <w:t>、</w:t>
      </w:r>
      <w:r>
        <w:rPr>
          <w:rFonts w:ascii="仿宋_GB2312" w:eastAsia="仿宋_GB2312" w:cs="Times New Roman"/>
          <w:sz w:val="32"/>
          <w:szCs w:val="32"/>
        </w:rPr>
        <w:t>规范资产管理制度:一方面单位应建立一套有效的内部控制制度和资产管理制度，确定专人管理，定期不定期地对资产和账务进行抽查，合力做好资产监管工作；另一方面完善国有资产购置、使用、处置等重要环节相应的制度和程序，加强审计监督力度。此外建立健全资产管理的绩效考核和激励机制，提高国有资产管理的积极性，确保国有资产安全完整。</w:t>
      </w:r>
    </w:p>
    <w:p>
      <w:pPr>
        <w:overflowPunct w:val="0"/>
        <w:adjustRightInd w:val="0"/>
        <w:snapToGrid w:val="0"/>
        <w:spacing w:after="156"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7、</w:t>
      </w:r>
      <w:r>
        <w:rPr>
          <w:rFonts w:ascii="仿宋_GB2312" w:eastAsia="仿宋_GB2312" w:cs="Times New Roman"/>
          <w:sz w:val="32"/>
          <w:szCs w:val="32"/>
        </w:rPr>
        <w:t>加强单位绩效培训，积极联系第三方专业机构对项目负责人开展绩效工作培训，更好的完成绩效管理工作，实现单位绩效目标。</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458"/>
        <w:gridCol w:w="850"/>
        <w:gridCol w:w="1418"/>
        <w:gridCol w:w="3118"/>
        <w:gridCol w:w="3188"/>
        <w:gridCol w:w="543"/>
        <w:gridCol w:w="488"/>
        <w:gridCol w:w="573"/>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458" w:type="dxa"/>
            <w:vMerge w:val="restart"/>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一级指标</w:t>
            </w:r>
          </w:p>
        </w:tc>
        <w:tc>
          <w:tcPr>
            <w:tcW w:w="850" w:type="dxa"/>
            <w:vMerge w:val="restart"/>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二级</w:t>
            </w:r>
          </w:p>
          <w:p>
            <w:pPr>
              <w:widowControl/>
              <w:adjustRightInd w:val="0"/>
              <w:snapToGrid w:val="0"/>
              <w:spacing w:line="360" w:lineRule="exact"/>
              <w:jc w:val="center"/>
              <w:rPr>
                <w:rFonts w:ascii="方正书宋_GBK" w:eastAsia="方正书宋_GBK"/>
                <w:b/>
              </w:rPr>
            </w:pPr>
            <w:r>
              <w:rPr>
                <w:rFonts w:ascii="方正书宋_GBK" w:eastAsia="方正书宋_GBK"/>
                <w:b/>
              </w:rPr>
              <w:t>指标</w:t>
            </w:r>
          </w:p>
        </w:tc>
        <w:tc>
          <w:tcPr>
            <w:tcW w:w="1418" w:type="dxa"/>
            <w:vMerge w:val="restart"/>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三级</w:t>
            </w:r>
          </w:p>
          <w:p>
            <w:pPr>
              <w:widowControl/>
              <w:adjustRightInd w:val="0"/>
              <w:snapToGrid w:val="0"/>
              <w:spacing w:line="360" w:lineRule="exact"/>
              <w:jc w:val="center"/>
              <w:rPr>
                <w:rFonts w:ascii="方正书宋_GBK" w:eastAsia="方正书宋_GBK"/>
                <w:b/>
              </w:rPr>
            </w:pPr>
            <w:r>
              <w:rPr>
                <w:rFonts w:ascii="方正书宋_GBK" w:eastAsia="方正书宋_GBK"/>
                <w:b/>
              </w:rPr>
              <w:t>指标</w:t>
            </w:r>
          </w:p>
        </w:tc>
        <w:tc>
          <w:tcPr>
            <w:tcW w:w="3118" w:type="dxa"/>
            <w:vMerge w:val="restart"/>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评（扣）分标准</w:t>
            </w:r>
          </w:p>
        </w:tc>
        <w:tc>
          <w:tcPr>
            <w:tcW w:w="3188" w:type="dxa"/>
            <w:vMerge w:val="restart"/>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绩效指标</w:t>
            </w:r>
          </w:p>
          <w:p>
            <w:pPr>
              <w:widowControl/>
              <w:adjustRightInd w:val="0"/>
              <w:snapToGrid w:val="0"/>
              <w:spacing w:line="360" w:lineRule="exact"/>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指标值</w:t>
            </w:r>
          </w:p>
        </w:tc>
        <w:tc>
          <w:tcPr>
            <w:tcW w:w="1729" w:type="dxa"/>
            <w:vMerge w:val="restart"/>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指标值</w:t>
            </w:r>
          </w:p>
          <w:p>
            <w:pPr>
              <w:widowControl/>
              <w:adjustRightInd w:val="0"/>
              <w:snapToGrid w:val="0"/>
              <w:spacing w:line="36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458" w:type="dxa"/>
            <w:vMerge w:val="continue"/>
            <w:tcBorders>
              <w:tl2br w:val="nil"/>
              <w:tr2bl w:val="nil"/>
            </w:tcBorders>
            <w:vAlign w:val="center"/>
          </w:tcPr>
          <w:p>
            <w:pPr>
              <w:spacing w:line="360" w:lineRule="exact"/>
            </w:pPr>
          </w:p>
        </w:tc>
        <w:tc>
          <w:tcPr>
            <w:tcW w:w="850" w:type="dxa"/>
            <w:vMerge w:val="continue"/>
            <w:tcBorders>
              <w:tl2br w:val="nil"/>
              <w:tr2bl w:val="nil"/>
            </w:tcBorders>
            <w:vAlign w:val="center"/>
          </w:tcPr>
          <w:p>
            <w:pPr>
              <w:spacing w:line="360" w:lineRule="exact"/>
            </w:pPr>
          </w:p>
        </w:tc>
        <w:tc>
          <w:tcPr>
            <w:tcW w:w="1418" w:type="dxa"/>
            <w:vMerge w:val="continue"/>
            <w:tcBorders>
              <w:tl2br w:val="nil"/>
              <w:tr2bl w:val="nil"/>
            </w:tcBorders>
            <w:vAlign w:val="center"/>
          </w:tcPr>
          <w:p>
            <w:pPr>
              <w:spacing w:line="360" w:lineRule="exact"/>
            </w:pPr>
          </w:p>
        </w:tc>
        <w:tc>
          <w:tcPr>
            <w:tcW w:w="3118" w:type="dxa"/>
            <w:vMerge w:val="continue"/>
            <w:tcBorders>
              <w:tl2br w:val="nil"/>
              <w:tr2bl w:val="nil"/>
            </w:tcBorders>
            <w:vAlign w:val="center"/>
          </w:tcPr>
          <w:p>
            <w:pPr>
              <w:spacing w:line="360" w:lineRule="exact"/>
            </w:pPr>
          </w:p>
        </w:tc>
        <w:tc>
          <w:tcPr>
            <w:tcW w:w="3188" w:type="dxa"/>
            <w:vMerge w:val="continue"/>
            <w:tcBorders>
              <w:tl2br w:val="nil"/>
              <w:tr2bl w:val="nil"/>
            </w:tcBorders>
            <w:vAlign w:val="center"/>
          </w:tcPr>
          <w:p>
            <w:pPr>
              <w:spacing w:line="360" w:lineRule="exact"/>
            </w:pPr>
          </w:p>
        </w:tc>
        <w:tc>
          <w:tcPr>
            <w:tcW w:w="543" w:type="dxa"/>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单位</w:t>
            </w:r>
          </w:p>
        </w:tc>
        <w:tc>
          <w:tcPr>
            <w:tcW w:w="1729" w:type="dxa"/>
            <w:vMerge w:val="continue"/>
            <w:tcBorders>
              <w:tl2br w:val="nil"/>
              <w:tr2bl w:val="nil"/>
            </w:tcBorders>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458" w:type="dxa"/>
            <w:vMerge w:val="restart"/>
            <w:tcBorders>
              <w:tl2br w:val="nil"/>
              <w:tr2bl w:val="nil"/>
            </w:tcBorders>
            <w:vAlign w:val="center"/>
          </w:tcPr>
          <w:p>
            <w:pPr>
              <w:widowControl/>
              <w:adjustRightInd w:val="0"/>
              <w:snapToGrid w:val="0"/>
              <w:spacing w:line="360" w:lineRule="exact"/>
              <w:jc w:val="center"/>
              <w:rPr>
                <w:rFonts w:ascii="方正书宋_GBK" w:eastAsia="方正书宋_GBK"/>
              </w:rPr>
            </w:pPr>
            <w:r>
              <w:rPr>
                <w:rFonts w:ascii="方正书宋_GBK" w:eastAsia="方正书宋_GBK"/>
              </w:rPr>
              <w:t>部门产出</w:t>
            </w:r>
          </w:p>
        </w:tc>
        <w:tc>
          <w:tcPr>
            <w:tcW w:w="850" w:type="dxa"/>
            <w:tcBorders>
              <w:tl2br w:val="nil"/>
              <w:tr2bl w:val="nil"/>
            </w:tcBorders>
            <w:vAlign w:val="center"/>
          </w:tcPr>
          <w:p>
            <w:pPr>
              <w:widowControl/>
              <w:adjustRightInd w:val="0"/>
              <w:snapToGrid w:val="0"/>
              <w:spacing w:line="360" w:lineRule="exact"/>
              <w:jc w:val="center"/>
              <w:rPr>
                <w:rFonts w:ascii="方正书宋_GBK" w:eastAsia="方正书宋_GBK"/>
              </w:rPr>
            </w:pPr>
            <w:r>
              <w:rPr>
                <w:rFonts w:ascii="方正书宋_GBK" w:eastAsia="方正书宋_GBK"/>
              </w:rPr>
              <w:t>数量</w:t>
            </w:r>
          </w:p>
        </w:tc>
        <w:tc>
          <w:tcPr>
            <w:tcW w:w="14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办理案件数</w:t>
            </w:r>
          </w:p>
        </w:tc>
        <w:tc>
          <w:tcPr>
            <w:tcW w:w="31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优：≥300件差：＜300件</w:t>
            </w:r>
          </w:p>
        </w:tc>
        <w:tc>
          <w:tcPr>
            <w:tcW w:w="31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办理案件数量</w:t>
            </w:r>
          </w:p>
        </w:tc>
        <w:tc>
          <w:tcPr>
            <w:tcW w:w="54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4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300</w:t>
            </w:r>
          </w:p>
        </w:tc>
        <w:tc>
          <w:tcPr>
            <w:tcW w:w="57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件</w:t>
            </w:r>
          </w:p>
        </w:tc>
        <w:tc>
          <w:tcPr>
            <w:tcW w:w="1729"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2022年工作计划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458" w:type="dxa"/>
            <w:vMerge w:val="continue"/>
            <w:tcBorders>
              <w:tl2br w:val="nil"/>
              <w:tr2bl w:val="nil"/>
            </w:tcBorders>
            <w:vAlign w:val="center"/>
          </w:tcPr>
          <w:p>
            <w:pPr>
              <w:spacing w:line="360" w:lineRule="exact"/>
            </w:pPr>
          </w:p>
        </w:tc>
        <w:tc>
          <w:tcPr>
            <w:tcW w:w="850" w:type="dxa"/>
            <w:tcBorders>
              <w:tl2br w:val="nil"/>
              <w:tr2bl w:val="nil"/>
            </w:tcBorders>
            <w:vAlign w:val="center"/>
          </w:tcPr>
          <w:p>
            <w:pPr>
              <w:widowControl/>
              <w:adjustRightInd w:val="0"/>
              <w:snapToGrid w:val="0"/>
              <w:spacing w:line="360" w:lineRule="exact"/>
              <w:jc w:val="center"/>
              <w:rPr>
                <w:rFonts w:ascii="方正书宋_GBK" w:eastAsia="方正书宋_GBK"/>
              </w:rPr>
            </w:pPr>
            <w:r>
              <w:rPr>
                <w:rFonts w:hint="eastAsia" w:ascii="方正书宋_GBK" w:eastAsia="方正书宋_GBK"/>
              </w:rPr>
              <w:t>数量</w:t>
            </w:r>
          </w:p>
        </w:tc>
        <w:tc>
          <w:tcPr>
            <w:tcW w:w="14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完成工作完成率</w:t>
            </w:r>
          </w:p>
        </w:tc>
        <w:tc>
          <w:tcPr>
            <w:tcW w:w="31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优：≥90%  良：80%-90%（含）80% 中：70%-80%  差：≤70%</w:t>
            </w:r>
          </w:p>
        </w:tc>
        <w:tc>
          <w:tcPr>
            <w:tcW w:w="31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工作完成数量占总工作量的比例</w:t>
            </w:r>
          </w:p>
        </w:tc>
        <w:tc>
          <w:tcPr>
            <w:tcW w:w="54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4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90</w:t>
            </w:r>
          </w:p>
        </w:tc>
        <w:tc>
          <w:tcPr>
            <w:tcW w:w="57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1729" w:type="dxa"/>
            <w:tcBorders>
              <w:tl2br w:val="nil"/>
              <w:tr2bl w:val="nil"/>
            </w:tcBorders>
          </w:tcPr>
          <w:p>
            <w:pPr>
              <w:widowControl/>
              <w:spacing w:line="360" w:lineRule="exact"/>
              <w:jc w:val="left"/>
              <w:textAlignment w:val="top"/>
              <w:rPr>
                <w:rFonts w:cs="Calibri"/>
                <w:color w:val="000000"/>
                <w:kern w:val="0"/>
                <w:sz w:val="22"/>
                <w:lang w:bidi="ar"/>
              </w:rPr>
            </w:pPr>
            <w:r>
              <w:rPr>
                <w:rFonts w:cs="Calibri"/>
                <w:color w:val="000000"/>
                <w:kern w:val="0"/>
                <w:sz w:val="22"/>
                <w:lang w:bidi="ar"/>
              </w:rPr>
              <w:t>2022年工作计划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458" w:type="dxa"/>
            <w:vMerge w:val="continue"/>
            <w:tcBorders>
              <w:tl2br w:val="nil"/>
              <w:tr2bl w:val="nil"/>
            </w:tcBorders>
            <w:vAlign w:val="center"/>
          </w:tcPr>
          <w:p>
            <w:pPr>
              <w:spacing w:line="360" w:lineRule="exact"/>
            </w:pPr>
          </w:p>
        </w:tc>
        <w:tc>
          <w:tcPr>
            <w:tcW w:w="850" w:type="dxa"/>
            <w:tcBorders>
              <w:tl2br w:val="nil"/>
              <w:tr2bl w:val="nil"/>
            </w:tcBorders>
            <w:vAlign w:val="center"/>
          </w:tcPr>
          <w:p>
            <w:pPr>
              <w:widowControl/>
              <w:adjustRightInd w:val="0"/>
              <w:snapToGrid w:val="0"/>
              <w:spacing w:line="360" w:lineRule="exact"/>
              <w:jc w:val="center"/>
              <w:rPr>
                <w:rFonts w:ascii="方正书宋_GBK" w:eastAsia="方正书宋_GBK"/>
              </w:rPr>
            </w:pPr>
            <w:r>
              <w:rPr>
                <w:rFonts w:ascii="方正书宋_GBK" w:eastAsia="方正书宋_GBK"/>
              </w:rPr>
              <w:t>质量</w:t>
            </w:r>
          </w:p>
        </w:tc>
        <w:tc>
          <w:tcPr>
            <w:tcW w:w="14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提起公诉完成率</w:t>
            </w:r>
          </w:p>
        </w:tc>
        <w:tc>
          <w:tcPr>
            <w:tcW w:w="31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优：≥90%  良：80%-90%（含）80% 中：70%-80%  差：≤70%</w:t>
            </w:r>
          </w:p>
        </w:tc>
        <w:tc>
          <w:tcPr>
            <w:tcW w:w="31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提起公诉完成案件数量占提起公诉案件的比例</w:t>
            </w:r>
          </w:p>
        </w:tc>
        <w:tc>
          <w:tcPr>
            <w:tcW w:w="54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4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100</w:t>
            </w:r>
          </w:p>
        </w:tc>
        <w:tc>
          <w:tcPr>
            <w:tcW w:w="57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1729"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2022年工作计划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458" w:type="dxa"/>
            <w:vMerge w:val="continue"/>
            <w:tcBorders>
              <w:tl2br w:val="nil"/>
              <w:tr2bl w:val="nil"/>
            </w:tcBorders>
            <w:vAlign w:val="center"/>
          </w:tcPr>
          <w:p>
            <w:pPr>
              <w:spacing w:line="360" w:lineRule="exact"/>
            </w:pPr>
          </w:p>
        </w:tc>
        <w:tc>
          <w:tcPr>
            <w:tcW w:w="850" w:type="dxa"/>
            <w:tcBorders>
              <w:tl2br w:val="nil"/>
              <w:tr2bl w:val="nil"/>
            </w:tcBorders>
            <w:vAlign w:val="center"/>
          </w:tcPr>
          <w:p>
            <w:pPr>
              <w:widowControl/>
              <w:adjustRightInd w:val="0"/>
              <w:snapToGrid w:val="0"/>
              <w:spacing w:line="360" w:lineRule="exact"/>
              <w:jc w:val="center"/>
              <w:rPr>
                <w:rFonts w:ascii="方正书宋_GBK" w:eastAsia="方正书宋_GBK"/>
              </w:rPr>
            </w:pPr>
            <w:r>
              <w:rPr>
                <w:rFonts w:ascii="方正书宋_GBK" w:eastAsia="方正书宋_GBK"/>
              </w:rPr>
              <w:t>时效</w:t>
            </w:r>
          </w:p>
        </w:tc>
        <w:tc>
          <w:tcPr>
            <w:tcW w:w="14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公诉案件审结率</w:t>
            </w:r>
          </w:p>
        </w:tc>
        <w:tc>
          <w:tcPr>
            <w:tcW w:w="31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优：≥90%  良：80%-90%（含）80% 中：70%-80%  差：≤70%</w:t>
            </w:r>
          </w:p>
        </w:tc>
        <w:tc>
          <w:tcPr>
            <w:tcW w:w="31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审结的公诉案件占总公诉案件的比例</w:t>
            </w:r>
          </w:p>
        </w:tc>
        <w:tc>
          <w:tcPr>
            <w:tcW w:w="54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4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100</w:t>
            </w:r>
          </w:p>
        </w:tc>
        <w:tc>
          <w:tcPr>
            <w:tcW w:w="57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1729"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2022年工作计划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458" w:type="dxa"/>
            <w:vMerge w:val="continue"/>
            <w:tcBorders>
              <w:tl2br w:val="nil"/>
              <w:tr2bl w:val="nil"/>
            </w:tcBorders>
            <w:vAlign w:val="center"/>
          </w:tcPr>
          <w:p>
            <w:pPr>
              <w:spacing w:line="360" w:lineRule="exact"/>
            </w:pPr>
          </w:p>
        </w:tc>
        <w:tc>
          <w:tcPr>
            <w:tcW w:w="850" w:type="dxa"/>
            <w:tcBorders>
              <w:tl2br w:val="nil"/>
              <w:tr2bl w:val="nil"/>
            </w:tcBorders>
            <w:vAlign w:val="center"/>
          </w:tcPr>
          <w:p>
            <w:pPr>
              <w:widowControl/>
              <w:adjustRightInd w:val="0"/>
              <w:snapToGrid w:val="0"/>
              <w:spacing w:line="360" w:lineRule="exact"/>
              <w:jc w:val="center"/>
              <w:rPr>
                <w:rFonts w:ascii="方正书宋_GBK" w:eastAsia="方正书宋_GBK"/>
              </w:rPr>
            </w:pPr>
            <w:r>
              <w:rPr>
                <w:rFonts w:ascii="方正书宋_GBK" w:eastAsia="方正书宋_GBK"/>
              </w:rPr>
              <w:t>成本</w:t>
            </w:r>
          </w:p>
        </w:tc>
        <w:tc>
          <w:tcPr>
            <w:tcW w:w="14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成本控制率</w:t>
            </w:r>
          </w:p>
        </w:tc>
        <w:tc>
          <w:tcPr>
            <w:tcW w:w="31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优：≥90%  良：80%-90%（含）80% 中：70%-80%  差：≤70%</w:t>
            </w:r>
          </w:p>
        </w:tc>
        <w:tc>
          <w:tcPr>
            <w:tcW w:w="31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项目实际支出金额与预算金额的比例</w:t>
            </w:r>
          </w:p>
        </w:tc>
        <w:tc>
          <w:tcPr>
            <w:tcW w:w="54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4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100</w:t>
            </w:r>
          </w:p>
        </w:tc>
        <w:tc>
          <w:tcPr>
            <w:tcW w:w="57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1729"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2022年工作计划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458" w:type="dxa"/>
            <w:vMerge w:val="restart"/>
            <w:tcBorders>
              <w:tl2br w:val="nil"/>
              <w:tr2bl w:val="nil"/>
            </w:tcBorders>
            <w:vAlign w:val="center"/>
          </w:tcPr>
          <w:p>
            <w:pPr>
              <w:adjustRightInd w:val="0"/>
              <w:snapToGrid w:val="0"/>
              <w:spacing w:line="360" w:lineRule="exact"/>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50" w:type="dxa"/>
            <w:tcBorders>
              <w:tl2br w:val="nil"/>
              <w:tr2bl w:val="nil"/>
            </w:tcBorders>
            <w:vAlign w:val="center"/>
          </w:tcPr>
          <w:p>
            <w:pPr>
              <w:widowControl/>
              <w:adjustRightInd w:val="0"/>
              <w:snapToGrid w:val="0"/>
              <w:spacing w:line="360" w:lineRule="exact"/>
              <w:jc w:val="center"/>
              <w:rPr>
                <w:rFonts w:ascii="方正书宋_GBK" w:eastAsia="方正书宋_GBK"/>
              </w:rPr>
            </w:pPr>
            <w:r>
              <w:rPr>
                <w:rFonts w:ascii="方正书宋_GBK" w:eastAsia="方正书宋_GBK"/>
              </w:rPr>
              <w:t>社会</w:t>
            </w:r>
          </w:p>
          <w:p>
            <w:pPr>
              <w:widowControl/>
              <w:adjustRightInd w:val="0"/>
              <w:snapToGrid w:val="0"/>
              <w:spacing w:line="360" w:lineRule="exact"/>
              <w:jc w:val="center"/>
              <w:rPr>
                <w:rFonts w:ascii="方正书宋_GBK" w:eastAsia="方正书宋_GBK"/>
              </w:rPr>
            </w:pPr>
            <w:r>
              <w:rPr>
                <w:rFonts w:ascii="方正书宋_GBK" w:eastAsia="方正书宋_GBK"/>
              </w:rPr>
              <w:t>效益</w:t>
            </w:r>
          </w:p>
        </w:tc>
        <w:tc>
          <w:tcPr>
            <w:tcW w:w="14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出庭意见采纳率</w:t>
            </w:r>
          </w:p>
        </w:tc>
        <w:tc>
          <w:tcPr>
            <w:tcW w:w="31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优：≥90%  良：80%-90%（含）80% 中：70%-80%  差：≤70%</w:t>
            </w:r>
          </w:p>
        </w:tc>
        <w:tc>
          <w:tcPr>
            <w:tcW w:w="31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出庭意见采纳数量占总意见数的比例</w:t>
            </w:r>
          </w:p>
        </w:tc>
        <w:tc>
          <w:tcPr>
            <w:tcW w:w="54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4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100</w:t>
            </w:r>
          </w:p>
        </w:tc>
        <w:tc>
          <w:tcPr>
            <w:tcW w:w="57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1729"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2022年工作计划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458" w:type="dxa"/>
            <w:vMerge w:val="continue"/>
            <w:tcBorders>
              <w:tl2br w:val="nil"/>
              <w:tr2bl w:val="nil"/>
            </w:tcBorders>
            <w:vAlign w:val="center"/>
          </w:tcPr>
          <w:p>
            <w:pPr>
              <w:spacing w:line="360" w:lineRule="exact"/>
            </w:pPr>
          </w:p>
        </w:tc>
        <w:tc>
          <w:tcPr>
            <w:tcW w:w="850" w:type="dxa"/>
            <w:tcBorders>
              <w:tl2br w:val="nil"/>
              <w:tr2bl w:val="nil"/>
            </w:tcBorders>
            <w:vAlign w:val="center"/>
          </w:tcPr>
          <w:p>
            <w:pPr>
              <w:widowControl/>
              <w:adjustRightInd w:val="0"/>
              <w:snapToGrid w:val="0"/>
              <w:spacing w:line="360" w:lineRule="exact"/>
              <w:jc w:val="center"/>
              <w:rPr>
                <w:rFonts w:ascii="方正书宋_GBK" w:eastAsia="方正书宋_GBK"/>
              </w:rPr>
            </w:pPr>
            <w:r>
              <w:rPr>
                <w:rFonts w:hint="eastAsia" w:ascii="方正书宋_GBK" w:eastAsia="方正书宋_GBK"/>
              </w:rPr>
              <w:t>经济</w:t>
            </w:r>
          </w:p>
          <w:p>
            <w:pPr>
              <w:widowControl/>
              <w:adjustRightInd w:val="0"/>
              <w:snapToGrid w:val="0"/>
              <w:spacing w:line="360" w:lineRule="exact"/>
              <w:jc w:val="center"/>
              <w:rPr>
                <w:rFonts w:ascii="方正书宋_GBK" w:eastAsia="方正书宋_GBK"/>
              </w:rPr>
            </w:pPr>
            <w:r>
              <w:rPr>
                <w:rFonts w:hint="eastAsia" w:ascii="方正书宋_GBK" w:eastAsia="方正书宋_GBK"/>
              </w:rPr>
              <w:t>效益</w:t>
            </w:r>
          </w:p>
        </w:tc>
        <w:tc>
          <w:tcPr>
            <w:tcW w:w="14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　国家赔偿案件办结率</w:t>
            </w:r>
          </w:p>
        </w:tc>
        <w:tc>
          <w:tcPr>
            <w:tcW w:w="31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优：≥90%  良：80%-90%（含）80% 中：70%-80%  差：≤70%</w:t>
            </w:r>
          </w:p>
        </w:tc>
        <w:tc>
          <w:tcPr>
            <w:tcW w:w="31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国家赔偿案件占总案件比例</w:t>
            </w:r>
          </w:p>
        </w:tc>
        <w:tc>
          <w:tcPr>
            <w:tcW w:w="54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4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30</w:t>
            </w:r>
          </w:p>
        </w:tc>
        <w:tc>
          <w:tcPr>
            <w:tcW w:w="57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1729"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2022年工作计划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458" w:type="dxa"/>
            <w:vMerge w:val="continue"/>
            <w:tcBorders>
              <w:tl2br w:val="nil"/>
              <w:tr2bl w:val="nil"/>
            </w:tcBorders>
            <w:vAlign w:val="center"/>
          </w:tcPr>
          <w:p>
            <w:pPr>
              <w:spacing w:line="360" w:lineRule="exact"/>
            </w:pPr>
          </w:p>
        </w:tc>
        <w:tc>
          <w:tcPr>
            <w:tcW w:w="850" w:type="dxa"/>
            <w:tcBorders>
              <w:tl2br w:val="nil"/>
              <w:tr2bl w:val="nil"/>
            </w:tcBorders>
            <w:vAlign w:val="center"/>
          </w:tcPr>
          <w:p>
            <w:pPr>
              <w:adjustRightInd w:val="0"/>
              <w:snapToGrid w:val="0"/>
              <w:spacing w:line="360" w:lineRule="exact"/>
              <w:jc w:val="center"/>
              <w:rPr>
                <w:rFonts w:ascii="方正书宋_GBK" w:eastAsia="方正书宋_GBK"/>
              </w:rPr>
            </w:pPr>
            <w:r>
              <w:rPr>
                <w:rFonts w:hint="eastAsia" w:ascii="方正书宋_GBK" w:eastAsia="方正书宋_GBK"/>
              </w:rPr>
              <w:t>可持续影响</w:t>
            </w:r>
          </w:p>
        </w:tc>
        <w:tc>
          <w:tcPr>
            <w:tcW w:w="14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提高执法办案效率</w:t>
            </w:r>
          </w:p>
        </w:tc>
        <w:tc>
          <w:tcPr>
            <w:tcW w:w="31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优：≥90%  良：80%-90%（含）80% 中：70%-80%  差：≤70%</w:t>
            </w:r>
          </w:p>
        </w:tc>
        <w:tc>
          <w:tcPr>
            <w:tcW w:w="31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提高执法办效率产生的深远影响</w:t>
            </w:r>
          </w:p>
        </w:tc>
        <w:tc>
          <w:tcPr>
            <w:tcW w:w="54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4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95</w:t>
            </w:r>
          </w:p>
        </w:tc>
        <w:tc>
          <w:tcPr>
            <w:tcW w:w="57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1729"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2022年工作计划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458" w:type="dxa"/>
            <w:vMerge w:val="continue"/>
            <w:tcBorders>
              <w:tl2br w:val="nil"/>
              <w:tr2bl w:val="nil"/>
            </w:tcBorders>
            <w:vAlign w:val="center"/>
          </w:tcPr>
          <w:p>
            <w:pPr>
              <w:spacing w:line="360" w:lineRule="exact"/>
            </w:pPr>
          </w:p>
        </w:tc>
        <w:tc>
          <w:tcPr>
            <w:tcW w:w="850" w:type="dxa"/>
            <w:tcBorders>
              <w:tl2br w:val="nil"/>
              <w:tr2bl w:val="nil"/>
            </w:tcBorders>
            <w:vAlign w:val="center"/>
          </w:tcPr>
          <w:p>
            <w:pPr>
              <w:widowControl/>
              <w:adjustRightInd w:val="0"/>
              <w:snapToGrid w:val="0"/>
              <w:spacing w:line="360" w:lineRule="exact"/>
              <w:jc w:val="center"/>
              <w:rPr>
                <w:rFonts w:ascii="方正书宋_GBK" w:eastAsia="方正书宋_GBK"/>
              </w:rPr>
            </w:pPr>
            <w:r>
              <w:rPr>
                <w:rFonts w:hint="eastAsia" w:ascii="方正书宋_GBK" w:eastAsia="方正书宋_GBK"/>
              </w:rPr>
              <w:t>满意度</w:t>
            </w:r>
          </w:p>
        </w:tc>
        <w:tc>
          <w:tcPr>
            <w:tcW w:w="1418" w:type="dxa"/>
            <w:tcBorders>
              <w:tl2br w:val="nil"/>
              <w:tr2bl w:val="nil"/>
            </w:tcBorders>
            <w:vAlign w:val="center"/>
          </w:tcPr>
          <w:p>
            <w:pPr>
              <w:widowControl/>
              <w:spacing w:line="360" w:lineRule="exact"/>
              <w:jc w:val="left"/>
              <w:textAlignment w:val="center"/>
              <w:rPr>
                <w:rFonts w:ascii="宋体" w:hAnsi="宋体" w:cs="宋体"/>
                <w:color w:val="000000"/>
                <w:sz w:val="22"/>
              </w:rPr>
            </w:pPr>
            <w:r>
              <w:rPr>
                <w:rFonts w:hint="eastAsia" w:ascii="宋体" w:hAnsi="宋体" w:cs="宋体"/>
                <w:color w:val="000000"/>
                <w:kern w:val="0"/>
                <w:sz w:val="22"/>
                <w:lang w:bidi="ar"/>
              </w:rPr>
              <w:t>服务对象满意度指标</w:t>
            </w:r>
          </w:p>
        </w:tc>
        <w:tc>
          <w:tcPr>
            <w:tcW w:w="311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优：≥90%  良：80%-90%（含）80% 中：70%-80%  差：≤70%</w:t>
            </w:r>
          </w:p>
        </w:tc>
        <w:tc>
          <w:tcPr>
            <w:tcW w:w="31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当事人对民事行政申请监督案件的满意程度</w:t>
            </w:r>
          </w:p>
        </w:tc>
        <w:tc>
          <w:tcPr>
            <w:tcW w:w="54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488"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98</w:t>
            </w:r>
          </w:p>
        </w:tc>
        <w:tc>
          <w:tcPr>
            <w:tcW w:w="573"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w:t>
            </w:r>
          </w:p>
        </w:tc>
        <w:tc>
          <w:tcPr>
            <w:tcW w:w="1729" w:type="dxa"/>
            <w:tcBorders>
              <w:tl2br w:val="nil"/>
              <w:tr2bl w:val="nil"/>
            </w:tcBorders>
          </w:tcPr>
          <w:p>
            <w:pPr>
              <w:widowControl/>
              <w:spacing w:line="360" w:lineRule="exact"/>
              <w:jc w:val="left"/>
              <w:textAlignment w:val="top"/>
              <w:rPr>
                <w:rFonts w:cs="Calibri"/>
                <w:color w:val="000000"/>
                <w:sz w:val="22"/>
              </w:rPr>
            </w:pPr>
            <w:r>
              <w:rPr>
                <w:rFonts w:cs="Calibri"/>
                <w:color w:val="000000"/>
                <w:kern w:val="0"/>
                <w:sz w:val="22"/>
                <w:lang w:bidi="ar"/>
              </w:rPr>
              <w:t>2022年工作计划</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1.机关事务管理经费绩效目标表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440" w:lineRule="exact"/>
              <w:rPr>
                <w:rFonts w:hint="eastAsia" w:ascii="仿宋_GB2312" w:hAnsi="仿宋_GB2312" w:eastAsia="仿宋_GB2312" w:cs="仿宋_GB2312"/>
                <w:b/>
              </w:rPr>
            </w:pPr>
            <w:r>
              <w:rPr>
                <w:rFonts w:hint="eastAsia" w:ascii="仿宋_GB2312" w:hAnsi="仿宋_GB2312" w:eastAsia="仿宋_GB2312" w:cs="仿宋_GB2312"/>
              </w:rPr>
              <w:t>1.支付我院各项日常开支，维持我院正常运转，保障检察业务工作顺利进行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日常费用缴纳的及时性</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水费电费等日常费用等缴纳的及时性</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按照规定时间及时缴纳</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经费保障办公人数</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保障办公人数</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≤58人</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综合事务完成率</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完成的机关事务占机关总事务比例</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≥98%</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日常经费开支标准</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办公费、水电费、交通费、会议费、工会经费、招待费及其他机关事务管理经费的开支标准</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按照统一规定执行</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保障工作顺利完成</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公用经费保障工作顺利完成比例</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≥98%</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资金使用效益</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使用资金占拨付资金的比例</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提升检察服务综合能力</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&gt;95%</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机关人员满意度</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机关人员对综合事务的满意人数占总人数的比例</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≥98%</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2.办案工作经费绩效目标表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400" w:lineRule="exact"/>
              <w:rPr>
                <w:rFonts w:hint="eastAsia" w:ascii="仿宋_GB2312" w:hAnsi="仿宋_GB2312" w:eastAsia="仿宋_GB2312" w:cs="仿宋_GB2312"/>
                <w:b/>
              </w:rPr>
            </w:pPr>
            <w:r>
              <w:rPr>
                <w:rFonts w:hint="eastAsia" w:ascii="仿宋_GB2312" w:hAnsi="仿宋_GB2312" w:eastAsia="仿宋_GB2312" w:cs="仿宋_GB2312"/>
              </w:rPr>
              <w:t>支付我院各项日常开支，维持我院正常运转，保障检察业务工作顺利进行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日常费用缴纳的及时性</w:t>
            </w:r>
          </w:p>
        </w:tc>
        <w:tc>
          <w:tcPr>
            <w:tcW w:w="3402"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水费电费等日常费用等缴纳的及时性</w:t>
            </w:r>
          </w:p>
        </w:tc>
        <w:tc>
          <w:tcPr>
            <w:tcW w:w="1843"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按照规定时间及时缴纳</w:t>
            </w:r>
          </w:p>
        </w:tc>
        <w:tc>
          <w:tcPr>
            <w:tcW w:w="215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rPr>
                <w:rFonts w:hint="eastAsia" w:ascii="仿宋_GB2312" w:hAnsi="仿宋_GB2312" w:eastAsia="仿宋_GB2312" w:cs="仿宋_GB2312"/>
              </w:rPr>
            </w:pPr>
          </w:p>
        </w:tc>
        <w:tc>
          <w:tcPr>
            <w:tcW w:w="226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经费保障办公人数</w:t>
            </w:r>
          </w:p>
        </w:tc>
        <w:tc>
          <w:tcPr>
            <w:tcW w:w="3402"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保障办公人数</w:t>
            </w:r>
          </w:p>
        </w:tc>
        <w:tc>
          <w:tcPr>
            <w:tcW w:w="1843"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≤58人</w:t>
            </w:r>
          </w:p>
        </w:tc>
        <w:tc>
          <w:tcPr>
            <w:tcW w:w="215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rPr>
                <w:rFonts w:hint="eastAsia" w:ascii="仿宋_GB2312" w:hAnsi="仿宋_GB2312" w:eastAsia="仿宋_GB2312" w:cs="仿宋_GB2312"/>
              </w:rPr>
            </w:pPr>
          </w:p>
        </w:tc>
        <w:tc>
          <w:tcPr>
            <w:tcW w:w="226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综合事务完成率</w:t>
            </w:r>
          </w:p>
        </w:tc>
        <w:tc>
          <w:tcPr>
            <w:tcW w:w="3402"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完成的机关事务占机关总事务比例</w:t>
            </w:r>
          </w:p>
        </w:tc>
        <w:tc>
          <w:tcPr>
            <w:tcW w:w="1843"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≥98%</w:t>
            </w:r>
          </w:p>
        </w:tc>
        <w:tc>
          <w:tcPr>
            <w:tcW w:w="215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rPr>
                <w:rFonts w:hint="eastAsia" w:ascii="仿宋_GB2312" w:hAnsi="仿宋_GB2312" w:eastAsia="仿宋_GB2312" w:cs="仿宋_GB2312"/>
              </w:rPr>
            </w:pPr>
          </w:p>
        </w:tc>
        <w:tc>
          <w:tcPr>
            <w:tcW w:w="226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日常经费开支标准</w:t>
            </w:r>
          </w:p>
        </w:tc>
        <w:tc>
          <w:tcPr>
            <w:tcW w:w="3402"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办公费、水电费、交通费、会议费、工会经费、招待费及其他机关事务管理经费的开支标准</w:t>
            </w:r>
          </w:p>
        </w:tc>
        <w:tc>
          <w:tcPr>
            <w:tcW w:w="1843"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按照统一规定执行</w:t>
            </w:r>
          </w:p>
        </w:tc>
        <w:tc>
          <w:tcPr>
            <w:tcW w:w="215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保障工作顺利完成</w:t>
            </w:r>
          </w:p>
        </w:tc>
        <w:tc>
          <w:tcPr>
            <w:tcW w:w="3402"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公用经费保障工作顺利完成比例</w:t>
            </w:r>
          </w:p>
        </w:tc>
        <w:tc>
          <w:tcPr>
            <w:tcW w:w="1843"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≥98%</w:t>
            </w:r>
          </w:p>
        </w:tc>
        <w:tc>
          <w:tcPr>
            <w:tcW w:w="215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rPr>
                <w:rFonts w:hint="eastAsia" w:ascii="仿宋_GB2312" w:hAnsi="仿宋_GB2312" w:eastAsia="仿宋_GB2312" w:cs="仿宋_GB2312"/>
              </w:rPr>
            </w:pPr>
          </w:p>
        </w:tc>
        <w:tc>
          <w:tcPr>
            <w:tcW w:w="226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98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资金使用效益</w:t>
            </w:r>
          </w:p>
        </w:tc>
        <w:tc>
          <w:tcPr>
            <w:tcW w:w="3402"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使用资金占拨付资金的比例</w:t>
            </w:r>
          </w:p>
        </w:tc>
        <w:tc>
          <w:tcPr>
            <w:tcW w:w="1843"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rPr>
                <w:rFonts w:hint="eastAsia" w:ascii="仿宋_GB2312" w:hAnsi="仿宋_GB2312" w:eastAsia="仿宋_GB2312" w:cs="仿宋_GB2312"/>
              </w:rPr>
            </w:pPr>
          </w:p>
        </w:tc>
        <w:tc>
          <w:tcPr>
            <w:tcW w:w="226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3402"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提升检察服务综合能力</w:t>
            </w:r>
          </w:p>
        </w:tc>
        <w:tc>
          <w:tcPr>
            <w:tcW w:w="1843"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机关人员满意度</w:t>
            </w:r>
          </w:p>
        </w:tc>
        <w:tc>
          <w:tcPr>
            <w:tcW w:w="3402"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机关人员对综合事务的满意人数占总人数的比例</w:t>
            </w:r>
          </w:p>
        </w:tc>
        <w:tc>
          <w:tcPr>
            <w:tcW w:w="1843"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≥98%</w:t>
            </w:r>
          </w:p>
        </w:tc>
        <w:tc>
          <w:tcPr>
            <w:tcW w:w="2155" w:type="dxa"/>
            <w:shd w:val="clear" w:color="auto" w:fill="auto"/>
            <w:vAlign w:val="center"/>
          </w:tcPr>
          <w:p>
            <w:pPr>
              <w:pStyle w:val="14"/>
              <w:spacing w:line="400" w:lineRule="exact"/>
              <w:rPr>
                <w:rFonts w:hint="eastAsia" w:ascii="仿宋_GB2312" w:hAnsi="仿宋_GB2312" w:eastAsia="仿宋_GB2312" w:cs="仿宋_GB2312"/>
              </w:rPr>
            </w:pPr>
            <w:r>
              <w:rPr>
                <w:rFonts w:hint="eastAsia" w:ascii="仿宋_GB2312" w:hAnsi="仿宋_GB2312" w:eastAsia="仿宋_GB2312" w:cs="仿宋_GB2312"/>
              </w:rPr>
              <w:t>问卷调查</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261</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outlineLvl w:val="1"/>
        <w:rPr>
          <w:rFonts w:ascii="方正小标宋_GBK" w:eastAsia="方正小标宋_GBK" w:cs="Times New Roman"/>
          <w:sz w:val="32"/>
        </w:rPr>
      </w:pPr>
      <w:r>
        <w:rPr>
          <w:rFonts w:hint="eastAsia"/>
        </w:rPr>
        <w:t>[</w:t>
      </w:r>
      <w:r>
        <w:t>360001]廊坊市</w:t>
      </w:r>
      <w:r>
        <w:rPr>
          <w:rFonts w:hint="eastAsia"/>
        </w:rPr>
        <w:t>广阳区人民检察院</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9"/>
        <w:gridCol w:w="992"/>
        <w:gridCol w:w="992"/>
        <w:gridCol w:w="851"/>
        <w:gridCol w:w="709"/>
        <w:gridCol w:w="567"/>
        <w:gridCol w:w="992"/>
        <w:gridCol w:w="102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71" w:type="dxa"/>
            <w:gridSpan w:val="2"/>
            <w:vAlign w:val="center"/>
          </w:tcPr>
          <w:p>
            <w:pPr>
              <w:pStyle w:val="12"/>
              <w:spacing w:line="400" w:lineRule="exact"/>
            </w:pPr>
            <w:r>
              <w:t>政府采购项目来源</w:t>
            </w:r>
          </w:p>
        </w:tc>
        <w:tc>
          <w:tcPr>
            <w:tcW w:w="992" w:type="dxa"/>
            <w:vMerge w:val="restart"/>
            <w:vAlign w:val="center"/>
          </w:tcPr>
          <w:p>
            <w:pPr>
              <w:pStyle w:val="12"/>
              <w:spacing w:line="400" w:lineRule="exact"/>
            </w:pPr>
            <w:r>
              <w:t>采购物品名称</w:t>
            </w:r>
          </w:p>
        </w:tc>
        <w:tc>
          <w:tcPr>
            <w:tcW w:w="851" w:type="dxa"/>
            <w:vMerge w:val="restart"/>
            <w:vAlign w:val="center"/>
          </w:tcPr>
          <w:p>
            <w:pPr>
              <w:pStyle w:val="12"/>
              <w:spacing w:line="400" w:lineRule="exact"/>
            </w:pPr>
            <w:r>
              <w:t>政府采购目录序号</w:t>
            </w:r>
          </w:p>
        </w:tc>
        <w:tc>
          <w:tcPr>
            <w:tcW w:w="709" w:type="dxa"/>
            <w:vMerge w:val="restart"/>
            <w:vAlign w:val="center"/>
          </w:tcPr>
          <w:p>
            <w:pPr>
              <w:pStyle w:val="12"/>
              <w:spacing w:line="400" w:lineRule="exact"/>
            </w:pPr>
            <w:r>
              <w:t>计量  单位</w:t>
            </w:r>
          </w:p>
        </w:tc>
        <w:tc>
          <w:tcPr>
            <w:tcW w:w="567" w:type="dxa"/>
            <w:vMerge w:val="restart"/>
            <w:vAlign w:val="center"/>
          </w:tcPr>
          <w:p>
            <w:pPr>
              <w:pStyle w:val="12"/>
              <w:spacing w:line="400" w:lineRule="exact"/>
            </w:pPr>
            <w:r>
              <w:t>数量</w:t>
            </w:r>
          </w:p>
        </w:tc>
        <w:tc>
          <w:tcPr>
            <w:tcW w:w="992" w:type="dxa"/>
            <w:vMerge w:val="restart"/>
            <w:vAlign w:val="center"/>
          </w:tcPr>
          <w:p>
            <w:pPr>
              <w:pStyle w:val="12"/>
              <w:spacing w:line="400" w:lineRule="exact"/>
            </w:pPr>
            <w:r>
              <w:t>单价</w:t>
            </w:r>
          </w:p>
        </w:tc>
        <w:tc>
          <w:tcPr>
            <w:tcW w:w="7768" w:type="dxa"/>
            <w:gridSpan w:val="8"/>
            <w:vAlign w:val="center"/>
          </w:tcPr>
          <w:p>
            <w:pPr>
              <w:pStyle w:val="12"/>
              <w:spacing w:line="400" w:lineRule="exact"/>
            </w:pPr>
            <w:r>
              <w:t>政府采购金额（当年部门预算安排资金）</w:t>
            </w:r>
          </w:p>
        </w:tc>
        <w:tc>
          <w:tcPr>
            <w:tcW w:w="964" w:type="dxa"/>
            <w:vMerge w:val="restart"/>
            <w:vAlign w:val="center"/>
          </w:tcPr>
          <w:p>
            <w:pPr>
              <w:pStyle w:val="12"/>
              <w:spacing w:line="40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79" w:type="dxa"/>
            <w:vAlign w:val="center"/>
          </w:tcPr>
          <w:p>
            <w:pPr>
              <w:pStyle w:val="12"/>
              <w:spacing w:line="400" w:lineRule="exact"/>
            </w:pPr>
            <w:r>
              <w:t>项目名称</w:t>
            </w:r>
          </w:p>
        </w:tc>
        <w:tc>
          <w:tcPr>
            <w:tcW w:w="992" w:type="dxa"/>
            <w:vAlign w:val="center"/>
          </w:tcPr>
          <w:p>
            <w:pPr>
              <w:pStyle w:val="12"/>
              <w:spacing w:line="400" w:lineRule="exact"/>
            </w:pPr>
            <w:r>
              <w:t>预算    资金</w:t>
            </w:r>
          </w:p>
        </w:tc>
        <w:tc>
          <w:tcPr>
            <w:tcW w:w="992" w:type="dxa"/>
            <w:vMerge w:val="continue"/>
          </w:tcPr>
          <w:p>
            <w:pPr>
              <w:spacing w:line="400" w:lineRule="exact"/>
            </w:pPr>
          </w:p>
        </w:tc>
        <w:tc>
          <w:tcPr>
            <w:tcW w:w="851" w:type="dxa"/>
            <w:vMerge w:val="continue"/>
          </w:tcPr>
          <w:p>
            <w:pPr>
              <w:spacing w:line="400" w:lineRule="exact"/>
            </w:pPr>
          </w:p>
        </w:tc>
        <w:tc>
          <w:tcPr>
            <w:tcW w:w="709" w:type="dxa"/>
            <w:vMerge w:val="continue"/>
          </w:tcPr>
          <w:p>
            <w:pPr>
              <w:spacing w:line="400" w:lineRule="exact"/>
            </w:pPr>
          </w:p>
        </w:tc>
        <w:tc>
          <w:tcPr>
            <w:tcW w:w="567" w:type="dxa"/>
            <w:vMerge w:val="continue"/>
          </w:tcPr>
          <w:p>
            <w:pPr>
              <w:spacing w:line="400" w:lineRule="exact"/>
            </w:pPr>
          </w:p>
        </w:tc>
        <w:tc>
          <w:tcPr>
            <w:tcW w:w="992" w:type="dxa"/>
            <w:vMerge w:val="continue"/>
          </w:tcPr>
          <w:p>
            <w:pPr>
              <w:spacing w:line="400" w:lineRule="exact"/>
            </w:pPr>
          </w:p>
        </w:tc>
        <w:tc>
          <w:tcPr>
            <w:tcW w:w="1020" w:type="dxa"/>
            <w:vAlign w:val="center"/>
          </w:tcPr>
          <w:p>
            <w:pPr>
              <w:pStyle w:val="12"/>
              <w:spacing w:line="400" w:lineRule="exact"/>
            </w:pPr>
            <w:r>
              <w:t>合计</w:t>
            </w:r>
          </w:p>
        </w:tc>
        <w:tc>
          <w:tcPr>
            <w:tcW w:w="964" w:type="dxa"/>
            <w:vAlign w:val="center"/>
          </w:tcPr>
          <w:p>
            <w:pPr>
              <w:pStyle w:val="12"/>
              <w:spacing w:line="400" w:lineRule="exact"/>
            </w:pPr>
            <w:r>
              <w:t>一般公共预算拨款</w:t>
            </w:r>
          </w:p>
        </w:tc>
        <w:tc>
          <w:tcPr>
            <w:tcW w:w="964" w:type="dxa"/>
            <w:vAlign w:val="center"/>
          </w:tcPr>
          <w:p>
            <w:pPr>
              <w:pStyle w:val="12"/>
              <w:spacing w:line="400" w:lineRule="exact"/>
            </w:pPr>
            <w:r>
              <w:t>基金预算拨款</w:t>
            </w:r>
          </w:p>
        </w:tc>
        <w:tc>
          <w:tcPr>
            <w:tcW w:w="964" w:type="dxa"/>
            <w:vAlign w:val="center"/>
          </w:tcPr>
          <w:p>
            <w:pPr>
              <w:pStyle w:val="12"/>
              <w:spacing w:line="400" w:lineRule="exact"/>
            </w:pPr>
            <w:r>
              <w:t>国有资本经营预算拨款</w:t>
            </w:r>
          </w:p>
        </w:tc>
        <w:tc>
          <w:tcPr>
            <w:tcW w:w="964" w:type="dxa"/>
            <w:vAlign w:val="center"/>
          </w:tcPr>
          <w:p>
            <w:pPr>
              <w:pStyle w:val="12"/>
              <w:spacing w:line="400" w:lineRule="exact"/>
            </w:pPr>
            <w:r>
              <w:t>财政专户核拨</w:t>
            </w:r>
          </w:p>
        </w:tc>
        <w:tc>
          <w:tcPr>
            <w:tcW w:w="964" w:type="dxa"/>
            <w:vAlign w:val="center"/>
          </w:tcPr>
          <w:p>
            <w:pPr>
              <w:pStyle w:val="12"/>
              <w:spacing w:line="400" w:lineRule="exact"/>
            </w:pPr>
            <w:r>
              <w:t>单位    资金</w:t>
            </w:r>
          </w:p>
        </w:tc>
        <w:tc>
          <w:tcPr>
            <w:tcW w:w="964" w:type="dxa"/>
            <w:vAlign w:val="center"/>
          </w:tcPr>
          <w:p>
            <w:pPr>
              <w:pStyle w:val="12"/>
              <w:spacing w:line="400" w:lineRule="exact"/>
            </w:pPr>
            <w:r>
              <w:t>财政拨    款结转</w:t>
            </w:r>
          </w:p>
        </w:tc>
        <w:tc>
          <w:tcPr>
            <w:tcW w:w="964" w:type="dxa"/>
            <w:vAlign w:val="center"/>
          </w:tcPr>
          <w:p>
            <w:pPr>
              <w:pStyle w:val="12"/>
              <w:spacing w:line="400" w:lineRule="exact"/>
            </w:pPr>
            <w:r>
              <w:t>非财政    拨款结    转结余</w:t>
            </w:r>
          </w:p>
        </w:tc>
        <w:tc>
          <w:tcPr>
            <w:tcW w:w="964" w:type="dxa"/>
            <w:vMerge w:val="continue"/>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vAlign w:val="center"/>
          </w:tcPr>
          <w:p>
            <w:pPr>
              <w:pStyle w:val="16"/>
              <w:spacing w:line="400" w:lineRule="exact"/>
            </w:pPr>
            <w:r>
              <w:t>合  计</w:t>
            </w:r>
          </w:p>
        </w:tc>
        <w:tc>
          <w:tcPr>
            <w:tcW w:w="992" w:type="dxa"/>
            <w:vAlign w:val="center"/>
          </w:tcPr>
          <w:p>
            <w:pPr>
              <w:pStyle w:val="17"/>
              <w:spacing w:line="400" w:lineRule="exact"/>
            </w:pPr>
          </w:p>
        </w:tc>
        <w:tc>
          <w:tcPr>
            <w:tcW w:w="992" w:type="dxa"/>
            <w:vAlign w:val="center"/>
          </w:tcPr>
          <w:p>
            <w:pPr>
              <w:pStyle w:val="18"/>
              <w:spacing w:line="400" w:lineRule="exact"/>
            </w:pPr>
          </w:p>
        </w:tc>
        <w:tc>
          <w:tcPr>
            <w:tcW w:w="851" w:type="dxa"/>
            <w:vAlign w:val="center"/>
          </w:tcPr>
          <w:p>
            <w:pPr>
              <w:pStyle w:val="18"/>
              <w:spacing w:line="400" w:lineRule="exact"/>
            </w:pPr>
          </w:p>
        </w:tc>
        <w:tc>
          <w:tcPr>
            <w:tcW w:w="709" w:type="dxa"/>
            <w:vAlign w:val="center"/>
          </w:tcPr>
          <w:p>
            <w:pPr>
              <w:pStyle w:val="16"/>
              <w:spacing w:line="400" w:lineRule="exact"/>
            </w:pPr>
          </w:p>
        </w:tc>
        <w:tc>
          <w:tcPr>
            <w:tcW w:w="567" w:type="dxa"/>
            <w:vAlign w:val="center"/>
          </w:tcPr>
          <w:p>
            <w:pPr>
              <w:pStyle w:val="17"/>
              <w:spacing w:line="400" w:lineRule="exact"/>
            </w:pPr>
          </w:p>
        </w:tc>
        <w:tc>
          <w:tcPr>
            <w:tcW w:w="992" w:type="dxa"/>
            <w:vAlign w:val="center"/>
          </w:tcPr>
          <w:p>
            <w:pPr>
              <w:pStyle w:val="17"/>
              <w:spacing w:line="400" w:lineRule="exact"/>
            </w:pPr>
          </w:p>
        </w:tc>
        <w:tc>
          <w:tcPr>
            <w:tcW w:w="1020" w:type="dxa"/>
            <w:vAlign w:val="center"/>
          </w:tcPr>
          <w:p>
            <w:pPr>
              <w:pStyle w:val="17"/>
              <w:spacing w:line="400" w:lineRule="exact"/>
            </w:pPr>
            <w:r>
              <w:t>261.00</w:t>
            </w:r>
          </w:p>
        </w:tc>
        <w:tc>
          <w:tcPr>
            <w:tcW w:w="964" w:type="dxa"/>
            <w:vAlign w:val="center"/>
          </w:tcPr>
          <w:p>
            <w:pPr>
              <w:pStyle w:val="17"/>
              <w:spacing w:line="400" w:lineRule="exact"/>
            </w:pPr>
            <w:r>
              <w:t>261.00</w:t>
            </w: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c>
          <w:tcPr>
            <w:tcW w:w="964" w:type="dxa"/>
            <w:vAlign w:val="center"/>
          </w:tcPr>
          <w:p>
            <w:pPr>
              <w:pStyle w:val="17"/>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579" w:type="dxa"/>
            <w:vAlign w:val="center"/>
          </w:tcPr>
          <w:p>
            <w:pPr>
              <w:pStyle w:val="14"/>
              <w:spacing w:line="400" w:lineRule="exact"/>
            </w:pPr>
            <w:r>
              <w:t>办案技术综合楼修缮经费</w:t>
            </w:r>
          </w:p>
        </w:tc>
        <w:tc>
          <w:tcPr>
            <w:tcW w:w="992" w:type="dxa"/>
            <w:vAlign w:val="center"/>
          </w:tcPr>
          <w:p>
            <w:pPr>
              <w:pStyle w:val="13"/>
              <w:spacing w:line="400" w:lineRule="exact"/>
            </w:pPr>
            <w:r>
              <w:t>31.00</w:t>
            </w:r>
          </w:p>
        </w:tc>
        <w:tc>
          <w:tcPr>
            <w:tcW w:w="992" w:type="dxa"/>
            <w:vAlign w:val="center"/>
          </w:tcPr>
          <w:p>
            <w:pPr>
              <w:pStyle w:val="14"/>
              <w:spacing w:line="400" w:lineRule="exact"/>
            </w:pPr>
            <w:r>
              <w:t>其他服务</w:t>
            </w:r>
          </w:p>
        </w:tc>
        <w:tc>
          <w:tcPr>
            <w:tcW w:w="851" w:type="dxa"/>
            <w:vAlign w:val="center"/>
          </w:tcPr>
          <w:p>
            <w:pPr>
              <w:pStyle w:val="14"/>
              <w:spacing w:line="400" w:lineRule="exact"/>
            </w:pPr>
            <w:r>
              <w:t>C99</w:t>
            </w:r>
          </w:p>
        </w:tc>
        <w:tc>
          <w:tcPr>
            <w:tcW w:w="709" w:type="dxa"/>
            <w:vAlign w:val="center"/>
          </w:tcPr>
          <w:p>
            <w:pPr>
              <w:pStyle w:val="15"/>
              <w:spacing w:line="400" w:lineRule="exact"/>
            </w:pPr>
            <w:r>
              <w:t>万元</w:t>
            </w:r>
          </w:p>
        </w:tc>
        <w:tc>
          <w:tcPr>
            <w:tcW w:w="567" w:type="dxa"/>
            <w:vAlign w:val="center"/>
          </w:tcPr>
          <w:p>
            <w:pPr>
              <w:pStyle w:val="13"/>
              <w:spacing w:line="400" w:lineRule="exact"/>
            </w:pPr>
            <w:r>
              <w:t>1</w:t>
            </w:r>
          </w:p>
        </w:tc>
        <w:tc>
          <w:tcPr>
            <w:tcW w:w="992" w:type="dxa"/>
            <w:vAlign w:val="center"/>
          </w:tcPr>
          <w:p>
            <w:pPr>
              <w:pStyle w:val="13"/>
              <w:spacing w:line="400" w:lineRule="exact"/>
            </w:pPr>
            <w:r>
              <w:t>31.00</w:t>
            </w:r>
          </w:p>
        </w:tc>
        <w:tc>
          <w:tcPr>
            <w:tcW w:w="1020" w:type="dxa"/>
            <w:vAlign w:val="center"/>
          </w:tcPr>
          <w:p>
            <w:pPr>
              <w:pStyle w:val="13"/>
              <w:spacing w:line="400" w:lineRule="exact"/>
            </w:pPr>
            <w:r>
              <w:t>31.00</w:t>
            </w:r>
          </w:p>
        </w:tc>
        <w:tc>
          <w:tcPr>
            <w:tcW w:w="964" w:type="dxa"/>
            <w:vAlign w:val="center"/>
          </w:tcPr>
          <w:p>
            <w:pPr>
              <w:pStyle w:val="13"/>
              <w:spacing w:line="400" w:lineRule="exact"/>
            </w:pPr>
            <w:r>
              <w:t>31.00</w:t>
            </w: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vAlign w:val="center"/>
          </w:tcPr>
          <w:p>
            <w:pPr>
              <w:pStyle w:val="14"/>
              <w:spacing w:line="400" w:lineRule="exact"/>
            </w:pPr>
            <w:r>
              <w:t>办案技术综合楼修缮经费</w:t>
            </w:r>
          </w:p>
        </w:tc>
        <w:tc>
          <w:tcPr>
            <w:tcW w:w="992" w:type="dxa"/>
            <w:vAlign w:val="center"/>
          </w:tcPr>
          <w:p>
            <w:pPr>
              <w:pStyle w:val="13"/>
              <w:spacing w:line="400" w:lineRule="exact"/>
            </w:pPr>
            <w:r>
              <w:t>129.00</w:t>
            </w:r>
          </w:p>
        </w:tc>
        <w:tc>
          <w:tcPr>
            <w:tcW w:w="992" w:type="dxa"/>
            <w:vAlign w:val="center"/>
          </w:tcPr>
          <w:p>
            <w:pPr>
              <w:pStyle w:val="14"/>
              <w:spacing w:line="400" w:lineRule="exact"/>
            </w:pPr>
            <w:r>
              <w:t>其他服务</w:t>
            </w:r>
          </w:p>
        </w:tc>
        <w:tc>
          <w:tcPr>
            <w:tcW w:w="851" w:type="dxa"/>
            <w:vAlign w:val="center"/>
          </w:tcPr>
          <w:p>
            <w:pPr>
              <w:pStyle w:val="14"/>
              <w:spacing w:line="400" w:lineRule="exact"/>
            </w:pPr>
            <w:r>
              <w:t>C99</w:t>
            </w:r>
          </w:p>
        </w:tc>
        <w:tc>
          <w:tcPr>
            <w:tcW w:w="709" w:type="dxa"/>
            <w:vAlign w:val="center"/>
          </w:tcPr>
          <w:p>
            <w:pPr>
              <w:pStyle w:val="15"/>
              <w:spacing w:line="400" w:lineRule="exact"/>
            </w:pPr>
            <w:r>
              <w:t>万元</w:t>
            </w:r>
          </w:p>
        </w:tc>
        <w:tc>
          <w:tcPr>
            <w:tcW w:w="567" w:type="dxa"/>
            <w:vAlign w:val="center"/>
          </w:tcPr>
          <w:p>
            <w:pPr>
              <w:pStyle w:val="13"/>
              <w:spacing w:line="400" w:lineRule="exact"/>
            </w:pPr>
            <w:r>
              <w:t>1</w:t>
            </w:r>
          </w:p>
        </w:tc>
        <w:tc>
          <w:tcPr>
            <w:tcW w:w="992" w:type="dxa"/>
            <w:vAlign w:val="center"/>
          </w:tcPr>
          <w:p>
            <w:pPr>
              <w:pStyle w:val="13"/>
              <w:spacing w:line="400" w:lineRule="exact"/>
            </w:pPr>
            <w:r>
              <w:t>129.00</w:t>
            </w:r>
          </w:p>
        </w:tc>
        <w:tc>
          <w:tcPr>
            <w:tcW w:w="1020" w:type="dxa"/>
            <w:vAlign w:val="center"/>
          </w:tcPr>
          <w:p>
            <w:pPr>
              <w:pStyle w:val="13"/>
              <w:spacing w:line="400" w:lineRule="exact"/>
            </w:pPr>
            <w:r>
              <w:t>129.00</w:t>
            </w:r>
          </w:p>
        </w:tc>
        <w:tc>
          <w:tcPr>
            <w:tcW w:w="964" w:type="dxa"/>
            <w:vAlign w:val="center"/>
          </w:tcPr>
          <w:p>
            <w:pPr>
              <w:pStyle w:val="13"/>
              <w:spacing w:line="400" w:lineRule="exact"/>
            </w:pPr>
            <w:r>
              <w:t>129.00</w:t>
            </w: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79" w:type="dxa"/>
            <w:vAlign w:val="center"/>
          </w:tcPr>
          <w:p>
            <w:pPr>
              <w:pStyle w:val="14"/>
              <w:spacing w:line="400" w:lineRule="exact"/>
            </w:pPr>
            <w:r>
              <w:t>办案技术综合楼修缮经费</w:t>
            </w:r>
          </w:p>
        </w:tc>
        <w:tc>
          <w:tcPr>
            <w:tcW w:w="992" w:type="dxa"/>
            <w:vAlign w:val="center"/>
          </w:tcPr>
          <w:p>
            <w:pPr>
              <w:pStyle w:val="13"/>
              <w:spacing w:line="400" w:lineRule="exact"/>
            </w:pPr>
            <w:r>
              <w:t>101.00</w:t>
            </w:r>
          </w:p>
        </w:tc>
        <w:tc>
          <w:tcPr>
            <w:tcW w:w="992" w:type="dxa"/>
            <w:vAlign w:val="center"/>
          </w:tcPr>
          <w:p>
            <w:pPr>
              <w:pStyle w:val="14"/>
              <w:spacing w:line="400" w:lineRule="exact"/>
            </w:pPr>
            <w:r>
              <w:t>其他服务</w:t>
            </w:r>
          </w:p>
        </w:tc>
        <w:tc>
          <w:tcPr>
            <w:tcW w:w="851" w:type="dxa"/>
            <w:vAlign w:val="center"/>
          </w:tcPr>
          <w:p>
            <w:pPr>
              <w:pStyle w:val="14"/>
              <w:spacing w:line="400" w:lineRule="exact"/>
            </w:pPr>
            <w:r>
              <w:t>C99</w:t>
            </w:r>
          </w:p>
        </w:tc>
        <w:tc>
          <w:tcPr>
            <w:tcW w:w="709" w:type="dxa"/>
            <w:vAlign w:val="center"/>
          </w:tcPr>
          <w:p>
            <w:pPr>
              <w:pStyle w:val="15"/>
              <w:spacing w:line="400" w:lineRule="exact"/>
            </w:pPr>
            <w:r>
              <w:t>万元</w:t>
            </w:r>
          </w:p>
        </w:tc>
        <w:tc>
          <w:tcPr>
            <w:tcW w:w="567" w:type="dxa"/>
            <w:vAlign w:val="center"/>
          </w:tcPr>
          <w:p>
            <w:pPr>
              <w:pStyle w:val="13"/>
              <w:spacing w:line="400" w:lineRule="exact"/>
            </w:pPr>
            <w:r>
              <w:t>1</w:t>
            </w:r>
          </w:p>
        </w:tc>
        <w:tc>
          <w:tcPr>
            <w:tcW w:w="992" w:type="dxa"/>
            <w:vAlign w:val="center"/>
          </w:tcPr>
          <w:p>
            <w:pPr>
              <w:pStyle w:val="13"/>
              <w:spacing w:line="400" w:lineRule="exact"/>
            </w:pPr>
            <w:r>
              <w:t>101.00</w:t>
            </w:r>
          </w:p>
        </w:tc>
        <w:tc>
          <w:tcPr>
            <w:tcW w:w="1020" w:type="dxa"/>
            <w:vAlign w:val="center"/>
          </w:tcPr>
          <w:p>
            <w:pPr>
              <w:pStyle w:val="13"/>
              <w:spacing w:line="400" w:lineRule="exact"/>
            </w:pPr>
            <w:r>
              <w:t>101.00</w:t>
            </w:r>
          </w:p>
        </w:tc>
        <w:tc>
          <w:tcPr>
            <w:tcW w:w="964" w:type="dxa"/>
            <w:vAlign w:val="center"/>
          </w:tcPr>
          <w:p>
            <w:pPr>
              <w:pStyle w:val="13"/>
              <w:spacing w:line="400" w:lineRule="exact"/>
            </w:pPr>
            <w:r>
              <w:t>101.00</w:t>
            </w: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c>
          <w:tcPr>
            <w:tcW w:w="964" w:type="dxa"/>
            <w:vAlign w:val="center"/>
          </w:tcPr>
          <w:p>
            <w:pPr>
              <w:pStyle w:val="13"/>
              <w:spacing w:line="400" w:lineRule="exact"/>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广阳区人民检察院</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2135.76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广阳区人民检察院</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广阳区人民检察院</w:t>
            </w:r>
          </w:p>
        </w:tc>
        <w:tc>
          <w:tcPr>
            <w:tcW w:w="5103" w:type="dxa"/>
            <w:tcBorders>
              <w:top w:val="nil"/>
              <w:left w:val="nil"/>
              <w:bottom w:val="nil"/>
              <w:right w:val="nil"/>
            </w:tcBorders>
            <w:shd w:val="clear" w:color="auto" w:fill="auto"/>
            <w:vAlign w:val="center"/>
          </w:tcPr>
          <w:p>
            <w:pPr>
              <w:widowControl/>
              <w:spacing w:line="584" w:lineRule="exact"/>
              <w:ind w:firstLine="880" w:firstLineChars="4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2135.76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241.66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468.74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1911</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1425.36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7</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746DD"/>
    <w:rsid w:val="000F6018"/>
    <w:rsid w:val="001E3D02"/>
    <w:rsid w:val="002505EE"/>
    <w:rsid w:val="00252691"/>
    <w:rsid w:val="0025632D"/>
    <w:rsid w:val="003059E0"/>
    <w:rsid w:val="0032100C"/>
    <w:rsid w:val="004A54AA"/>
    <w:rsid w:val="00524D40"/>
    <w:rsid w:val="0065331A"/>
    <w:rsid w:val="006B1B8C"/>
    <w:rsid w:val="006E1E13"/>
    <w:rsid w:val="008A32B4"/>
    <w:rsid w:val="00921741"/>
    <w:rsid w:val="00944233"/>
    <w:rsid w:val="009868D9"/>
    <w:rsid w:val="009B7FF1"/>
    <w:rsid w:val="00A25D6C"/>
    <w:rsid w:val="00AB15A4"/>
    <w:rsid w:val="00B356A1"/>
    <w:rsid w:val="00B40732"/>
    <w:rsid w:val="00B4139D"/>
    <w:rsid w:val="00B80935"/>
    <w:rsid w:val="00B91348"/>
    <w:rsid w:val="00C571C8"/>
    <w:rsid w:val="00C8375D"/>
    <w:rsid w:val="00D347CC"/>
    <w:rsid w:val="00D942F3"/>
    <w:rsid w:val="00DC72B4"/>
    <w:rsid w:val="00E82BC5"/>
    <w:rsid w:val="00F44155"/>
    <w:rsid w:val="00F57DC9"/>
    <w:rsid w:val="00FC477B"/>
    <w:rsid w:val="00FC5599"/>
    <w:rsid w:val="05D8040E"/>
    <w:rsid w:val="0CEC1180"/>
    <w:rsid w:val="115B0388"/>
    <w:rsid w:val="30F1680E"/>
    <w:rsid w:val="67161316"/>
    <w:rsid w:val="73693C55"/>
    <w:rsid w:val="75867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1035</Words>
  <Characters>5904</Characters>
  <Lines>49</Lines>
  <Paragraphs>13</Paragraphs>
  <TotalTime>12</TotalTime>
  <ScaleCrop>false</ScaleCrop>
  <LinksUpToDate>false</LinksUpToDate>
  <CharactersWithSpaces>6926</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2022-03-07T07:42:00Z</dcterms:created>
  <dc:creator>guest</dc:creator>
  <cp:lastModifiedBy>lenovo</cp:lastModifiedBy>
  <cp:lastPrinted>2018-01-30T06:12:00Z</cp:lastPrinted>
  <dcterms:modified xsi:type="dcterms:W3CDTF">2022-07-07T02:27:24Z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689CE7FF41EC4B898D6B0D1C4BA8AFC1</vt:lpwstr>
  </property>
</Properties>
</file>