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hint="eastAsia" w:ascii="Times New Roman" w:hAnsi="Times New Roman" w:eastAsia="方正小标宋简体" w:cs="Times New Roman"/>
          <w:sz w:val="44"/>
          <w:szCs w:val="44"/>
          <w:lang w:val="en-US" w:eastAsia="zh-CN"/>
        </w:rPr>
        <w:t>中共</w:t>
      </w: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w:t>
      </w:r>
      <w:r>
        <w:rPr>
          <w:rFonts w:hint="eastAsia" w:ascii="Times New Roman" w:hAnsi="Times New Roman" w:eastAsia="方正小标宋简体" w:cs="Times New Roman"/>
          <w:sz w:val="44"/>
          <w:szCs w:val="44"/>
          <w:lang w:val="en-US" w:eastAsia="zh-CN"/>
        </w:rPr>
        <w:t>区委网信办</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w:t>
      </w:r>
      <w:r>
        <w:rPr>
          <w:rFonts w:hint="eastAsia" w:ascii="Times New Roman" w:hAnsi="Times New Roman" w:eastAsia="仿宋_GB2312" w:cs="Times New Roman"/>
          <w:sz w:val="32"/>
          <w:szCs w:val="32"/>
          <w:lang w:val="en-US" w:eastAsia="zh-CN"/>
        </w:rPr>
        <w:t>区委网信办</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0"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（一）</w:t>
      </w:r>
      <w:r>
        <w:rPr>
          <w:rFonts w:ascii="Times New Roman" w:hAnsi="Times New Roman" w:eastAsia="仿宋_GB2312"/>
          <w:color w:val="000000"/>
          <w:sz w:val="32"/>
          <w:szCs w:val="32"/>
        </w:rPr>
        <w:t>负责处理区委网络安全和信息化委员会日常事务工作。协调督促有关方面落实委员会的决定事项、工作部署和要求，组织开展对涉及我区政治、经济、文化、社会生态及军事等各个领域的网络安全和信息化重大问题研究，向委员会提出工作建议。</w:t>
      </w:r>
    </w:p>
    <w:p>
      <w:pPr>
        <w:spacing w:line="580"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二</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组织研究起草我区网络安全和信息化发展战略、宏观规划和重大政策。统筹推进我区网络安全和信息化法治、标准建设，按照规定负责相关法规、规章等的实施和监督检查，按照规定推动落实网络安全和信息化领域标准并监督实施；依法完善与信息化相关的统计调查制度。</w:t>
      </w:r>
    </w:p>
    <w:p>
      <w:pPr>
        <w:spacing w:line="580" w:lineRule="exact"/>
        <w:ind w:firstLine="480" w:firstLineChars="15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三</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统筹协调全区网络安全保障体系和可信体系建设。协调有关部门制定相关行业网络安全规划及保障评价指标体系，协调信息安全保护工作；指导推进全区党政军部门、重点行业网络安全保障和信息化工作；协调推动网络安全和信息化核心技术、关键设备等重大科技攻关，统筹推进网络安全和信息化核心技术、关键设备等重大科技攻关，统筹推进网络安全和信息化军民融合深度发展；推进网络强区建设，协调推动全区公共服务和社会治理信息化；指导全区网络安全信息共享和通报。</w:t>
      </w:r>
    </w:p>
    <w:p>
      <w:pPr>
        <w:spacing w:line="580" w:lineRule="exact"/>
        <w:ind w:firstLine="480" w:firstLineChars="15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四</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督促落实我区涉及政治、经济、文化、社会、生态及军事等各个领域网络安全和信息化重大事项；负责协调处理网络安全和信息化重大突发事件与有关应急工作。</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五</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负责全区互联网信息内容管理。统筹协调组织互联网宣传管理和舆论引导工作，组织开展网上评论，指导推动网络评论队伍建设，维护互联网意识形态安全；研究拟订互联网新闻信息传播相关政策；负责互联网想信息内容监督管理执法，组织开展网络舆论生态治理，依法指导和管理本区落地网站及区内新媒体新应用，会同有关部门处置和封堵网上有害信息，依照相关法律和规定查处违法违规行为和网站。</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六</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负责指导协调全区网络舆情工作。收集、分析、研判、报送和处置网络舆情信息，依法规范舆情服务市场。</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七</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推动全区网络阵地建设和重点新闻网站规划建设。指导协调网络游戏、网络视听、网络出版等相关业务，推动移动互联网发展，会同有关部门推动传统媒体与新兴媒体融合发展；负责全区网站转载新闻稿源的管理。</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八</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推动全区网络网社会工作和网络文化、网络文明建设；发展、联系、服务网络社会组织，指导互联网行业自律，推动网站党建工作。</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九</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落实互联网信息服务资本准入和信息网络行业安全审查的有关政策。依法按程序办理全区网络新闻业务和论坛、博客、搜索引擎等具有新闻舆论及社会动员功能业务及日常监管；指导全区有关部门督促电信运营企业、接入服务企业、域名注册管理和服务机构做好域名注册、互联网地址（IP地址）分配、网站登记备案、接入以及网络行为主体身份信息核对等基础管理工作；指导协调有关部门推进新技术新应用安全评估，统筹协调全区移动互联网管理。</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十</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协调推进全区信息网络行业自主创新和发展。协调开展全区互联网经济和发展态势研究，推动建立健全我区信息网络行业投融资支持服务体系、技术创新服务体系，统筹协调全区重要信息资源的开发利用与共享。</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十一</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规划指导区内机构开展金融信息服务业务。组织开展全区金融信息服务市场监管；协调金融监管部门建立全区网络金融信息发布、传播监管制度及工作机制。</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十二</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组织拟订网络安全和信息化干部人才队伍发展规划，组织开展万物更新系统干部教育培训和人才队伍建设，规划指导全区互联网新闻信息服务从业人员教育培训和考评工作，组织开展网络媒介素养教育。</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十三</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组织开展相关领域国内国际交流与合作。</w:t>
      </w:r>
    </w:p>
    <w:p>
      <w:pPr>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十四</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指导、检查、推动各级各部门网络安全和信息化工作。</w:t>
      </w:r>
    </w:p>
    <w:p>
      <w:pPr>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十五</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完成省委、市委网络安全和信息化委员会办公室（省、市互联网信息办公室）和区委、区政府及区委网络安全和信息化委员会、区委宣传部交办的其他任务。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中共廊坊市广阳区委网信办</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行政单位</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val="en-US" w:eastAsia="zh-CN"/>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w:t>
      </w:r>
      <w:r>
        <w:rPr>
          <w:rFonts w:hint="eastAsia" w:ascii="Times New Roman" w:hAnsi="Times New Roman" w:eastAsia="仿宋_GB2312" w:cs="Times New Roman"/>
          <w:sz w:val="32"/>
          <w:szCs w:val="32"/>
          <w:lang w:val="en-US" w:eastAsia="zh-CN"/>
        </w:rPr>
        <w:t>区委网信办</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181.83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181.83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w:t>
      </w:r>
      <w:r>
        <w:rPr>
          <w:rFonts w:hint="eastAsia" w:ascii="Times New Roman" w:hAnsi="Times New Roman" w:eastAsia="仿宋_GB2312" w:cs="Times New Roman"/>
          <w:sz w:val="32"/>
          <w:szCs w:val="32"/>
          <w:lang w:val="en-US" w:eastAsia="zh-CN"/>
        </w:rPr>
        <w:t>区委网信办2022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181.83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105.83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92.66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13.17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信息安全事务支出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181.83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87.33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人员经费和公用经费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76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信息安全事务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13.17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广阳区康宁街2号</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无增减变化。</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善网络舆情监测研判，确保全区网络舆论安全，加强网络宣传，营造良好网络，开展网络生态治理，保障网络安全和关键信息基础设施可靠稳定，全面提升信息化建设水平。建设、管理和维护政务数据中心、网络维护中心和安全管理中心，确保各项工作顺利开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完善网络舆情监测研判，确保全区网络舆论安全  </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绩效目标：通过对全网实时监测，掌握舆情状态，把握舆情的走向，便于有针对性采取措施，实现有效抑制负面影响，避免负面舆情的大规模爆发，并为领导决策提供准确、全面的信息。</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数量指标：全年监测到涉及我区的舆情信息数量≥20000条</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质量指标：重大舆情监测覆盖率=全年监测到涉及我区的重大舆情数量/全年监测到涉及我区的舆情信息总量*100%≥95%</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时效指标：全天进行舆情监测的时长=24小时</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社会效益：有效改善网络环境　</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可持续影响：持续优化网络舆情监测和处置率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加强网络宣传，营造良好网络</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绩效目标：通过开展网络宣传，增强我区广大群众网络安全意识，提升网络安全防范技能，营造安全健康文明的网络环境和清朗有序的网络空间，保障建设经济强区、美丽广阳的实现。</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数量指标：网络安全宣传受益人数≥1000人</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质量指标：网络安全宣传区域覆盖率≥80%</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时效指标：网站上登载信息的及时性≤1天</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社会效益：拓宽广阳区网上宣传辐射范围，提升广阳区知晓率　</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可持续影响：持续开展网络安全宣传工作</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建设、管理和维护政务数据中心和网络维护中心，确保各项业务工作顺利开展</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绩效目标：通过建设、管理和维护广阳区政务数据中心、网络维护中心，有效增进政务互联互通和政务资本共享，组成广阳区电子政务收集和资本共享平台，为我区各项业务办理提供便利。</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数量指标：维护广阳区网络节点数量≥90个</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质量指标：广阳区政务外网网速达标率≥80%</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时效指标：广阳区政务网络发生故障后维护方响应时间≤30分钟</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社会效益：有效改善全区政务外网服务质量　</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可持续影响：持续向全区人民提供服务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为进一步规范财务活动行为，有效防范财务风险，确保资金使用安全、规范，提高我部门（单位）整体绩效目标，在原有的财务制度的基础上进行优化完善，规范了各项管理。具体措施如下：</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完善制度建设</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制度建设，用制度管人管事。我单位结合工作实际修订了《财务管理制度》、《资产管理办法》等，通过不断建立健全各项规章制度，为审计机关财务管理的制度化、科学化和规范化提供有力保障，强化财政履约验收，确保财政资金发挥应有的效益。</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加强支出管理</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执行经费管理制度，加强费用报销审核，切实做到支出合规、手续齐全、凭证真实有效；二是强化项目管理，坚持专项资金“谁主管、谁负责”的管理原则，各股室自行准备项目申报及审核材料，由办公室财务人员审核通过后报财政局审核，审核通过后财政部门按规定拨付资金。同时，财政局会同主管部门不定期监督检查项目资金实施进度和资金使用情况，每年抽样进行绩效评估，对查出的问题及时提出处理意见和改进措施。</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加强绩效运行监控</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绩效运行监控管理，落实绩效主体责任，我单位高效推进预算绩效运行监控工作，增强预算执行的科学性、合理性、规范性，提高财政资金使用绩效。一是监控范围全覆盖，按照“全面覆盖、突出重点”的原则，明确监控范围，对纳入预算绩效管理系统中的部门整体支出和项目支出，全面开展预算执行情况和绩效目标实现情况动态监控跟踪管理；二是优化填报途径，由传统的线下纸质填报转变为线上绩效系统填报，依托预算绩效管理系统进行绩效运行监控工作，进一步提高数据准确性和工作效率，并将运行监控结果报财政局审核。三是强化监控结果应用，预算单位通过绩效监控信息，深入分析预算执行进度、绩效目标实现程度等情况，对偏离绩效目标的原因进行分析，对全年绩效目标完成情况进行预计。</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做好绩效自评</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依照《广阳区财政局关于开展部门整体绩效自评》的通知，我单位每年年底对本单位执行财务纪律及有关政策情况和内部财务管理制度的建立健全、执行情况开展认真自查，及时纠正。</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规范财务资产管理</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为更加规范固定资产的管理，我单位财务人员对机关所有资产进行统一登记，对没有使用价值的固定资产进行报废处理，改善资产结构，优化资源配置，减少无效资产占用，提高资产使用效率。</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加强内部监督</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监督是会计的基本职能之一，是我国经济监督体系的重要组成部分。为进一步加强财务监督和管理，严格财务纪律，增强财务管理工作的透明度，强化监督管理措施，保障单位各项工作的健康开展，结合我单位的实际情况，制定了《财务监督管理颁发》。</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加强宣传培训调研</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高度重视财务培训工作，准确掌握新政府会计准则制度的相关规定。为加强推进政府会计改革，提升行政事业单位财务和预算管理水平，我单位财务人员积极参加区财政组织的各种财务宣传培训会，每年在机关内部开展1-2次财务工作培训会，并由单位一把手牵头成立专门的单位内部控制领导小组，坚持全员参与，健全工作机制。</w:t>
      </w:r>
    </w:p>
    <w:p>
      <w:pPr>
        <w:numPr>
          <w:ilvl w:val="0"/>
          <w:numId w:val="1"/>
        </w:num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5"/>
        <w:gridCol w:w="855"/>
        <w:gridCol w:w="1338"/>
        <w:gridCol w:w="2172"/>
        <w:gridCol w:w="1483"/>
        <w:gridCol w:w="543"/>
        <w:gridCol w:w="679"/>
        <w:gridCol w:w="6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3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8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95" w:type="dxa"/>
            <w:vMerge w:val="continue"/>
            <w:tcBorders>
              <w:tl2br w:val="nil"/>
              <w:tr2bl w:val="nil"/>
            </w:tcBorders>
            <w:vAlign w:val="center"/>
          </w:tcPr>
          <w:p/>
        </w:tc>
        <w:tc>
          <w:tcPr>
            <w:tcW w:w="855" w:type="dxa"/>
            <w:vMerge w:val="continue"/>
            <w:tcBorders>
              <w:tl2br w:val="nil"/>
              <w:tr2bl w:val="nil"/>
            </w:tcBorders>
            <w:vAlign w:val="center"/>
          </w:tcPr>
          <w:p/>
        </w:tc>
        <w:tc>
          <w:tcPr>
            <w:tcW w:w="1338"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7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6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9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95"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85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338" w:type="dxa"/>
            <w:tcBorders>
              <w:tl2br w:val="nil"/>
              <w:tr2bl w:val="nil"/>
            </w:tcBorders>
            <w:vAlign w:val="top"/>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全年收集、分析、上报舆情信息的数量</w:t>
            </w:r>
          </w:p>
        </w:tc>
        <w:tc>
          <w:tcPr>
            <w:tcW w:w="2172" w:type="dxa"/>
            <w:tcBorders>
              <w:tl2br w:val="nil"/>
              <w:tr2bl w:val="nil"/>
            </w:tcBorders>
            <w:vAlign w:val="top"/>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分值15分，满足指标值得满分，少1条扣1分</w:t>
            </w:r>
          </w:p>
        </w:tc>
        <w:tc>
          <w:tcPr>
            <w:tcW w:w="1483" w:type="dxa"/>
            <w:tcBorders>
              <w:tl2br w:val="nil"/>
              <w:tr2bl w:val="nil"/>
            </w:tcBorders>
            <w:vAlign w:val="top"/>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全年收集、分析、上报舆情信息的数量</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679" w:type="dxa"/>
            <w:tcBorders>
              <w:tl2br w:val="nil"/>
              <w:tr2bl w:val="nil"/>
            </w:tcBorders>
            <w:vAlign w:val="center"/>
          </w:tcPr>
          <w:p>
            <w:pPr>
              <w:widowControl/>
              <w:adjustRightInd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20000</w:t>
            </w:r>
          </w:p>
        </w:tc>
        <w:tc>
          <w:tcPr>
            <w:tcW w:w="66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条</w:t>
            </w:r>
          </w:p>
        </w:tc>
        <w:tc>
          <w:tcPr>
            <w:tcW w:w="99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年初</w:t>
            </w:r>
            <w:r>
              <w:rPr>
                <w:rFonts w:hint="eastAsia" w:ascii="仿宋_GB2312" w:hAnsi="仿宋_GB2312" w:eastAsia="仿宋_GB2312" w:cs="仿宋_GB2312"/>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338"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网络安全宣传区域覆盖率</w:t>
            </w:r>
          </w:p>
        </w:tc>
        <w:tc>
          <w:tcPr>
            <w:tcW w:w="2172"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分值15分，满足指标值得满分，少1%扣1分</w:t>
            </w:r>
          </w:p>
        </w:tc>
        <w:tc>
          <w:tcPr>
            <w:tcW w:w="148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网络安全宣传区域覆盖率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679" w:type="dxa"/>
            <w:tcBorders>
              <w:tl2br w:val="nil"/>
              <w:tr2bl w:val="nil"/>
            </w:tcBorders>
            <w:vAlign w:val="center"/>
          </w:tcPr>
          <w:p>
            <w:pPr>
              <w:widowControl/>
              <w:adjustRightInd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80</w:t>
            </w:r>
          </w:p>
        </w:tc>
        <w:tc>
          <w:tcPr>
            <w:tcW w:w="66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9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年初</w:t>
            </w:r>
            <w:r>
              <w:rPr>
                <w:rFonts w:hint="eastAsia" w:ascii="仿宋_GB2312" w:hAnsi="仿宋_GB2312" w:eastAsia="仿宋_GB2312" w:cs="仿宋_GB2312"/>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14" w:hRule="atLeast"/>
          <w:jc w:val="center"/>
        </w:trPr>
        <w:tc>
          <w:tcPr>
            <w:tcW w:w="59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1338"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舆情事件处置时间</w:t>
            </w:r>
          </w:p>
        </w:tc>
        <w:tc>
          <w:tcPr>
            <w:tcW w:w="2172"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分值15分，满足指标值得满分，少1分钟扣1分</w:t>
            </w:r>
          </w:p>
        </w:tc>
        <w:tc>
          <w:tcPr>
            <w:tcW w:w="1483"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舆情监测事件从发现到处理的时间</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宋体" w:hAnsi="宋体" w:eastAsia="宋体" w:cs="宋体"/>
                <w:lang w:val="en-US" w:eastAsia="zh-CN"/>
              </w:rPr>
              <w:t>≦</w:t>
            </w:r>
          </w:p>
        </w:tc>
        <w:tc>
          <w:tcPr>
            <w:tcW w:w="67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c>
          <w:tcPr>
            <w:tcW w:w="66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小时</w:t>
            </w:r>
          </w:p>
        </w:tc>
        <w:tc>
          <w:tcPr>
            <w:tcW w:w="99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成本</w:t>
            </w:r>
          </w:p>
        </w:tc>
        <w:tc>
          <w:tcPr>
            <w:tcW w:w="1338"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网信部门整体支出标准</w:t>
            </w:r>
          </w:p>
        </w:tc>
        <w:tc>
          <w:tcPr>
            <w:tcW w:w="2172"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分值15分，满足指标值得满分，不满足不得分</w:t>
            </w:r>
          </w:p>
        </w:tc>
        <w:tc>
          <w:tcPr>
            <w:tcW w:w="1483"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网信部门整体支出标准</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文字描述</w:t>
            </w:r>
          </w:p>
        </w:tc>
        <w:tc>
          <w:tcPr>
            <w:tcW w:w="67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p>
        </w:tc>
        <w:tc>
          <w:tcPr>
            <w:tcW w:w="66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按统一规定执行</w:t>
            </w:r>
          </w:p>
        </w:tc>
        <w:tc>
          <w:tcPr>
            <w:tcW w:w="999" w:type="dxa"/>
            <w:tcBorders>
              <w:tl2br w:val="nil"/>
              <w:tr2bl w:val="nil"/>
            </w:tcBorders>
            <w:vAlign w:val="top"/>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45" w:hRule="atLeast"/>
          <w:jc w:val="center"/>
        </w:trPr>
        <w:tc>
          <w:tcPr>
            <w:tcW w:w="595"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85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338"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有效改善全民上网环境</w:t>
            </w:r>
          </w:p>
        </w:tc>
        <w:tc>
          <w:tcPr>
            <w:tcW w:w="2172"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分值15分，满足指标值得满分，不满足不得分</w:t>
            </w:r>
          </w:p>
        </w:tc>
        <w:tc>
          <w:tcPr>
            <w:tcW w:w="1483"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有效改善全民上网环境</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文字描述</w:t>
            </w:r>
          </w:p>
        </w:tc>
        <w:tc>
          <w:tcPr>
            <w:tcW w:w="67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p>
        </w:tc>
        <w:tc>
          <w:tcPr>
            <w:tcW w:w="66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改善</w:t>
            </w:r>
          </w:p>
        </w:tc>
        <w:tc>
          <w:tcPr>
            <w:tcW w:w="99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7" w:hRule="atLeast"/>
          <w:jc w:val="center"/>
        </w:trPr>
        <w:tc>
          <w:tcPr>
            <w:tcW w:w="59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可持续影响指标</w:t>
            </w:r>
          </w:p>
        </w:tc>
        <w:tc>
          <w:tcPr>
            <w:tcW w:w="1338" w:type="dxa"/>
            <w:tcBorders>
              <w:tl2br w:val="nil"/>
              <w:tr2bl w:val="nil"/>
            </w:tcBorders>
            <w:vAlign w:val="top"/>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持续向全区群众提供服务</w:t>
            </w:r>
          </w:p>
        </w:tc>
        <w:tc>
          <w:tcPr>
            <w:tcW w:w="2172" w:type="dxa"/>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分值15分，满足指标值得满分，不满足不得分</w:t>
            </w:r>
          </w:p>
        </w:tc>
        <w:tc>
          <w:tcPr>
            <w:tcW w:w="1483"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持续向全区群众提供服务</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文字描述</w:t>
            </w:r>
          </w:p>
        </w:tc>
        <w:tc>
          <w:tcPr>
            <w:tcW w:w="67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p>
        </w:tc>
        <w:tc>
          <w:tcPr>
            <w:tcW w:w="66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可持续</w:t>
            </w:r>
          </w:p>
        </w:tc>
        <w:tc>
          <w:tcPr>
            <w:tcW w:w="999" w:type="dxa"/>
            <w:tcBorders>
              <w:tl2br w:val="nil"/>
              <w:tr2bl w:val="nil"/>
            </w:tcBorders>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9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338"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服务对象满意人数占总人数的比率</w:t>
            </w:r>
          </w:p>
        </w:tc>
        <w:tc>
          <w:tcPr>
            <w:tcW w:w="2172" w:type="dxa"/>
            <w:tcBorders>
              <w:tl2br w:val="nil"/>
              <w:tr2bl w:val="nil"/>
            </w:tcBorders>
            <w:noWrap/>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分值10分，满足指标值得满分，少1%扣1分</w:t>
            </w:r>
          </w:p>
        </w:tc>
        <w:tc>
          <w:tcPr>
            <w:tcW w:w="1483" w:type="dxa"/>
            <w:tcBorders>
              <w:tl2br w:val="nil"/>
              <w:tr2bl w:val="nil"/>
            </w:tcBorders>
            <w:noWrap/>
            <w:vAlign w:val="center"/>
          </w:tcPr>
          <w:p>
            <w:pPr>
              <w:widowControl/>
              <w:adjustRightInd w:val="0"/>
              <w:snapToGrid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服务对象满意人数占总人数的比率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67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66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9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调查问卷</w:t>
            </w:r>
          </w:p>
        </w:tc>
      </w:tr>
    </w:tbl>
    <w:p>
      <w:pPr>
        <w:numPr>
          <w:ilvl w:val="0"/>
          <w:numId w:val="0"/>
        </w:numPr>
        <w:overflowPunct w:val="0"/>
        <w:adjustRightInd w:val="0"/>
        <w:snapToGrid w:val="0"/>
        <w:spacing w:after="156" w:afterLines="50" w:line="580" w:lineRule="exact"/>
        <w:jc w:val="left"/>
        <w:rPr>
          <w:rFonts w:hint="eastAsia" w:ascii="楷体_GB2312"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w:t>
      </w:r>
      <w:r>
        <w:rPr>
          <w:rFonts w:hint="eastAsia" w:ascii="仿宋_GB2312" w:hAnsi="仿宋_GB2312" w:eastAsia="仿宋_GB2312" w:cs="仿宋_GB2312"/>
          <w:color w:val="000000"/>
          <w:sz w:val="28"/>
        </w:rPr>
        <w:t>广阳区政务外网服务项目</w:t>
      </w:r>
      <w:r>
        <w:rPr>
          <w:rFonts w:hint="eastAsia" w:ascii="仿宋_GB2312" w:hAnsi="仿宋_GB2312" w:eastAsia="仿宋_GB2312" w:cs="仿宋_GB2312"/>
          <w:color w:val="000000"/>
          <w:sz w:val="28"/>
          <w:lang w:val="en-US" w:eastAsia="zh-CN"/>
        </w:rPr>
        <w:t>经费</w:t>
      </w:r>
      <w:r>
        <w:rPr>
          <w:rFonts w:hint="eastAsia" w:ascii="仿宋_GB2312" w:hAnsi="仿宋_GB2312" w:eastAsia="仿宋_GB2312" w:cs="仿宋_GB2312"/>
          <w:sz w:val="28"/>
        </w:rPr>
        <w:t>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6"/>
        <w:gridCol w:w="2186"/>
        <w:gridCol w:w="2467"/>
        <w:gridCol w:w="3973"/>
        <w:gridCol w:w="165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436"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通过此项目的开展，主要解决广阳区政务外网运行不畅等不利影响，确保我区政务部门面向社会的各种业务的正常开展。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18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46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97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6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626"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186"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7"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服务节点数量</w:t>
            </w:r>
          </w:p>
        </w:tc>
        <w:tc>
          <w:tcPr>
            <w:tcW w:w="397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服务广阳区政务外网网络节点数量</w:t>
            </w:r>
          </w:p>
        </w:tc>
        <w:tc>
          <w:tcPr>
            <w:tcW w:w="1655"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≥90个</w:t>
            </w:r>
          </w:p>
        </w:tc>
        <w:tc>
          <w:tcPr>
            <w:tcW w:w="2155"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626" w:type="dxa"/>
            <w:vMerge w:val="continue"/>
            <w:shd w:val="clear" w:color="auto" w:fill="auto"/>
            <w:vAlign w:val="center"/>
          </w:tcPr>
          <w:p>
            <w:pPr>
              <w:rPr>
                <w:rFonts w:hint="eastAsia" w:ascii="仿宋_GB2312" w:hAnsi="仿宋_GB2312" w:eastAsia="仿宋_GB2312" w:cs="仿宋_GB2312"/>
              </w:rPr>
            </w:pPr>
          </w:p>
        </w:tc>
        <w:tc>
          <w:tcPr>
            <w:tcW w:w="2186"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7"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网速达标率</w:t>
            </w:r>
          </w:p>
        </w:tc>
        <w:tc>
          <w:tcPr>
            <w:tcW w:w="397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政务外网网速达标率</w:t>
            </w:r>
          </w:p>
        </w:tc>
        <w:tc>
          <w:tcPr>
            <w:tcW w:w="1655"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626" w:type="dxa"/>
            <w:vMerge w:val="continue"/>
            <w:shd w:val="clear" w:color="auto" w:fill="auto"/>
            <w:vAlign w:val="center"/>
          </w:tcPr>
          <w:p>
            <w:pPr>
              <w:rPr>
                <w:rFonts w:hint="eastAsia" w:ascii="仿宋_GB2312" w:hAnsi="仿宋_GB2312" w:eastAsia="仿宋_GB2312" w:cs="仿宋_GB2312"/>
              </w:rPr>
            </w:pPr>
          </w:p>
        </w:tc>
        <w:tc>
          <w:tcPr>
            <w:tcW w:w="2186"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7"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故障后响应时间</w:t>
            </w:r>
          </w:p>
        </w:tc>
        <w:tc>
          <w:tcPr>
            <w:tcW w:w="397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发生故障后申告响应时间</w:t>
            </w:r>
          </w:p>
        </w:tc>
        <w:tc>
          <w:tcPr>
            <w:tcW w:w="1655"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≤30分钟</w:t>
            </w:r>
          </w:p>
        </w:tc>
        <w:tc>
          <w:tcPr>
            <w:tcW w:w="2155"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626" w:type="dxa"/>
            <w:vMerge w:val="continue"/>
            <w:shd w:val="clear" w:color="auto" w:fill="auto"/>
            <w:vAlign w:val="center"/>
          </w:tcPr>
          <w:p>
            <w:pPr>
              <w:rPr>
                <w:rFonts w:hint="eastAsia" w:ascii="仿宋_GB2312" w:hAnsi="仿宋_GB2312" w:eastAsia="仿宋_GB2312" w:cs="仿宋_GB2312"/>
              </w:rPr>
            </w:pPr>
          </w:p>
        </w:tc>
        <w:tc>
          <w:tcPr>
            <w:tcW w:w="2186"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7"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成本节约率</w:t>
            </w:r>
          </w:p>
        </w:tc>
        <w:tc>
          <w:tcPr>
            <w:tcW w:w="397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全年我区政务外网运维费用</w:t>
            </w:r>
          </w:p>
        </w:tc>
        <w:tc>
          <w:tcPr>
            <w:tcW w:w="1655"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≤56万元</w:t>
            </w:r>
          </w:p>
        </w:tc>
        <w:tc>
          <w:tcPr>
            <w:tcW w:w="2155"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626"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186"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7"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改善全区政务外网质量</w:t>
            </w:r>
          </w:p>
        </w:tc>
        <w:tc>
          <w:tcPr>
            <w:tcW w:w="397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有效改善全区政务外网服务质量</w:t>
            </w:r>
          </w:p>
        </w:tc>
        <w:tc>
          <w:tcPr>
            <w:tcW w:w="1655"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改善</w:t>
            </w:r>
          </w:p>
        </w:tc>
        <w:tc>
          <w:tcPr>
            <w:tcW w:w="2155"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626" w:type="dxa"/>
            <w:vMerge w:val="continue"/>
            <w:shd w:val="clear" w:color="auto" w:fill="auto"/>
            <w:vAlign w:val="center"/>
          </w:tcPr>
          <w:p>
            <w:pPr>
              <w:rPr>
                <w:rFonts w:hint="eastAsia" w:ascii="仿宋_GB2312" w:hAnsi="仿宋_GB2312" w:eastAsia="仿宋_GB2312" w:cs="仿宋_GB2312"/>
              </w:rPr>
            </w:pPr>
          </w:p>
        </w:tc>
        <w:tc>
          <w:tcPr>
            <w:tcW w:w="2186"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467"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向全区提供服务</w:t>
            </w:r>
          </w:p>
        </w:tc>
        <w:tc>
          <w:tcPr>
            <w:tcW w:w="397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向全区人民提供业务服务支撑</w:t>
            </w:r>
          </w:p>
        </w:tc>
        <w:tc>
          <w:tcPr>
            <w:tcW w:w="1655"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62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86"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7"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广阳区人民满意度</w:t>
            </w:r>
          </w:p>
        </w:tc>
        <w:tc>
          <w:tcPr>
            <w:tcW w:w="3973"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全区满意人员数量占总人数的比率</w:t>
            </w:r>
          </w:p>
        </w:tc>
        <w:tc>
          <w:tcPr>
            <w:tcW w:w="1655"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color w:val="000000"/>
          <w:sz w:val="28"/>
        </w:rPr>
        <w:t>舆情监测系统服务项目经费绩效目标表</w:t>
      </w:r>
    </w:p>
    <w:p>
      <w:pPr>
        <w:spacing w:line="14" w:lineRule="exact"/>
        <w:ind w:firstLine="420" w:firstLineChars="200"/>
        <w:jc w:val="center"/>
        <w:rPr>
          <w:rFonts w:hint="eastAsia" w:ascii="仿宋_GB2312" w:hAnsi="仿宋_GB2312" w:eastAsia="仿宋_GB2312" w:cs="仿宋_GB2312"/>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1813"/>
        <w:gridCol w:w="3574"/>
        <w:gridCol w:w="4106"/>
        <w:gridCol w:w="1467"/>
        <w:gridCol w:w="1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5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70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sz w:val="24"/>
                <w:szCs w:val="24"/>
              </w:rPr>
              <w:t>通过此项目的开展，实时对突发公共事件的媒体报道和公众舆论信息进行统计分析，自动生成舆情监测专报，及时处理解决，避免造成社会负面影响。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5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81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357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410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46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7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35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813" w:type="dxa"/>
            <w:shd w:val="clear" w:color="auto" w:fill="auto"/>
            <w:vAlign w:val="center"/>
          </w:tcPr>
          <w:p>
            <w:pPr>
              <w:pStyle w:val="1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3574" w:type="dxa"/>
            <w:shd w:val="clear" w:color="auto" w:fill="auto"/>
            <w:vAlign w:val="center"/>
          </w:tcPr>
          <w:p>
            <w:pPr>
              <w:pStyle w:val="1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舆情信息数量</w:t>
            </w:r>
          </w:p>
        </w:tc>
        <w:tc>
          <w:tcPr>
            <w:tcW w:w="4106" w:type="dxa"/>
            <w:shd w:val="clear" w:color="auto" w:fill="auto"/>
            <w:vAlign w:val="center"/>
          </w:tcPr>
          <w:p>
            <w:pPr>
              <w:pStyle w:val="1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全年监测到涉及我区的舆情信息数量</w:t>
            </w:r>
          </w:p>
        </w:tc>
        <w:tc>
          <w:tcPr>
            <w:tcW w:w="1467"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≥20000条</w:t>
            </w:r>
          </w:p>
        </w:tc>
        <w:tc>
          <w:tcPr>
            <w:tcW w:w="1743"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359" w:type="dxa"/>
            <w:vMerge w:val="continue"/>
            <w:shd w:val="clear" w:color="auto" w:fill="auto"/>
            <w:vAlign w:val="center"/>
          </w:tcPr>
          <w:p>
            <w:pPr>
              <w:rPr>
                <w:rFonts w:hint="eastAsia" w:ascii="仿宋_GB2312" w:hAnsi="仿宋_GB2312" w:eastAsia="仿宋_GB2312" w:cs="仿宋_GB2312"/>
              </w:rPr>
            </w:pPr>
          </w:p>
        </w:tc>
        <w:tc>
          <w:tcPr>
            <w:tcW w:w="181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3574"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重大舆情监控覆盖率</w:t>
            </w:r>
          </w:p>
        </w:tc>
        <w:tc>
          <w:tcPr>
            <w:tcW w:w="4106"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重大舆情监控覆盖率=全年监测到涉及我区的重大舆情数量/全年监测到涉及我区的舆情信息总量*100%</w:t>
            </w:r>
          </w:p>
        </w:tc>
        <w:tc>
          <w:tcPr>
            <w:tcW w:w="1467"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≥95%</w:t>
            </w:r>
          </w:p>
        </w:tc>
        <w:tc>
          <w:tcPr>
            <w:tcW w:w="1743"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59" w:type="dxa"/>
            <w:vMerge w:val="continue"/>
            <w:shd w:val="clear" w:color="auto" w:fill="auto"/>
            <w:vAlign w:val="center"/>
          </w:tcPr>
          <w:p>
            <w:pPr>
              <w:rPr>
                <w:rFonts w:hint="eastAsia" w:ascii="仿宋_GB2312" w:hAnsi="仿宋_GB2312" w:eastAsia="仿宋_GB2312" w:cs="仿宋_GB2312"/>
              </w:rPr>
            </w:pPr>
          </w:p>
        </w:tc>
        <w:tc>
          <w:tcPr>
            <w:tcW w:w="181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3574"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舆情信息监测时长</w:t>
            </w:r>
          </w:p>
        </w:tc>
        <w:tc>
          <w:tcPr>
            <w:tcW w:w="4106"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全天进行舆情监测的时长</w:t>
            </w:r>
          </w:p>
        </w:tc>
        <w:tc>
          <w:tcPr>
            <w:tcW w:w="1467"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24小时</w:t>
            </w:r>
          </w:p>
        </w:tc>
        <w:tc>
          <w:tcPr>
            <w:tcW w:w="1743"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59" w:type="dxa"/>
            <w:vMerge w:val="continue"/>
            <w:shd w:val="clear" w:color="auto" w:fill="auto"/>
            <w:vAlign w:val="center"/>
          </w:tcPr>
          <w:p>
            <w:pPr>
              <w:rPr>
                <w:rFonts w:hint="eastAsia" w:ascii="仿宋_GB2312" w:hAnsi="仿宋_GB2312" w:eastAsia="仿宋_GB2312" w:cs="仿宋_GB2312"/>
              </w:rPr>
            </w:pPr>
          </w:p>
        </w:tc>
        <w:tc>
          <w:tcPr>
            <w:tcW w:w="181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3574"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成本节约率</w:t>
            </w:r>
          </w:p>
        </w:tc>
        <w:tc>
          <w:tcPr>
            <w:tcW w:w="4106"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全年舆情监测费用</w:t>
            </w:r>
          </w:p>
        </w:tc>
        <w:tc>
          <w:tcPr>
            <w:tcW w:w="1467"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≤20万元</w:t>
            </w:r>
          </w:p>
        </w:tc>
        <w:tc>
          <w:tcPr>
            <w:tcW w:w="1743"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5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81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社会效益指标</w:t>
            </w:r>
          </w:p>
        </w:tc>
        <w:tc>
          <w:tcPr>
            <w:tcW w:w="3574"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改善全区网络环境</w:t>
            </w:r>
          </w:p>
        </w:tc>
        <w:tc>
          <w:tcPr>
            <w:tcW w:w="4106"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有效改善网络环境</w:t>
            </w:r>
          </w:p>
        </w:tc>
        <w:tc>
          <w:tcPr>
            <w:tcW w:w="1467"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改善</w:t>
            </w:r>
          </w:p>
        </w:tc>
        <w:tc>
          <w:tcPr>
            <w:tcW w:w="1743"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59" w:type="dxa"/>
            <w:vMerge w:val="continue"/>
            <w:shd w:val="clear" w:color="auto" w:fill="auto"/>
            <w:vAlign w:val="center"/>
          </w:tcPr>
          <w:p>
            <w:pPr>
              <w:rPr>
                <w:rFonts w:hint="eastAsia" w:ascii="仿宋_GB2312" w:hAnsi="仿宋_GB2312" w:eastAsia="仿宋_GB2312" w:cs="仿宋_GB2312"/>
              </w:rPr>
            </w:pPr>
          </w:p>
        </w:tc>
        <w:tc>
          <w:tcPr>
            <w:tcW w:w="181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生态效益指标</w:t>
            </w:r>
          </w:p>
        </w:tc>
        <w:tc>
          <w:tcPr>
            <w:tcW w:w="3574"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持续优化网络舆情监测和处置率</w:t>
            </w:r>
          </w:p>
        </w:tc>
        <w:tc>
          <w:tcPr>
            <w:tcW w:w="4106"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监测舆情并及时应对</w:t>
            </w:r>
          </w:p>
        </w:tc>
        <w:tc>
          <w:tcPr>
            <w:tcW w:w="1467"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可持续</w:t>
            </w:r>
          </w:p>
        </w:tc>
        <w:tc>
          <w:tcPr>
            <w:tcW w:w="1743"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5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813"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服务对象满意度指标</w:t>
            </w:r>
          </w:p>
        </w:tc>
        <w:tc>
          <w:tcPr>
            <w:tcW w:w="3574"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实现广阳区人民满意度</w:t>
            </w:r>
          </w:p>
        </w:tc>
        <w:tc>
          <w:tcPr>
            <w:tcW w:w="4106" w:type="dxa"/>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全区满意人员数量占总人数</w:t>
            </w:r>
          </w:p>
        </w:tc>
        <w:tc>
          <w:tcPr>
            <w:tcW w:w="1467"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≥90%</w:t>
            </w:r>
          </w:p>
        </w:tc>
        <w:tc>
          <w:tcPr>
            <w:tcW w:w="1743" w:type="dxa"/>
            <w:shd w:val="clear" w:color="auto" w:fill="auto"/>
            <w:vAlign w:val="center"/>
          </w:tcPr>
          <w:p>
            <w:pPr>
              <w:pStyle w:val="15"/>
              <w:rPr>
                <w:rFonts w:hint="eastAsia" w:ascii="仿宋_GB2312" w:hAnsi="仿宋_GB2312" w:eastAsia="仿宋_GB2312" w:cs="仿宋_GB2312"/>
                <w:kern w:val="0"/>
                <w:sz w:val="24"/>
                <w:szCs w:val="24"/>
                <w:lang w:val="en-US" w:eastAsia="uk-UA" w:bidi="ar-SA"/>
              </w:rPr>
            </w:pPr>
            <w:r>
              <w:rPr>
                <w:rFonts w:hint="eastAsia" w:ascii="仿宋_GB2312" w:hAnsi="仿宋_GB2312" w:eastAsia="仿宋_GB2312" w:cs="仿宋_GB2312"/>
                <w:sz w:val="24"/>
                <w:szCs w:val="24"/>
              </w:rPr>
              <w:t>调查问卷</w:t>
            </w:r>
          </w:p>
        </w:tc>
      </w:tr>
    </w:tbl>
    <w:p>
      <w:pPr>
        <w:autoSpaceDE w:val="0"/>
        <w:autoSpaceDN w:val="0"/>
        <w:adjustRightInd w:val="0"/>
        <w:spacing w:line="584" w:lineRule="exact"/>
        <w:jc w:val="left"/>
        <w:rPr>
          <w:rFonts w:hint="eastAsia" w:ascii="仿宋_GB2312" w:hAnsi="仿宋_GB2312" w:eastAsia="仿宋_GB2312" w:cs="仿宋_GB2312"/>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lang w:val="en-US" w:eastAsia="zh-CN"/>
        </w:rPr>
        <w:t>中共廊坊市广阳区委网信办</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2"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w:t>
      </w:r>
      <w:r>
        <w:rPr>
          <w:rFonts w:hint="eastAsia" w:ascii="Times New Roman" w:hAnsi="Times New Roman" w:eastAsia="仿宋_GB2312" w:cs="Times New Roman"/>
          <w:sz w:val="32"/>
          <w:szCs w:val="32"/>
          <w:lang w:val="en-US" w:eastAsia="zh-CN"/>
        </w:rPr>
        <w:t>区委网信办</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56.134381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中共</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w:t>
            </w:r>
            <w:r>
              <w:rPr>
                <w:rFonts w:hint="eastAsia" w:ascii="Times New Roman" w:hAnsi="Times New Roman" w:eastAsia="仿宋_GB2312" w:cs="Times New Roman"/>
                <w:kern w:val="0"/>
                <w:sz w:val="22"/>
                <w:lang w:val="en-US" w:eastAsia="zh-CN"/>
              </w:rPr>
              <w:t>区委网信办</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56.134381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56.134381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3000509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949C0"/>
    <w:multiLevelType w:val="singleLevel"/>
    <w:tmpl w:val="114949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7F5038"/>
    <w:rsid w:val="00944233"/>
    <w:rsid w:val="00B40732"/>
    <w:rsid w:val="00B80935"/>
    <w:rsid w:val="00D347CC"/>
    <w:rsid w:val="00DC72B4"/>
    <w:rsid w:val="01315981"/>
    <w:rsid w:val="02177F1F"/>
    <w:rsid w:val="06E16336"/>
    <w:rsid w:val="06F96183"/>
    <w:rsid w:val="07B812A2"/>
    <w:rsid w:val="0B0D09AC"/>
    <w:rsid w:val="0CA47010"/>
    <w:rsid w:val="0CEC1180"/>
    <w:rsid w:val="0E5E773D"/>
    <w:rsid w:val="1583726F"/>
    <w:rsid w:val="1A612406"/>
    <w:rsid w:val="1DCD230D"/>
    <w:rsid w:val="1F220750"/>
    <w:rsid w:val="217B7F7F"/>
    <w:rsid w:val="23961491"/>
    <w:rsid w:val="242155AF"/>
    <w:rsid w:val="249B741E"/>
    <w:rsid w:val="24D46493"/>
    <w:rsid w:val="343B2BF9"/>
    <w:rsid w:val="3A957639"/>
    <w:rsid w:val="3BBD3275"/>
    <w:rsid w:val="3F674452"/>
    <w:rsid w:val="42531A2F"/>
    <w:rsid w:val="45706350"/>
    <w:rsid w:val="4FE81735"/>
    <w:rsid w:val="52056214"/>
    <w:rsid w:val="52BC78D9"/>
    <w:rsid w:val="552309B0"/>
    <w:rsid w:val="55AC632D"/>
    <w:rsid w:val="59E534DC"/>
    <w:rsid w:val="6C613533"/>
    <w:rsid w:val="6FA5043E"/>
    <w:rsid w:val="70E069B3"/>
    <w:rsid w:val="73693C55"/>
    <w:rsid w:val="7AAF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4</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2022-07-07T02:22:48Z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DD41BB1F5DDE4458A8525095D1EC746C</vt:lpwstr>
  </property>
</Properties>
</file>