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3" w:name="_GoBack"/>
      <w:r>
        <w:rPr>
          <w:rFonts w:hint="eastAsia" w:ascii="Times New Roman" w:hAnsi="Times New Roman" w:eastAsia="方正小标宋简体" w:cs="Times New Roman"/>
          <w:sz w:val="44"/>
          <w:szCs w:val="44"/>
        </w:rPr>
        <w:t>第一幼儿园</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w:t>
      </w:r>
      <w:bookmarkEnd w:id="3"/>
      <w:r>
        <w:rPr>
          <w:rFonts w:hint="eastAsia" w:ascii="Times New Roman" w:hAnsi="Times New Roman" w:eastAsia="方正小标宋简体" w:cs="Times New Roman"/>
          <w:sz w:val="44"/>
          <w:szCs w:val="44"/>
        </w:rPr>
        <w:t>明</w:t>
      </w:r>
    </w:p>
    <w:p>
      <w:pPr>
        <w:spacing w:line="584" w:lineRule="exact"/>
        <w:ind w:firstLine="880" w:firstLineChars="200"/>
        <w:jc w:val="center"/>
        <w:rPr>
          <w:rFonts w:ascii="Times New Roman" w:hAnsi="Times New Roman" w:eastAsia="仿宋_GB2312" w:cs="Times New Roman"/>
          <w:sz w:val="44"/>
          <w:szCs w:val="44"/>
        </w:rPr>
      </w:pP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广阳区第一幼儿园</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79"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79" w:lineRule="exact"/>
        <w:ind w:firstLine="660"/>
        <w:rPr>
          <w:rFonts w:ascii="仿宋_GB2312" w:hAnsi="Times New Roman" w:eastAsia="仿宋_GB2312" w:cs="Times New Roman"/>
          <w:sz w:val="32"/>
          <w:szCs w:val="32"/>
        </w:rPr>
      </w:pPr>
      <w:r>
        <w:rPr>
          <w:rFonts w:hint="eastAsia" w:ascii="仿宋_GB2312" w:hAnsi="Times New Roman" w:eastAsia="仿宋_GB2312" w:cs="Times New Roman"/>
          <w:sz w:val="32"/>
          <w:szCs w:val="32"/>
        </w:rPr>
        <w:t>廊坊市广阳区第一幼儿园始建于1958年，是廊坊市最早的幼儿园，是河北省示范幼儿园、河北省卫生保健示范幼儿园。现有幼儿268人，教职人员47人，8个教学班。主要职责是对3周岁以上幼儿进行保育和教育。</w:t>
      </w:r>
    </w:p>
    <w:p>
      <w:pPr>
        <w:autoSpaceDE w:val="0"/>
        <w:autoSpaceDN w:val="0"/>
        <w:adjustRightInd w:val="0"/>
        <w:spacing w:line="579"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79" w:lineRule="exact"/>
        <w:jc w:val="center"/>
        <w:outlineLvl w:val="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79" w:lineRule="exact"/>
              <w:jc w:val="center"/>
              <w:rPr>
                <w:rFonts w:ascii="Times New Roman" w:hAnsi="Times New Roman" w:eastAsia="楷体_GB2312" w:cs="Times New Roman"/>
                <w:b/>
                <w:sz w:val="32"/>
                <w:szCs w:val="32"/>
              </w:rPr>
            </w:pPr>
            <w:r>
              <w:rPr>
                <w:rFonts w:ascii="Times New Roman" w:hAnsi="Times New Roman" w:eastAsia="楷体_GB2312" w:cs="Times New Roman"/>
                <w:b/>
                <w:sz w:val="32"/>
                <w:szCs w:val="32"/>
              </w:rPr>
              <w:t>单位名称</w:t>
            </w:r>
          </w:p>
        </w:tc>
        <w:tc>
          <w:tcPr>
            <w:tcW w:w="1134" w:type="dxa"/>
            <w:vMerge w:val="restart"/>
            <w:shd w:val="clear" w:color="auto" w:fill="auto"/>
            <w:vAlign w:val="center"/>
          </w:tcPr>
          <w:p>
            <w:pPr>
              <w:spacing w:line="579" w:lineRule="exact"/>
              <w:jc w:val="center"/>
              <w:rPr>
                <w:rFonts w:ascii="Times New Roman" w:hAnsi="Times New Roman" w:eastAsia="楷体_GB2312" w:cs="Times New Roman"/>
                <w:b/>
                <w:sz w:val="32"/>
                <w:szCs w:val="32"/>
              </w:rPr>
            </w:pPr>
            <w:r>
              <w:rPr>
                <w:rFonts w:ascii="Times New Roman" w:hAnsi="Times New Roman" w:eastAsia="楷体_GB2312" w:cs="Times New Roman"/>
                <w:b/>
                <w:sz w:val="32"/>
                <w:szCs w:val="32"/>
              </w:rPr>
              <w:t>单位性质</w:t>
            </w:r>
          </w:p>
        </w:tc>
        <w:tc>
          <w:tcPr>
            <w:tcW w:w="1276" w:type="dxa"/>
            <w:vMerge w:val="restart"/>
            <w:shd w:val="clear" w:color="auto" w:fill="auto"/>
            <w:vAlign w:val="center"/>
          </w:tcPr>
          <w:p>
            <w:pPr>
              <w:spacing w:line="579" w:lineRule="exact"/>
              <w:jc w:val="center"/>
              <w:rPr>
                <w:rFonts w:ascii="Times New Roman" w:hAnsi="Times New Roman" w:eastAsia="楷体_GB2312" w:cs="Times New Roman"/>
                <w:b/>
                <w:sz w:val="32"/>
                <w:szCs w:val="32"/>
              </w:rPr>
            </w:pPr>
            <w:r>
              <w:rPr>
                <w:rFonts w:ascii="Times New Roman" w:hAnsi="Times New Roman" w:eastAsia="楷体_GB2312" w:cs="Times New Roman"/>
                <w:b/>
                <w:sz w:val="32"/>
                <w:szCs w:val="32"/>
              </w:rPr>
              <w:t>单位规格</w:t>
            </w:r>
          </w:p>
        </w:tc>
        <w:tc>
          <w:tcPr>
            <w:tcW w:w="2902" w:type="dxa"/>
            <w:vMerge w:val="restart"/>
            <w:shd w:val="clear" w:color="auto" w:fill="auto"/>
            <w:vAlign w:val="center"/>
          </w:tcPr>
          <w:p>
            <w:pPr>
              <w:spacing w:line="579" w:lineRule="exact"/>
              <w:jc w:val="center"/>
              <w:rPr>
                <w:rFonts w:ascii="Times New Roman" w:hAnsi="Times New Roman" w:eastAsia="楷体_GB2312" w:cs="Times New Roman"/>
                <w:b/>
                <w:sz w:val="32"/>
                <w:szCs w:val="32"/>
              </w:rPr>
            </w:pPr>
            <w:r>
              <w:rPr>
                <w:rFonts w:ascii="Times New Roman" w:hAnsi="Times New Roman" w:eastAsia="楷体_GB2312" w:cs="Times New Roman"/>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tblHeader/>
          <w:jc w:val="center"/>
        </w:trPr>
        <w:tc>
          <w:tcPr>
            <w:tcW w:w="4443" w:type="dxa"/>
            <w:vMerge w:val="continue"/>
            <w:shd w:val="clear" w:color="auto" w:fill="auto"/>
            <w:vAlign w:val="center"/>
          </w:tcPr>
          <w:p>
            <w:pPr>
              <w:spacing w:line="579" w:lineRule="exact"/>
              <w:rPr>
                <w:rFonts w:ascii="Times New Roman" w:hAnsi="Times New Roman" w:eastAsia="楷体_GB2312" w:cs="Times New Roman"/>
                <w:b/>
                <w:sz w:val="32"/>
                <w:szCs w:val="32"/>
              </w:rPr>
            </w:pPr>
          </w:p>
        </w:tc>
        <w:tc>
          <w:tcPr>
            <w:tcW w:w="1134" w:type="dxa"/>
            <w:vMerge w:val="continue"/>
            <w:shd w:val="clear" w:color="auto" w:fill="auto"/>
            <w:vAlign w:val="center"/>
          </w:tcPr>
          <w:p>
            <w:pPr>
              <w:spacing w:line="579" w:lineRule="exact"/>
              <w:rPr>
                <w:rFonts w:ascii="Times New Roman" w:hAnsi="Times New Roman" w:eastAsia="楷体_GB2312" w:cs="Times New Roman"/>
                <w:b/>
                <w:sz w:val="32"/>
                <w:szCs w:val="32"/>
              </w:rPr>
            </w:pPr>
          </w:p>
        </w:tc>
        <w:tc>
          <w:tcPr>
            <w:tcW w:w="1276" w:type="dxa"/>
            <w:vMerge w:val="continue"/>
            <w:shd w:val="clear" w:color="auto" w:fill="auto"/>
            <w:vAlign w:val="center"/>
          </w:tcPr>
          <w:p>
            <w:pPr>
              <w:spacing w:line="579" w:lineRule="exact"/>
              <w:rPr>
                <w:rFonts w:ascii="Times New Roman" w:hAnsi="Times New Roman" w:eastAsia="楷体_GB2312" w:cs="Times New Roman"/>
                <w:b/>
                <w:sz w:val="32"/>
                <w:szCs w:val="32"/>
              </w:rPr>
            </w:pPr>
          </w:p>
        </w:tc>
        <w:tc>
          <w:tcPr>
            <w:tcW w:w="2902" w:type="dxa"/>
            <w:vMerge w:val="continue"/>
            <w:shd w:val="clear" w:color="auto" w:fill="auto"/>
            <w:vAlign w:val="center"/>
          </w:tcPr>
          <w:p>
            <w:pPr>
              <w:spacing w:line="579" w:lineRule="exact"/>
              <w:rPr>
                <w:rFonts w:ascii="Times New Roman" w:hAnsi="Times New Roman" w:eastAsia="楷体_GB2312" w:cs="Times New Roman"/>
                <w:b/>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79" w:lineRule="exact"/>
              <w:jc w:val="center"/>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廊坊市广阳区第一幼儿园</w:t>
            </w:r>
          </w:p>
        </w:tc>
        <w:tc>
          <w:tcPr>
            <w:tcW w:w="1134" w:type="dxa"/>
            <w:shd w:val="clear" w:color="auto" w:fill="auto"/>
            <w:vAlign w:val="center"/>
          </w:tcPr>
          <w:p>
            <w:pPr>
              <w:spacing w:line="579" w:lineRule="exact"/>
              <w:jc w:val="center"/>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事业</w:t>
            </w:r>
          </w:p>
        </w:tc>
        <w:tc>
          <w:tcPr>
            <w:tcW w:w="1276" w:type="dxa"/>
            <w:shd w:val="clear" w:color="auto" w:fill="auto"/>
            <w:vAlign w:val="center"/>
          </w:tcPr>
          <w:p>
            <w:pPr>
              <w:spacing w:line="579" w:lineRule="exact"/>
              <w:jc w:val="center"/>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科级以下</w:t>
            </w:r>
          </w:p>
        </w:tc>
        <w:tc>
          <w:tcPr>
            <w:tcW w:w="2902" w:type="dxa"/>
            <w:shd w:val="clear" w:color="auto" w:fill="auto"/>
            <w:vAlign w:val="center"/>
          </w:tcPr>
          <w:p>
            <w:pPr>
              <w:spacing w:line="579" w:lineRule="exact"/>
              <w:jc w:val="center"/>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财政性资金基本保证</w:t>
            </w:r>
          </w:p>
        </w:tc>
      </w:tr>
    </w:tbl>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广阳区第一幼儿园</w:t>
      </w:r>
      <w:r>
        <w:rPr>
          <w:rFonts w:ascii="Times New Roman" w:hAnsi="Times New Roman" w:eastAsia="仿宋_GB2312" w:cs="Times New Roman"/>
          <w:sz w:val="32"/>
          <w:szCs w:val="32"/>
        </w:rPr>
        <w:t>的收支包含在部门预算中。</w:t>
      </w:r>
    </w:p>
    <w:p>
      <w:pPr>
        <w:spacing w:line="579" w:lineRule="exact"/>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1012.78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1012.78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63947.38万元</w:t>
      </w:r>
      <w:r>
        <w:rPr>
          <w:rFonts w:ascii="Times New Roman" w:hAnsi="Times New Roman" w:eastAsia="仿宋_GB2312" w:cs="Times New Roman"/>
          <w:sz w:val="32"/>
          <w:szCs w:val="32"/>
        </w:rPr>
        <w:t>。</w:t>
      </w:r>
    </w:p>
    <w:p>
      <w:pPr>
        <w:spacing w:line="579" w:lineRule="exact"/>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广阳区第一幼儿园2022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1012.78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814.81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804.9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9.91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197.97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spacing w:line="579" w:lineRule="exact"/>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1012.78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51.62</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134.99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公用经费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减少</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rPr>
        <w:t>186.61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合同制人员经费</w:t>
      </w:r>
      <w:r>
        <w:rPr>
          <w:rFonts w:ascii="Times New Roman" w:hAnsi="Times New Roman" w:eastAsia="仿宋_GB2312" w:cs="Times New Roman"/>
          <w:sz w:val="32"/>
          <w:szCs w:val="32"/>
        </w:rPr>
        <w:t>项目支出。</w:t>
      </w:r>
    </w:p>
    <w:p>
      <w:pPr>
        <w:autoSpaceDE w:val="0"/>
        <w:autoSpaceDN w:val="0"/>
        <w:adjustRightInd w:val="0"/>
        <w:spacing w:line="579"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79"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autoSpaceDE w:val="0"/>
        <w:autoSpaceDN w:val="0"/>
        <w:adjustRightInd w:val="0"/>
        <w:spacing w:line="579" w:lineRule="exact"/>
        <w:ind w:firstLine="784" w:firstLineChars="245"/>
        <w:jc w:val="left"/>
        <w:rPr>
          <w:rFonts w:ascii="黑体" w:hAnsi="黑体" w:eastAsia="黑体" w:cs="Times New Roman"/>
          <w:sz w:val="32"/>
          <w:szCs w:val="32"/>
        </w:rPr>
      </w:pPr>
      <w:r>
        <w:rPr>
          <w:rFonts w:ascii="黑体" w:hAnsi="黑体" w:eastAsia="黑体" w:cs="Times New Roman"/>
          <w:sz w:val="32"/>
          <w:szCs w:val="32"/>
        </w:rPr>
        <w:t>四、财政拨款“三公”经费预算情况及增减变化原因</w:t>
      </w:r>
    </w:p>
    <w:p>
      <w:pPr>
        <w:autoSpaceDE w:val="0"/>
        <w:autoSpaceDN w:val="0"/>
        <w:adjustRightInd w:val="0"/>
        <w:spacing w:line="579"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。（与2021年相比持平，无增减变化）</w:t>
      </w:r>
    </w:p>
    <w:p>
      <w:pPr>
        <w:spacing w:line="579" w:lineRule="exact"/>
        <w:ind w:firstLine="640" w:firstLineChars="200"/>
        <w:rPr>
          <w:rFonts w:ascii="仿宋_GB2312" w:eastAsia="仿宋_GB2312" w:cs="Times New Roman"/>
          <w:sz w:val="32"/>
          <w:szCs w:val="32"/>
        </w:rPr>
      </w:pPr>
      <w:r>
        <w:rPr>
          <w:rFonts w:ascii="Times New Roman" w:hAnsi="Times New Roman" w:eastAsia="黑体" w:cs="Times New Roman"/>
          <w:sz w:val="32"/>
          <w:szCs w:val="32"/>
        </w:rPr>
        <w:t>五、预算绩效信息</w:t>
      </w:r>
    </w:p>
    <w:p>
      <w:pPr>
        <w:spacing w:line="579"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79"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spacing w:line="579" w:lineRule="exact"/>
        <w:rPr>
          <w:rFonts w:ascii="仿宋_GB2312" w:hAnsi="仿宋" w:eastAsia="仿宋_GB2312"/>
          <w:sz w:val="32"/>
          <w:szCs w:val="32"/>
        </w:rPr>
      </w:pPr>
      <w:r>
        <w:rPr>
          <w:rFonts w:hint="eastAsia" w:ascii="仿宋_GB2312" w:hAnsi="仿宋" w:eastAsia="仿宋_GB2312"/>
          <w:sz w:val="32"/>
          <w:szCs w:val="32"/>
        </w:rPr>
        <w:t>提高学前教育公用经费保障水平，继续完善教育基础设施，推进学校建设，加快提升装备水平，改善办学条件。打造一流教师队伍，补充师资力量，提高专业素质，完善考核机制；优化教育教学管理；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spacing w:line="579" w:lineRule="exact"/>
        <w:ind w:firstLine="643" w:firstLineChars="200"/>
        <w:rPr>
          <w:rFonts w:ascii="仿宋_GB2312" w:eastAsia="仿宋_GB2312" w:cs="Times New Roman"/>
          <w:b/>
          <w:sz w:val="32"/>
          <w:szCs w:val="32"/>
        </w:rPr>
      </w:pPr>
      <w:r>
        <w:rPr>
          <w:rFonts w:hint="eastAsia" w:ascii="仿宋_GB2312" w:eastAsia="仿宋_GB2312" w:cs="Times New Roman"/>
          <w:b/>
          <w:sz w:val="32"/>
          <w:szCs w:val="32"/>
        </w:rPr>
        <w:t>（二）分项绩效目标</w:t>
      </w:r>
    </w:p>
    <w:p>
      <w:pPr>
        <w:pStyle w:val="20"/>
        <w:spacing w:line="579" w:lineRule="exact"/>
        <w:ind w:left="420"/>
        <w:rPr>
          <w:rFonts w:ascii="仿宋_GB2312" w:hAnsi="仿宋" w:eastAsia="仿宋_GB2312"/>
          <w:sz w:val="32"/>
          <w:szCs w:val="32"/>
        </w:rPr>
      </w:pPr>
      <w:r>
        <w:rPr>
          <w:rFonts w:hint="eastAsia" w:ascii="仿宋_GB2312" w:hAnsi="仿宋" w:eastAsia="仿宋_GB2312"/>
          <w:sz w:val="32"/>
          <w:szCs w:val="32"/>
        </w:rPr>
        <w:t>提高学前教育公用经费保障水平，改善办学条件，均衡配置基础教育资源，推进标准化学校建设，实施数字化校园建设，加强学校文化建设，落实学生资助政策。促进学前教育均衡发展，提高素质教育水平，开展丰富多彩的教学活动。促进社会文化素质提高。</w:t>
      </w:r>
    </w:p>
    <w:p>
      <w:pPr>
        <w:pStyle w:val="20"/>
        <w:spacing w:line="579" w:lineRule="exact"/>
        <w:rPr>
          <w:rFonts w:ascii="仿宋_GB2312" w:hAnsi="仿宋" w:eastAsia="仿宋_GB2312"/>
          <w:sz w:val="32"/>
          <w:szCs w:val="32"/>
        </w:rPr>
      </w:pPr>
      <w:r>
        <w:rPr>
          <w:rFonts w:hint="eastAsia" w:ascii="仿宋_GB2312" w:hAnsi="仿宋" w:eastAsia="仿宋_GB2312"/>
          <w:sz w:val="32"/>
          <w:szCs w:val="32"/>
        </w:rPr>
        <w:t>1、提高学前教育水平，提供免费教科书，解决大班额问题及入学难问题。</w:t>
      </w:r>
    </w:p>
    <w:p>
      <w:pPr>
        <w:pStyle w:val="20"/>
        <w:spacing w:line="579" w:lineRule="exact"/>
        <w:rPr>
          <w:rFonts w:ascii="仿宋_GB2312" w:hAnsi="仿宋" w:eastAsia="仿宋_GB2312"/>
          <w:sz w:val="32"/>
          <w:szCs w:val="32"/>
        </w:rPr>
      </w:pPr>
      <w:r>
        <w:rPr>
          <w:rFonts w:hint="eastAsia" w:ascii="仿宋_GB2312" w:hAnsi="仿宋" w:eastAsia="仿宋_GB2312"/>
          <w:sz w:val="32"/>
          <w:szCs w:val="32"/>
        </w:rPr>
        <w:t>2、按质按量完成教育教学方面的各项任务，稳步提升学校的教育教学质量，学生综合素质评价优秀率达到85%,合格率达到100%。</w:t>
      </w:r>
    </w:p>
    <w:p>
      <w:pPr>
        <w:pStyle w:val="20"/>
        <w:spacing w:line="579" w:lineRule="exact"/>
        <w:rPr>
          <w:rFonts w:ascii="仿宋_GB2312" w:hAnsi="仿宋" w:eastAsia="仿宋_GB2312"/>
          <w:sz w:val="32"/>
          <w:szCs w:val="32"/>
        </w:rPr>
      </w:pPr>
      <w:r>
        <w:rPr>
          <w:rFonts w:hint="eastAsia" w:ascii="仿宋_GB2312" w:hAnsi="仿宋" w:eastAsia="仿宋_GB2312"/>
          <w:sz w:val="32"/>
          <w:szCs w:val="32"/>
        </w:rPr>
        <w:t>3、幼儿园公用经费水平逐年提高，改善学校办学条件，保障学前教育阶段学校基本教学条件，使学前教育学校教学设施和生活设施满足基本教学需要，保障后勤社会化服务资金充足，使学校能够正常运转，超大班额现象消除，教师数量、素质、结构基本适应教学需要。</w:t>
      </w:r>
    </w:p>
    <w:p>
      <w:pPr>
        <w:pStyle w:val="20"/>
        <w:spacing w:line="579" w:lineRule="exact"/>
        <w:rPr>
          <w:rFonts w:ascii="仿宋_GB2312" w:hAnsi="仿宋" w:eastAsia="仿宋_GB2312"/>
          <w:sz w:val="32"/>
          <w:szCs w:val="32"/>
        </w:rPr>
      </w:pPr>
      <w:r>
        <w:rPr>
          <w:rFonts w:hint="eastAsia" w:ascii="仿宋_GB2312" w:hAnsi="仿宋" w:eastAsia="仿宋_GB2312"/>
          <w:sz w:val="32"/>
          <w:szCs w:val="32"/>
        </w:rPr>
        <w:t>4、提升学校基础设施设备的整体水平。加强学校基础设施设备的维护,确保校园安全,落实校园防火及其他安全隐患的预防工作。确保校园各设施设备的正常运行。</w:t>
      </w:r>
    </w:p>
    <w:p>
      <w:pPr>
        <w:pStyle w:val="20"/>
        <w:spacing w:line="579" w:lineRule="exact"/>
        <w:rPr>
          <w:rFonts w:ascii="仿宋_GB2312" w:hAnsi="仿宋" w:eastAsia="仿宋_GB2312"/>
          <w:sz w:val="32"/>
          <w:szCs w:val="32"/>
        </w:rPr>
      </w:pPr>
      <w:r>
        <w:rPr>
          <w:rFonts w:hint="eastAsia" w:ascii="仿宋_GB2312" w:hAnsi="仿宋" w:eastAsia="仿宋_GB2312"/>
          <w:sz w:val="32"/>
          <w:szCs w:val="32"/>
        </w:rPr>
        <w:t>5、开展各类课题研究、园本研究，加强教师培训和教学交流，提高教师教学水平，调动教师积极性，培养专家型教师人才，加强德育培训与研究，举办各类教育教学、学生社会实践活动，建立学生实践教育基地活动。提高学生的综合素质。</w:t>
      </w:r>
    </w:p>
    <w:p>
      <w:pPr>
        <w:pStyle w:val="20"/>
        <w:spacing w:line="579" w:lineRule="exact"/>
        <w:rPr>
          <w:rFonts w:ascii="仿宋_GB2312" w:hAnsi="仿宋" w:eastAsia="仿宋_GB2312"/>
          <w:sz w:val="32"/>
          <w:szCs w:val="32"/>
        </w:rPr>
      </w:pPr>
      <w:r>
        <w:rPr>
          <w:rFonts w:hint="eastAsia" w:ascii="仿宋_GB2312" w:hAnsi="仿宋" w:eastAsia="仿宋_GB2312"/>
          <w:sz w:val="32"/>
          <w:szCs w:val="32"/>
        </w:rPr>
        <w:t>6、学校的文化宣传整体布局,建成学校校史馆,完成各班级、各科室及教师办公室的文化宣传布置。加大学校办学理念、目标的宣传,形成具有特色的校园文化氛围。</w:t>
      </w:r>
    </w:p>
    <w:p>
      <w:pPr>
        <w:pStyle w:val="20"/>
        <w:spacing w:line="579" w:lineRule="exact"/>
        <w:ind w:left="420"/>
        <w:rPr>
          <w:rFonts w:ascii="仿宋_GB2312" w:hAnsi="仿宋" w:eastAsia="仿宋_GB2312"/>
          <w:sz w:val="32"/>
          <w:szCs w:val="32"/>
        </w:rPr>
      </w:pPr>
      <w:r>
        <w:rPr>
          <w:rFonts w:hint="eastAsia" w:ascii="仿宋_GB2312" w:hAnsi="仿宋" w:eastAsia="仿宋_GB2312"/>
          <w:sz w:val="32"/>
          <w:szCs w:val="32"/>
        </w:rPr>
        <w:t>7、办人民满意的学校,教师、学生、家长整体满意度达到90%以上。</w:t>
      </w:r>
    </w:p>
    <w:p>
      <w:pPr>
        <w:spacing w:line="579"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1"/>
        <w:spacing w:line="579" w:lineRule="exact"/>
        <w:rPr>
          <w:rFonts w:ascii="仿宋_GB2312" w:hAnsi="仿宋" w:eastAsia="仿宋_GB2312"/>
          <w:sz w:val="32"/>
          <w:szCs w:val="32"/>
        </w:rPr>
      </w:pPr>
      <w:r>
        <w:rPr>
          <w:rFonts w:hint="eastAsia" w:ascii="仿宋_GB2312" w:hAnsi="仿宋" w:eastAsia="仿宋_GB2312"/>
          <w:sz w:val="32"/>
          <w:szCs w:val="32"/>
        </w:rPr>
        <w:t>保障措施</w:t>
      </w:r>
    </w:p>
    <w:p>
      <w:pPr>
        <w:pStyle w:val="21"/>
        <w:spacing w:line="579" w:lineRule="exact"/>
        <w:rPr>
          <w:rFonts w:ascii="仿宋_GB2312" w:hAnsi="仿宋" w:eastAsia="仿宋_GB2312"/>
          <w:sz w:val="32"/>
          <w:szCs w:val="32"/>
        </w:rPr>
      </w:pPr>
      <w:r>
        <w:rPr>
          <w:rFonts w:hint="eastAsia" w:ascii="仿宋_GB2312" w:hAnsi="仿宋" w:eastAsia="仿宋_GB2312"/>
          <w:sz w:val="32"/>
          <w:szCs w:val="32"/>
        </w:rPr>
        <w:t>1、成立学校监督小组，监督学校工作，强化工作落实。</w:t>
      </w:r>
    </w:p>
    <w:p>
      <w:pPr>
        <w:pStyle w:val="21"/>
        <w:spacing w:line="579" w:lineRule="exact"/>
        <w:rPr>
          <w:rFonts w:ascii="仿宋_GB2312" w:hAnsi="仿宋" w:eastAsia="仿宋_GB2312"/>
          <w:sz w:val="32"/>
          <w:szCs w:val="32"/>
        </w:rPr>
      </w:pPr>
      <w:r>
        <w:rPr>
          <w:rFonts w:hint="eastAsia" w:ascii="仿宋_GB2312" w:hAnsi="仿宋" w:eastAsia="仿宋_GB2312"/>
          <w:sz w:val="32"/>
          <w:szCs w:val="32"/>
        </w:rP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1"/>
        <w:spacing w:line="579" w:lineRule="exact"/>
        <w:rPr>
          <w:rFonts w:ascii="仿宋_GB2312" w:hAnsi="仿宋" w:eastAsia="仿宋_GB2312"/>
          <w:sz w:val="32"/>
          <w:szCs w:val="32"/>
        </w:rPr>
      </w:pPr>
      <w:r>
        <w:rPr>
          <w:rFonts w:hint="eastAsia" w:ascii="仿宋_GB2312" w:hAnsi="仿宋" w:eastAsia="仿宋_GB2312"/>
          <w:sz w:val="32"/>
          <w:szCs w:val="32"/>
        </w:rP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1"/>
        <w:spacing w:line="579" w:lineRule="exact"/>
        <w:rPr>
          <w:rFonts w:ascii="仿宋_GB2312" w:hAnsi="仿宋" w:eastAsia="仿宋_GB2312"/>
          <w:sz w:val="32"/>
          <w:szCs w:val="32"/>
        </w:rPr>
      </w:pPr>
      <w:r>
        <w:rPr>
          <w:rFonts w:hint="eastAsia" w:ascii="仿宋_GB2312" w:hAnsi="仿宋" w:eastAsia="仿宋_GB2312"/>
          <w:sz w:val="32"/>
          <w:szCs w:val="32"/>
        </w:rPr>
        <w:t>4、学校体育、卫生工作。根据《幼儿园健康体检管理办法》要求，对在校学生每年进行1次常规健康体检。</w:t>
      </w:r>
    </w:p>
    <w:p>
      <w:pPr>
        <w:pStyle w:val="21"/>
        <w:spacing w:line="579" w:lineRule="exact"/>
        <w:rPr>
          <w:rFonts w:ascii="仿宋_GB2312" w:hAnsi="仿宋" w:eastAsia="仿宋_GB2312"/>
          <w:sz w:val="32"/>
          <w:szCs w:val="32"/>
        </w:rPr>
      </w:pPr>
      <w:r>
        <w:rPr>
          <w:rFonts w:hint="eastAsia" w:ascii="仿宋_GB2312" w:hAnsi="仿宋" w:eastAsia="仿宋_GB2312"/>
          <w:sz w:val="32"/>
          <w:szCs w:val="32"/>
        </w:rPr>
        <w:t>5、完善拓展德育队伍建设，树立全员育人观念，并取得一定成绩，形成学校、家庭、社会三位一体的教育格局。完善强化德育评比体制。如班主任绩效考核，做好各级各类优秀集体和个人的评选工作。完善心理咨询室的建设，寓心理健康教育于教育教学工作中，开展好理论学习和个案分析。</w:t>
      </w:r>
    </w:p>
    <w:p>
      <w:pPr>
        <w:pStyle w:val="21"/>
        <w:spacing w:line="579" w:lineRule="exact"/>
        <w:rPr>
          <w:rFonts w:ascii="仿宋_GB2312" w:hAnsi="仿宋" w:eastAsia="仿宋_GB2312"/>
          <w:sz w:val="32"/>
          <w:szCs w:val="32"/>
        </w:rPr>
      </w:pPr>
      <w:r>
        <w:rPr>
          <w:rFonts w:hint="eastAsia" w:ascii="仿宋_GB2312" w:hAnsi="仿宋" w:eastAsia="仿宋_GB2312"/>
          <w:sz w:val="32"/>
          <w:szCs w:val="32"/>
        </w:rPr>
        <w:t>8、加强政治理论学习，强化党风廉政建设。做好师德传承活动，落实老中青传帮带。弘扬办学精神。加强师德宣传与学习活动。开展形式多样、扎实有效的师德教育活动。</w:t>
      </w:r>
    </w:p>
    <w:p>
      <w:pPr>
        <w:spacing w:line="579" w:lineRule="exact"/>
        <w:ind w:firstLine="640" w:firstLineChars="200"/>
        <w:rPr>
          <w:rFonts w:ascii="仿宋_GB2312" w:hAnsi="仿宋" w:eastAsia="仿宋_GB2312" w:cs="Times New Roman"/>
          <w:kern w:val="0"/>
          <w:sz w:val="32"/>
          <w:szCs w:val="32"/>
          <w:lang w:eastAsia="uk-UA"/>
        </w:rPr>
      </w:pPr>
      <w:r>
        <w:rPr>
          <w:rFonts w:hint="eastAsia" w:ascii="仿宋_GB2312" w:hAnsi="仿宋" w:eastAsia="仿宋_GB2312" w:cs="Times New Roman"/>
          <w:kern w:val="0"/>
          <w:sz w:val="32"/>
          <w:szCs w:val="32"/>
          <w:lang w:eastAsia="uk-UA"/>
        </w:rPr>
        <w:t>逐步制订、完善相关制度，规范教师师德。加强校本培训和继续教育工作，提升教师能力。落实教师评价工作，完善考核机制。搭建教师发展平台</w:t>
      </w:r>
    </w:p>
    <w:p>
      <w:pPr>
        <w:overflowPunct w:val="0"/>
        <w:adjustRightInd w:val="0"/>
        <w:snapToGrid w:val="0"/>
        <w:spacing w:afterLines="50" w:line="579"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0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31"/>
        <w:gridCol w:w="1066"/>
        <w:gridCol w:w="1124"/>
        <w:gridCol w:w="2111"/>
        <w:gridCol w:w="2079"/>
        <w:gridCol w:w="542"/>
        <w:gridCol w:w="596"/>
        <w:gridCol w:w="1085"/>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131" w:type="dxa"/>
            <w:vMerge w:val="restart"/>
            <w:tcBorders>
              <w:tl2br w:val="nil"/>
              <w:tr2bl w:val="nil"/>
            </w:tcBorders>
            <w:vAlign w:val="center"/>
          </w:tcPr>
          <w:p>
            <w:pPr>
              <w:widowControl/>
              <w:adjustRightInd w:val="0"/>
              <w:snapToGrid w:val="0"/>
              <w:spacing w:line="579" w:lineRule="exact"/>
              <w:jc w:val="center"/>
              <w:rPr>
                <w:rFonts w:ascii="方正书宋_GBK" w:eastAsia="方正书宋_GBK"/>
                <w:b/>
              </w:rPr>
            </w:pPr>
            <w:r>
              <w:rPr>
                <w:rFonts w:ascii="方正书宋_GBK" w:eastAsia="方正书宋_GBK"/>
                <w:b/>
              </w:rPr>
              <w:t>一级指标</w:t>
            </w:r>
          </w:p>
        </w:tc>
        <w:tc>
          <w:tcPr>
            <w:tcW w:w="1066" w:type="dxa"/>
            <w:vMerge w:val="restart"/>
            <w:tcBorders>
              <w:tl2br w:val="nil"/>
              <w:tr2bl w:val="nil"/>
            </w:tcBorders>
            <w:vAlign w:val="center"/>
          </w:tcPr>
          <w:p>
            <w:pPr>
              <w:widowControl/>
              <w:adjustRightInd w:val="0"/>
              <w:snapToGrid w:val="0"/>
              <w:spacing w:line="579" w:lineRule="exact"/>
              <w:jc w:val="center"/>
              <w:rPr>
                <w:rFonts w:ascii="方正书宋_GBK" w:eastAsia="方正书宋_GBK"/>
                <w:b/>
              </w:rPr>
            </w:pPr>
            <w:r>
              <w:rPr>
                <w:rFonts w:ascii="方正书宋_GBK" w:eastAsia="方正书宋_GBK"/>
                <w:b/>
              </w:rPr>
              <w:t>二级</w:t>
            </w:r>
          </w:p>
          <w:p>
            <w:pPr>
              <w:widowControl/>
              <w:adjustRightInd w:val="0"/>
              <w:snapToGrid w:val="0"/>
              <w:spacing w:line="579" w:lineRule="exact"/>
              <w:jc w:val="center"/>
              <w:rPr>
                <w:rFonts w:ascii="方正书宋_GBK" w:eastAsia="方正书宋_GBK"/>
                <w:b/>
              </w:rPr>
            </w:pPr>
            <w:r>
              <w:rPr>
                <w:rFonts w:ascii="方正书宋_GBK" w:eastAsia="方正书宋_GBK"/>
                <w:b/>
              </w:rPr>
              <w:t>指标</w:t>
            </w:r>
          </w:p>
        </w:tc>
        <w:tc>
          <w:tcPr>
            <w:tcW w:w="1124" w:type="dxa"/>
            <w:vMerge w:val="restart"/>
            <w:tcBorders>
              <w:tl2br w:val="nil"/>
              <w:tr2bl w:val="nil"/>
            </w:tcBorders>
            <w:vAlign w:val="center"/>
          </w:tcPr>
          <w:p>
            <w:pPr>
              <w:widowControl/>
              <w:adjustRightInd w:val="0"/>
              <w:snapToGrid w:val="0"/>
              <w:spacing w:line="579" w:lineRule="exact"/>
              <w:jc w:val="center"/>
              <w:rPr>
                <w:rFonts w:ascii="方正书宋_GBK" w:eastAsia="方正书宋_GBK"/>
                <w:b/>
              </w:rPr>
            </w:pPr>
            <w:r>
              <w:rPr>
                <w:rFonts w:ascii="方正书宋_GBK" w:eastAsia="方正书宋_GBK"/>
                <w:b/>
              </w:rPr>
              <w:t>三级</w:t>
            </w:r>
          </w:p>
          <w:p>
            <w:pPr>
              <w:widowControl/>
              <w:adjustRightInd w:val="0"/>
              <w:snapToGrid w:val="0"/>
              <w:spacing w:line="579" w:lineRule="exact"/>
              <w:jc w:val="center"/>
              <w:rPr>
                <w:rFonts w:ascii="方正书宋_GBK" w:eastAsia="方正书宋_GBK"/>
                <w:b/>
              </w:rPr>
            </w:pPr>
            <w:r>
              <w:rPr>
                <w:rFonts w:ascii="方正书宋_GBK" w:eastAsia="方正书宋_GBK"/>
                <w:b/>
              </w:rPr>
              <w:t>指标</w:t>
            </w:r>
          </w:p>
        </w:tc>
        <w:tc>
          <w:tcPr>
            <w:tcW w:w="2111" w:type="dxa"/>
            <w:vMerge w:val="restart"/>
            <w:tcBorders>
              <w:tl2br w:val="nil"/>
              <w:tr2bl w:val="nil"/>
            </w:tcBorders>
            <w:vAlign w:val="center"/>
          </w:tcPr>
          <w:p>
            <w:pPr>
              <w:widowControl/>
              <w:adjustRightInd w:val="0"/>
              <w:snapToGrid w:val="0"/>
              <w:spacing w:line="579" w:lineRule="exact"/>
              <w:jc w:val="center"/>
              <w:rPr>
                <w:rFonts w:ascii="方正书宋_GBK" w:eastAsia="方正书宋_GBK"/>
                <w:b/>
              </w:rPr>
            </w:pPr>
            <w:r>
              <w:rPr>
                <w:rFonts w:ascii="方正书宋_GBK" w:eastAsia="方正书宋_GBK"/>
                <w:b/>
              </w:rPr>
              <w:t>评（扣）分标准</w:t>
            </w:r>
          </w:p>
        </w:tc>
        <w:tc>
          <w:tcPr>
            <w:tcW w:w="2079" w:type="dxa"/>
            <w:vMerge w:val="restart"/>
            <w:tcBorders>
              <w:tl2br w:val="nil"/>
              <w:tr2bl w:val="nil"/>
            </w:tcBorders>
            <w:vAlign w:val="center"/>
          </w:tcPr>
          <w:p>
            <w:pPr>
              <w:widowControl/>
              <w:adjustRightInd w:val="0"/>
              <w:snapToGrid w:val="0"/>
              <w:spacing w:line="579" w:lineRule="exact"/>
              <w:jc w:val="center"/>
              <w:rPr>
                <w:rFonts w:ascii="方正书宋_GBK" w:eastAsia="方正书宋_GBK"/>
                <w:b/>
              </w:rPr>
            </w:pPr>
            <w:r>
              <w:rPr>
                <w:rFonts w:ascii="方正书宋_GBK" w:eastAsia="方正书宋_GBK"/>
                <w:b/>
              </w:rPr>
              <w:t>绩效指标</w:t>
            </w:r>
          </w:p>
          <w:p>
            <w:pPr>
              <w:widowControl/>
              <w:adjustRightInd w:val="0"/>
              <w:snapToGrid w:val="0"/>
              <w:spacing w:line="579" w:lineRule="exact"/>
              <w:jc w:val="center"/>
              <w:rPr>
                <w:rFonts w:ascii="方正书宋_GBK" w:eastAsia="方正书宋_GBK"/>
                <w:b/>
              </w:rPr>
            </w:pPr>
            <w:r>
              <w:rPr>
                <w:rFonts w:ascii="方正书宋_GBK" w:eastAsia="方正书宋_GBK"/>
                <w:b/>
              </w:rPr>
              <w:t>描述</w:t>
            </w:r>
          </w:p>
        </w:tc>
        <w:tc>
          <w:tcPr>
            <w:tcW w:w="2223" w:type="dxa"/>
            <w:gridSpan w:val="3"/>
            <w:tcBorders>
              <w:tl2br w:val="nil"/>
              <w:tr2bl w:val="nil"/>
            </w:tcBorders>
            <w:vAlign w:val="center"/>
          </w:tcPr>
          <w:p>
            <w:pPr>
              <w:widowControl/>
              <w:adjustRightInd w:val="0"/>
              <w:snapToGrid w:val="0"/>
              <w:spacing w:line="579" w:lineRule="exact"/>
              <w:jc w:val="center"/>
              <w:rPr>
                <w:rFonts w:ascii="方正书宋_GBK" w:eastAsia="方正书宋_GBK"/>
                <w:b/>
              </w:rPr>
            </w:pPr>
            <w:r>
              <w:rPr>
                <w:rFonts w:ascii="方正书宋_GBK" w:eastAsia="方正书宋_GBK"/>
                <w:b/>
              </w:rPr>
              <w:t>指标值</w:t>
            </w:r>
          </w:p>
        </w:tc>
        <w:tc>
          <w:tcPr>
            <w:tcW w:w="1113" w:type="dxa"/>
            <w:vMerge w:val="restart"/>
            <w:tcBorders>
              <w:tl2br w:val="nil"/>
              <w:tr2bl w:val="nil"/>
            </w:tcBorders>
            <w:vAlign w:val="center"/>
          </w:tcPr>
          <w:p>
            <w:pPr>
              <w:widowControl/>
              <w:adjustRightInd w:val="0"/>
              <w:snapToGrid w:val="0"/>
              <w:spacing w:line="579" w:lineRule="exact"/>
              <w:jc w:val="center"/>
              <w:rPr>
                <w:rFonts w:ascii="方正书宋_GBK" w:eastAsia="方正书宋_GBK"/>
                <w:b/>
              </w:rPr>
            </w:pPr>
            <w:r>
              <w:rPr>
                <w:rFonts w:ascii="方正书宋_GBK" w:eastAsia="方正书宋_GBK"/>
                <w:b/>
              </w:rPr>
              <w:t>指标值</w:t>
            </w:r>
          </w:p>
          <w:p>
            <w:pPr>
              <w:widowControl/>
              <w:adjustRightInd w:val="0"/>
              <w:snapToGrid w:val="0"/>
              <w:spacing w:line="579"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131" w:type="dxa"/>
            <w:vMerge w:val="continue"/>
            <w:tcBorders>
              <w:tl2br w:val="nil"/>
              <w:tr2bl w:val="nil"/>
            </w:tcBorders>
            <w:vAlign w:val="center"/>
          </w:tcPr>
          <w:p>
            <w:pPr>
              <w:spacing w:line="579" w:lineRule="exact"/>
            </w:pPr>
          </w:p>
        </w:tc>
        <w:tc>
          <w:tcPr>
            <w:tcW w:w="1066" w:type="dxa"/>
            <w:vMerge w:val="continue"/>
            <w:tcBorders>
              <w:tl2br w:val="nil"/>
              <w:tr2bl w:val="nil"/>
            </w:tcBorders>
            <w:vAlign w:val="center"/>
          </w:tcPr>
          <w:p>
            <w:pPr>
              <w:spacing w:line="579" w:lineRule="exact"/>
            </w:pPr>
          </w:p>
        </w:tc>
        <w:tc>
          <w:tcPr>
            <w:tcW w:w="1124" w:type="dxa"/>
            <w:vMerge w:val="continue"/>
            <w:tcBorders>
              <w:tl2br w:val="nil"/>
              <w:tr2bl w:val="nil"/>
            </w:tcBorders>
            <w:vAlign w:val="center"/>
          </w:tcPr>
          <w:p>
            <w:pPr>
              <w:spacing w:line="579" w:lineRule="exact"/>
            </w:pPr>
          </w:p>
        </w:tc>
        <w:tc>
          <w:tcPr>
            <w:tcW w:w="2111" w:type="dxa"/>
            <w:vMerge w:val="continue"/>
            <w:tcBorders>
              <w:tl2br w:val="nil"/>
              <w:tr2bl w:val="nil"/>
            </w:tcBorders>
            <w:vAlign w:val="center"/>
          </w:tcPr>
          <w:p>
            <w:pPr>
              <w:spacing w:line="579" w:lineRule="exact"/>
            </w:pPr>
          </w:p>
        </w:tc>
        <w:tc>
          <w:tcPr>
            <w:tcW w:w="2079" w:type="dxa"/>
            <w:vMerge w:val="continue"/>
            <w:tcBorders>
              <w:tl2br w:val="nil"/>
              <w:tr2bl w:val="nil"/>
            </w:tcBorders>
            <w:vAlign w:val="center"/>
          </w:tcPr>
          <w:p>
            <w:pPr>
              <w:spacing w:line="579" w:lineRule="exact"/>
            </w:pPr>
          </w:p>
        </w:tc>
        <w:tc>
          <w:tcPr>
            <w:tcW w:w="542" w:type="dxa"/>
            <w:tcBorders>
              <w:tl2br w:val="nil"/>
              <w:tr2bl w:val="nil"/>
            </w:tcBorders>
            <w:vAlign w:val="center"/>
          </w:tcPr>
          <w:p>
            <w:pPr>
              <w:widowControl/>
              <w:adjustRightInd w:val="0"/>
              <w:snapToGrid w:val="0"/>
              <w:spacing w:line="579" w:lineRule="exact"/>
              <w:jc w:val="center"/>
              <w:rPr>
                <w:rFonts w:ascii="方正书宋_GBK" w:eastAsia="方正书宋_GBK"/>
                <w:b/>
              </w:rPr>
            </w:pPr>
            <w:r>
              <w:rPr>
                <w:rFonts w:ascii="方正书宋_GBK" w:eastAsia="方正书宋_GBK"/>
                <w:b/>
              </w:rPr>
              <w:t>符号</w:t>
            </w:r>
          </w:p>
        </w:tc>
        <w:tc>
          <w:tcPr>
            <w:tcW w:w="596" w:type="dxa"/>
            <w:tcBorders>
              <w:tl2br w:val="nil"/>
              <w:tr2bl w:val="nil"/>
            </w:tcBorders>
            <w:vAlign w:val="center"/>
          </w:tcPr>
          <w:p>
            <w:pPr>
              <w:widowControl/>
              <w:adjustRightInd w:val="0"/>
              <w:snapToGrid w:val="0"/>
              <w:spacing w:line="579" w:lineRule="exact"/>
              <w:jc w:val="center"/>
              <w:rPr>
                <w:rFonts w:ascii="方正书宋_GBK" w:eastAsia="方正书宋_GBK"/>
                <w:b/>
              </w:rPr>
            </w:pPr>
            <w:r>
              <w:rPr>
                <w:rFonts w:ascii="方正书宋_GBK" w:eastAsia="方正书宋_GBK"/>
                <w:b/>
              </w:rPr>
              <w:t>值</w:t>
            </w:r>
          </w:p>
        </w:tc>
        <w:tc>
          <w:tcPr>
            <w:tcW w:w="1085" w:type="dxa"/>
            <w:tcBorders>
              <w:tl2br w:val="nil"/>
              <w:tr2bl w:val="nil"/>
            </w:tcBorders>
            <w:vAlign w:val="center"/>
          </w:tcPr>
          <w:p>
            <w:pPr>
              <w:widowControl/>
              <w:adjustRightInd w:val="0"/>
              <w:snapToGrid w:val="0"/>
              <w:spacing w:line="579" w:lineRule="exact"/>
              <w:jc w:val="center"/>
              <w:rPr>
                <w:rFonts w:ascii="方正书宋_GBK" w:eastAsia="方正书宋_GBK"/>
                <w:b/>
              </w:rPr>
            </w:pPr>
            <w:r>
              <w:rPr>
                <w:rFonts w:ascii="方正书宋_GBK" w:eastAsia="方正书宋_GBK"/>
                <w:b/>
              </w:rPr>
              <w:t>单位</w:t>
            </w:r>
          </w:p>
        </w:tc>
        <w:tc>
          <w:tcPr>
            <w:tcW w:w="1113" w:type="dxa"/>
            <w:vMerge w:val="continue"/>
            <w:tcBorders>
              <w:tl2br w:val="nil"/>
              <w:tr2bl w:val="nil"/>
            </w:tcBorders>
            <w:vAlign w:val="center"/>
          </w:tcPr>
          <w:p>
            <w:pPr>
              <w:spacing w:line="579"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03" w:hRule="atLeast"/>
          <w:jc w:val="center"/>
        </w:trPr>
        <w:tc>
          <w:tcPr>
            <w:tcW w:w="1131" w:type="dxa"/>
            <w:vMerge w:val="restart"/>
            <w:tcBorders>
              <w:tl2br w:val="nil"/>
              <w:tr2bl w:val="nil"/>
            </w:tcBorders>
            <w:vAlign w:val="center"/>
          </w:tcPr>
          <w:p>
            <w:pPr>
              <w:widowControl/>
              <w:adjustRightInd w:val="0"/>
              <w:snapToGrid w:val="0"/>
              <w:spacing w:line="579" w:lineRule="exact"/>
              <w:jc w:val="center"/>
              <w:rPr>
                <w:rFonts w:ascii="方正书宋_GBK" w:eastAsia="方正书宋_GBK"/>
              </w:rPr>
            </w:pPr>
            <w:r>
              <w:rPr>
                <w:rFonts w:ascii="方正书宋_GBK" w:eastAsia="方正书宋_GBK"/>
              </w:rPr>
              <w:t>部门产出</w:t>
            </w:r>
          </w:p>
        </w:tc>
        <w:tc>
          <w:tcPr>
            <w:tcW w:w="1066" w:type="dxa"/>
            <w:tcBorders>
              <w:tl2br w:val="nil"/>
              <w:tr2bl w:val="nil"/>
            </w:tcBorders>
            <w:vAlign w:val="center"/>
          </w:tcPr>
          <w:p>
            <w:pPr>
              <w:widowControl/>
              <w:adjustRightInd w:val="0"/>
              <w:snapToGrid w:val="0"/>
              <w:spacing w:line="240" w:lineRule="auto"/>
              <w:jc w:val="center"/>
              <w:rPr>
                <w:rFonts w:ascii="方正书宋_GBK" w:eastAsia="方正书宋_GBK"/>
              </w:rPr>
            </w:pPr>
            <w:r>
              <w:rPr>
                <w:rFonts w:ascii="方正书宋_GBK" w:eastAsia="方正书宋_GBK"/>
              </w:rPr>
              <w:t>数量</w:t>
            </w:r>
          </w:p>
        </w:tc>
        <w:tc>
          <w:tcPr>
            <w:tcW w:w="1124" w:type="dxa"/>
            <w:tcBorders>
              <w:tl2br w:val="nil"/>
              <w:tr2bl w:val="nil"/>
            </w:tcBorders>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幼儿园毕业生生合格率</w:t>
            </w:r>
          </w:p>
          <w:p>
            <w:pPr>
              <w:widowControl/>
              <w:adjustRightInd w:val="0"/>
              <w:snapToGrid w:val="0"/>
              <w:spacing w:line="240" w:lineRule="auto"/>
              <w:rPr>
                <w:rFonts w:hint="eastAsia" w:ascii="仿宋_GB2312" w:hAnsi="仿宋_GB2312" w:eastAsia="仿宋_GB2312" w:cs="仿宋_GB2312"/>
              </w:rPr>
            </w:pPr>
          </w:p>
        </w:tc>
        <w:tc>
          <w:tcPr>
            <w:tcW w:w="2111" w:type="dxa"/>
            <w:tcBorders>
              <w:tl2br w:val="nil"/>
              <w:tr2bl w:val="nil"/>
            </w:tcBorders>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20分毕业生合格率100%得满分，否则不得分</w:t>
            </w:r>
          </w:p>
        </w:tc>
        <w:tc>
          <w:tcPr>
            <w:tcW w:w="2079" w:type="dxa"/>
            <w:tcBorders>
              <w:tl2br w:val="nil"/>
              <w:tr2bl w:val="nil"/>
            </w:tcBorders>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幼儿园毕业生合格率</w:t>
            </w:r>
          </w:p>
          <w:p>
            <w:pPr>
              <w:widowControl/>
              <w:adjustRightInd w:val="0"/>
              <w:snapToGrid w:val="0"/>
              <w:spacing w:line="240" w:lineRule="auto"/>
              <w:rPr>
                <w:rFonts w:hint="eastAsia" w:ascii="仿宋_GB2312" w:hAnsi="仿宋_GB2312" w:eastAsia="仿宋_GB2312" w:cs="仿宋_GB2312"/>
              </w:rPr>
            </w:pPr>
          </w:p>
        </w:tc>
        <w:tc>
          <w:tcPr>
            <w:tcW w:w="542" w:type="dxa"/>
            <w:tcBorders>
              <w:tl2br w:val="nil"/>
              <w:tr2bl w:val="nil"/>
            </w:tcBorders>
            <w:vAlign w:val="center"/>
          </w:tcPr>
          <w:p>
            <w:pPr>
              <w:widowControl/>
              <w:adjustRightInd w:val="0"/>
              <w:snapToGrid w:val="0"/>
              <w:spacing w:line="240" w:lineRule="auto"/>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596" w:type="dxa"/>
            <w:tcBorders>
              <w:tl2br w:val="nil"/>
              <w:tr2bl w:val="nil"/>
            </w:tcBorders>
            <w:vAlign w:val="center"/>
          </w:tcPr>
          <w:p>
            <w:pPr>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1085"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113" w:type="dxa"/>
            <w:tcBorders>
              <w:tl2br w:val="nil"/>
              <w:tr2bl w:val="nil"/>
            </w:tcBorders>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131" w:type="dxa"/>
            <w:vMerge w:val="continue"/>
            <w:tcBorders>
              <w:tl2br w:val="nil"/>
              <w:tr2bl w:val="nil"/>
            </w:tcBorders>
            <w:vAlign w:val="center"/>
          </w:tcPr>
          <w:p>
            <w:pPr>
              <w:widowControl/>
              <w:adjustRightInd w:val="0"/>
              <w:snapToGrid w:val="0"/>
              <w:spacing w:line="579" w:lineRule="exact"/>
              <w:jc w:val="center"/>
              <w:rPr>
                <w:rFonts w:ascii="方正书宋_GBK" w:eastAsia="方正书宋_GBK"/>
              </w:rPr>
            </w:pPr>
          </w:p>
        </w:tc>
        <w:tc>
          <w:tcPr>
            <w:tcW w:w="1066" w:type="dxa"/>
            <w:tcBorders>
              <w:tl2br w:val="nil"/>
              <w:tr2bl w:val="nil"/>
            </w:tcBorders>
            <w:vAlign w:val="center"/>
          </w:tcPr>
          <w:p>
            <w:pPr>
              <w:spacing w:line="240" w:lineRule="auto"/>
              <w:jc w:val="center"/>
              <w:rPr>
                <w:rFonts w:ascii="方正书宋_GBK" w:eastAsia="方正书宋_GBK"/>
              </w:rPr>
            </w:pPr>
            <w:r>
              <w:rPr>
                <w:rFonts w:hint="eastAsia" w:ascii="方正书宋_GBK" w:eastAsia="方正书宋_GBK"/>
              </w:rPr>
              <w:t>数量指标</w:t>
            </w:r>
          </w:p>
          <w:p>
            <w:pPr>
              <w:widowControl/>
              <w:adjustRightInd w:val="0"/>
              <w:snapToGrid w:val="0"/>
              <w:spacing w:line="240" w:lineRule="auto"/>
              <w:jc w:val="center"/>
              <w:rPr>
                <w:rFonts w:ascii="方正书宋_GBK" w:eastAsia="方正书宋_GBK"/>
              </w:rPr>
            </w:pPr>
          </w:p>
        </w:tc>
        <w:tc>
          <w:tcPr>
            <w:tcW w:w="1124" w:type="dxa"/>
            <w:tcBorders>
              <w:tl2br w:val="nil"/>
              <w:tr2bl w:val="nil"/>
            </w:tcBorders>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重点工作实际完成率</w:t>
            </w:r>
          </w:p>
        </w:tc>
        <w:tc>
          <w:tcPr>
            <w:tcW w:w="2111" w:type="dxa"/>
            <w:tcBorders>
              <w:tl2br w:val="nil"/>
              <w:tr2bl w:val="nil"/>
            </w:tcBorders>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10分不低于95%得满分，否则不得分</w:t>
            </w:r>
          </w:p>
        </w:tc>
        <w:tc>
          <w:tcPr>
            <w:tcW w:w="2079" w:type="dxa"/>
            <w:tcBorders>
              <w:tl2br w:val="nil"/>
              <w:tr2bl w:val="nil"/>
            </w:tcBorders>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重点工作实际完成率</w:t>
            </w:r>
          </w:p>
          <w:p>
            <w:pPr>
              <w:spacing w:line="240" w:lineRule="auto"/>
              <w:rPr>
                <w:rFonts w:hint="eastAsia" w:ascii="仿宋_GB2312" w:hAnsi="仿宋_GB2312" w:eastAsia="仿宋_GB2312" w:cs="仿宋_GB2312"/>
              </w:rPr>
            </w:pPr>
          </w:p>
        </w:tc>
        <w:tc>
          <w:tcPr>
            <w:tcW w:w="542" w:type="dxa"/>
            <w:tcBorders>
              <w:tl2br w:val="nil"/>
              <w:tr2bl w:val="nil"/>
            </w:tcBorders>
            <w:vAlign w:val="center"/>
          </w:tcPr>
          <w:p>
            <w:pPr>
              <w:spacing w:line="240" w:lineRule="auto"/>
              <w:jc w:val="left"/>
              <w:rPr>
                <w:rFonts w:hint="eastAsia" w:ascii="仿宋_GB2312" w:hAnsi="仿宋_GB2312" w:eastAsia="仿宋_GB2312" w:cs="仿宋_GB2312"/>
              </w:rPr>
            </w:pPr>
            <w:r>
              <w:rPr>
                <w:rFonts w:hint="eastAsia" w:ascii="仿宋_GB2312" w:hAnsi="仿宋_GB2312" w:eastAsia="仿宋_GB2312" w:cs="仿宋_GB2312"/>
              </w:rPr>
              <w:t>≥</w:t>
            </w:r>
          </w:p>
          <w:p>
            <w:pPr>
              <w:widowControl/>
              <w:spacing w:line="240" w:lineRule="auto"/>
              <w:jc w:val="left"/>
              <w:rPr>
                <w:rFonts w:hint="eastAsia" w:ascii="仿宋_GB2312" w:hAnsi="仿宋_GB2312" w:eastAsia="仿宋_GB2312" w:cs="仿宋_GB2312"/>
              </w:rPr>
            </w:pPr>
          </w:p>
        </w:tc>
        <w:tc>
          <w:tcPr>
            <w:tcW w:w="596" w:type="dxa"/>
            <w:tcBorders>
              <w:tl2br w:val="nil"/>
              <w:tr2bl w:val="nil"/>
            </w:tcBorders>
            <w:vAlign w:val="center"/>
          </w:tcPr>
          <w:p>
            <w:pPr>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95</w:t>
            </w:r>
          </w:p>
          <w:p>
            <w:pPr>
              <w:spacing w:line="240" w:lineRule="auto"/>
              <w:jc w:val="center"/>
              <w:rPr>
                <w:rFonts w:hint="eastAsia" w:ascii="仿宋_GB2312" w:hAnsi="仿宋_GB2312" w:eastAsia="仿宋_GB2312" w:cs="仿宋_GB2312"/>
              </w:rPr>
            </w:pPr>
          </w:p>
        </w:tc>
        <w:tc>
          <w:tcPr>
            <w:tcW w:w="1085"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113" w:type="dxa"/>
            <w:tcBorders>
              <w:tl2br w:val="nil"/>
              <w:tr2bl w:val="nil"/>
            </w:tcBorders>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实际工作</w:t>
            </w:r>
          </w:p>
          <w:p>
            <w:pPr>
              <w:spacing w:line="240" w:lineRule="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31" w:type="dxa"/>
            <w:vMerge w:val="continue"/>
            <w:tcBorders>
              <w:tl2br w:val="nil"/>
              <w:tr2bl w:val="nil"/>
            </w:tcBorders>
            <w:vAlign w:val="center"/>
          </w:tcPr>
          <w:p>
            <w:pPr>
              <w:widowControl/>
              <w:adjustRightInd w:val="0"/>
              <w:snapToGrid w:val="0"/>
              <w:spacing w:line="579" w:lineRule="exact"/>
              <w:jc w:val="center"/>
              <w:rPr>
                <w:rFonts w:ascii="方正书宋_GBK" w:eastAsia="方正书宋_GBK"/>
              </w:rPr>
            </w:pPr>
          </w:p>
        </w:tc>
        <w:tc>
          <w:tcPr>
            <w:tcW w:w="1066" w:type="dxa"/>
            <w:tcBorders>
              <w:tl2br w:val="nil"/>
              <w:tr2bl w:val="nil"/>
            </w:tcBorders>
            <w:vAlign w:val="center"/>
          </w:tcPr>
          <w:p>
            <w:pPr>
              <w:widowControl/>
              <w:adjustRightInd w:val="0"/>
              <w:snapToGrid w:val="0"/>
              <w:spacing w:line="240" w:lineRule="auto"/>
              <w:jc w:val="center"/>
              <w:rPr>
                <w:rFonts w:ascii="方正书宋_GBK" w:eastAsia="方正书宋_GBK"/>
              </w:rPr>
            </w:pPr>
            <w:r>
              <w:rPr>
                <w:rFonts w:ascii="方正书宋_GBK" w:eastAsia="方正书宋_GBK"/>
              </w:rPr>
              <w:t>质量</w:t>
            </w:r>
          </w:p>
        </w:tc>
        <w:tc>
          <w:tcPr>
            <w:tcW w:w="1124"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采购物资、建设工程合格率</w:t>
            </w:r>
          </w:p>
        </w:tc>
        <w:tc>
          <w:tcPr>
            <w:tcW w:w="2111"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20分合格率100%得满分，否则不得分</w:t>
            </w:r>
          </w:p>
        </w:tc>
        <w:tc>
          <w:tcPr>
            <w:tcW w:w="2079"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采购物资、建设工程合格率</w:t>
            </w:r>
          </w:p>
          <w:p>
            <w:pPr>
              <w:widowControl/>
              <w:adjustRightInd w:val="0"/>
              <w:snapToGrid w:val="0"/>
              <w:spacing w:line="240" w:lineRule="auto"/>
              <w:jc w:val="center"/>
              <w:rPr>
                <w:rFonts w:hint="eastAsia" w:ascii="仿宋_GB2312" w:hAnsi="仿宋_GB2312" w:eastAsia="仿宋_GB2312" w:cs="仿宋_GB2312"/>
              </w:rPr>
            </w:pPr>
          </w:p>
        </w:tc>
        <w:tc>
          <w:tcPr>
            <w:tcW w:w="542"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p>
            <w:pPr>
              <w:widowControl/>
              <w:adjustRightInd w:val="0"/>
              <w:snapToGrid w:val="0"/>
              <w:spacing w:line="240" w:lineRule="auto"/>
              <w:jc w:val="center"/>
              <w:rPr>
                <w:rFonts w:hint="eastAsia" w:ascii="仿宋_GB2312" w:hAnsi="仿宋_GB2312" w:eastAsia="仿宋_GB2312" w:cs="仿宋_GB2312"/>
              </w:rPr>
            </w:pPr>
          </w:p>
        </w:tc>
        <w:tc>
          <w:tcPr>
            <w:tcW w:w="596"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100</w:t>
            </w:r>
          </w:p>
          <w:p>
            <w:pPr>
              <w:widowControl/>
              <w:adjustRightInd w:val="0"/>
              <w:snapToGrid w:val="0"/>
              <w:spacing w:line="240" w:lineRule="auto"/>
              <w:jc w:val="center"/>
              <w:rPr>
                <w:rFonts w:hint="eastAsia" w:ascii="仿宋_GB2312" w:hAnsi="仿宋_GB2312" w:eastAsia="仿宋_GB2312" w:cs="仿宋_GB2312"/>
              </w:rPr>
            </w:pPr>
          </w:p>
        </w:tc>
        <w:tc>
          <w:tcPr>
            <w:tcW w:w="1085"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p>
            <w:pPr>
              <w:widowControl/>
              <w:adjustRightInd w:val="0"/>
              <w:snapToGrid w:val="0"/>
              <w:spacing w:line="240" w:lineRule="auto"/>
              <w:jc w:val="center"/>
              <w:rPr>
                <w:rFonts w:hint="eastAsia" w:ascii="仿宋_GB2312" w:hAnsi="仿宋_GB2312" w:eastAsia="仿宋_GB2312" w:cs="仿宋_GB2312"/>
              </w:rPr>
            </w:pPr>
          </w:p>
        </w:tc>
        <w:tc>
          <w:tcPr>
            <w:tcW w:w="111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质量评价标准</w:t>
            </w:r>
          </w:p>
          <w:p>
            <w:pPr>
              <w:widowControl/>
              <w:adjustRightInd w:val="0"/>
              <w:snapToGrid w:val="0"/>
              <w:spacing w:line="240" w:lineRule="auto"/>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31" w:type="dxa"/>
            <w:vMerge w:val="continue"/>
            <w:tcBorders>
              <w:tl2br w:val="nil"/>
              <w:tr2bl w:val="nil"/>
            </w:tcBorders>
            <w:vAlign w:val="center"/>
          </w:tcPr>
          <w:p>
            <w:pPr>
              <w:widowControl/>
              <w:adjustRightInd w:val="0"/>
              <w:snapToGrid w:val="0"/>
              <w:spacing w:line="579" w:lineRule="exact"/>
              <w:jc w:val="center"/>
              <w:rPr>
                <w:rFonts w:ascii="方正书宋_GBK" w:eastAsia="方正书宋_GBK"/>
              </w:rPr>
            </w:pPr>
          </w:p>
        </w:tc>
        <w:tc>
          <w:tcPr>
            <w:tcW w:w="1066" w:type="dxa"/>
            <w:tcBorders>
              <w:tl2br w:val="nil"/>
              <w:tr2bl w:val="nil"/>
            </w:tcBorders>
            <w:vAlign w:val="center"/>
          </w:tcPr>
          <w:p>
            <w:pPr>
              <w:widowControl/>
              <w:adjustRightInd w:val="0"/>
              <w:snapToGrid w:val="0"/>
              <w:spacing w:line="240" w:lineRule="auto"/>
              <w:jc w:val="center"/>
              <w:rPr>
                <w:rFonts w:ascii="方正书宋_GBK" w:eastAsia="方正书宋_GBK"/>
              </w:rPr>
            </w:pPr>
            <w:r>
              <w:rPr>
                <w:rFonts w:ascii="方正书宋_GBK" w:eastAsia="方正书宋_GBK"/>
              </w:rPr>
              <w:t>时效</w:t>
            </w:r>
          </w:p>
        </w:tc>
        <w:tc>
          <w:tcPr>
            <w:tcW w:w="1124"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学校的各项工作任务及时完成情况</w:t>
            </w:r>
          </w:p>
        </w:tc>
        <w:tc>
          <w:tcPr>
            <w:tcW w:w="2111"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10分及时完成得满分，否则不得分</w:t>
            </w:r>
          </w:p>
          <w:p>
            <w:pPr>
              <w:widowControl/>
              <w:adjustRightInd w:val="0"/>
              <w:snapToGrid w:val="0"/>
              <w:spacing w:line="240" w:lineRule="auto"/>
              <w:jc w:val="center"/>
              <w:rPr>
                <w:rFonts w:hint="eastAsia" w:ascii="仿宋_GB2312" w:hAnsi="仿宋_GB2312" w:eastAsia="仿宋_GB2312" w:cs="仿宋_GB2312"/>
              </w:rPr>
            </w:pPr>
          </w:p>
        </w:tc>
        <w:tc>
          <w:tcPr>
            <w:tcW w:w="2079"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学校的各项工作任务及时完成情况</w:t>
            </w:r>
          </w:p>
          <w:p>
            <w:pPr>
              <w:widowControl/>
              <w:adjustRightInd w:val="0"/>
              <w:snapToGrid w:val="0"/>
              <w:spacing w:line="240" w:lineRule="auto"/>
              <w:jc w:val="center"/>
              <w:rPr>
                <w:rFonts w:hint="eastAsia" w:ascii="仿宋_GB2312" w:hAnsi="仿宋_GB2312" w:eastAsia="仿宋_GB2312" w:cs="仿宋_GB2312"/>
              </w:rPr>
            </w:pPr>
          </w:p>
        </w:tc>
        <w:tc>
          <w:tcPr>
            <w:tcW w:w="542"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文字描述</w:t>
            </w:r>
          </w:p>
          <w:p>
            <w:pPr>
              <w:widowControl/>
              <w:adjustRightInd w:val="0"/>
              <w:snapToGrid w:val="0"/>
              <w:spacing w:line="240" w:lineRule="auto"/>
              <w:jc w:val="center"/>
              <w:rPr>
                <w:rFonts w:hint="eastAsia" w:ascii="仿宋_GB2312" w:hAnsi="仿宋_GB2312" w:eastAsia="仿宋_GB2312" w:cs="仿宋_GB2312"/>
              </w:rPr>
            </w:pPr>
          </w:p>
        </w:tc>
        <w:tc>
          <w:tcPr>
            <w:tcW w:w="596"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p>
        </w:tc>
        <w:tc>
          <w:tcPr>
            <w:tcW w:w="1085"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及时</w:t>
            </w:r>
          </w:p>
          <w:p>
            <w:pPr>
              <w:widowControl/>
              <w:adjustRightInd w:val="0"/>
              <w:snapToGrid w:val="0"/>
              <w:spacing w:line="240" w:lineRule="auto"/>
              <w:jc w:val="center"/>
              <w:rPr>
                <w:rFonts w:hint="eastAsia" w:ascii="仿宋_GB2312" w:hAnsi="仿宋_GB2312" w:eastAsia="仿宋_GB2312" w:cs="仿宋_GB2312"/>
              </w:rPr>
            </w:pPr>
          </w:p>
        </w:tc>
        <w:tc>
          <w:tcPr>
            <w:tcW w:w="111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年初工作计划</w:t>
            </w:r>
          </w:p>
          <w:p>
            <w:pPr>
              <w:widowControl/>
              <w:adjustRightInd w:val="0"/>
              <w:snapToGrid w:val="0"/>
              <w:spacing w:line="240" w:lineRule="auto"/>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31" w:type="dxa"/>
            <w:vMerge w:val="continue"/>
            <w:tcBorders>
              <w:tl2br w:val="nil"/>
              <w:tr2bl w:val="nil"/>
            </w:tcBorders>
            <w:vAlign w:val="center"/>
          </w:tcPr>
          <w:p>
            <w:pPr>
              <w:widowControl/>
              <w:adjustRightInd w:val="0"/>
              <w:snapToGrid w:val="0"/>
              <w:spacing w:line="579" w:lineRule="exact"/>
              <w:jc w:val="center"/>
              <w:rPr>
                <w:rFonts w:ascii="方正书宋_GBK" w:eastAsia="方正书宋_GBK"/>
              </w:rPr>
            </w:pPr>
          </w:p>
        </w:tc>
        <w:tc>
          <w:tcPr>
            <w:tcW w:w="1066" w:type="dxa"/>
            <w:tcBorders>
              <w:tl2br w:val="nil"/>
              <w:tr2bl w:val="nil"/>
            </w:tcBorders>
            <w:vAlign w:val="center"/>
          </w:tcPr>
          <w:p>
            <w:pPr>
              <w:widowControl/>
              <w:adjustRightInd w:val="0"/>
              <w:snapToGrid w:val="0"/>
              <w:spacing w:line="240" w:lineRule="auto"/>
              <w:jc w:val="center"/>
              <w:rPr>
                <w:rFonts w:ascii="方正书宋_GBK" w:eastAsia="方正书宋_GBK"/>
              </w:rPr>
            </w:pPr>
            <w:r>
              <w:rPr>
                <w:rFonts w:ascii="方正书宋_GBK" w:eastAsia="方正书宋_GBK"/>
              </w:rPr>
              <w:t>成本</w:t>
            </w:r>
          </w:p>
        </w:tc>
        <w:tc>
          <w:tcPr>
            <w:tcW w:w="1124"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教育经费使用控制率</w:t>
            </w:r>
          </w:p>
          <w:p>
            <w:pPr>
              <w:widowControl/>
              <w:adjustRightInd w:val="0"/>
              <w:snapToGrid w:val="0"/>
              <w:spacing w:line="240" w:lineRule="auto"/>
              <w:jc w:val="center"/>
              <w:rPr>
                <w:rFonts w:hint="eastAsia" w:ascii="仿宋_GB2312" w:hAnsi="仿宋_GB2312" w:eastAsia="仿宋_GB2312" w:cs="仿宋_GB2312"/>
              </w:rPr>
            </w:pPr>
          </w:p>
        </w:tc>
        <w:tc>
          <w:tcPr>
            <w:tcW w:w="2111"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10分教育经费决算数不大于调整预算数得满分</w:t>
            </w:r>
          </w:p>
          <w:p>
            <w:pPr>
              <w:widowControl/>
              <w:adjustRightInd w:val="0"/>
              <w:snapToGrid w:val="0"/>
              <w:spacing w:line="240" w:lineRule="auto"/>
              <w:jc w:val="center"/>
              <w:rPr>
                <w:rFonts w:hint="eastAsia" w:ascii="仿宋_GB2312" w:hAnsi="仿宋_GB2312" w:eastAsia="仿宋_GB2312" w:cs="仿宋_GB2312"/>
              </w:rPr>
            </w:pPr>
          </w:p>
        </w:tc>
        <w:tc>
          <w:tcPr>
            <w:tcW w:w="2079"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支出的公用经费总额与预算安排得比率</w:t>
            </w:r>
          </w:p>
          <w:p>
            <w:pPr>
              <w:widowControl/>
              <w:adjustRightInd w:val="0"/>
              <w:snapToGrid w:val="0"/>
              <w:spacing w:line="240" w:lineRule="auto"/>
              <w:jc w:val="center"/>
              <w:rPr>
                <w:rFonts w:hint="eastAsia" w:ascii="仿宋_GB2312" w:hAnsi="仿宋_GB2312" w:eastAsia="仿宋_GB2312" w:cs="仿宋_GB2312"/>
              </w:rPr>
            </w:pPr>
          </w:p>
        </w:tc>
        <w:tc>
          <w:tcPr>
            <w:tcW w:w="542"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文字描述</w:t>
            </w:r>
          </w:p>
          <w:p>
            <w:pPr>
              <w:widowControl/>
              <w:adjustRightInd w:val="0"/>
              <w:snapToGrid w:val="0"/>
              <w:spacing w:line="240" w:lineRule="auto"/>
              <w:jc w:val="center"/>
              <w:rPr>
                <w:rFonts w:hint="eastAsia" w:ascii="仿宋_GB2312" w:hAnsi="仿宋_GB2312" w:eastAsia="仿宋_GB2312" w:cs="仿宋_GB2312"/>
              </w:rPr>
            </w:pPr>
          </w:p>
        </w:tc>
        <w:tc>
          <w:tcPr>
            <w:tcW w:w="596"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p>
        </w:tc>
        <w:tc>
          <w:tcPr>
            <w:tcW w:w="1085"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教育经费决算数不大于调整预算数</w:t>
            </w:r>
          </w:p>
        </w:tc>
        <w:tc>
          <w:tcPr>
            <w:tcW w:w="111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实际工作</w:t>
            </w:r>
          </w:p>
          <w:p>
            <w:pPr>
              <w:widowControl/>
              <w:adjustRightInd w:val="0"/>
              <w:snapToGrid w:val="0"/>
              <w:spacing w:line="240" w:lineRule="auto"/>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31" w:type="dxa"/>
            <w:vMerge w:val="restart"/>
            <w:tcBorders>
              <w:tl2br w:val="nil"/>
              <w:tr2bl w:val="nil"/>
            </w:tcBorders>
            <w:vAlign w:val="center"/>
          </w:tcPr>
          <w:p>
            <w:pPr>
              <w:widowControl/>
              <w:adjustRightInd w:val="0"/>
              <w:snapToGrid w:val="0"/>
              <w:spacing w:line="579"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066" w:type="dxa"/>
            <w:tcBorders>
              <w:tl2br w:val="nil"/>
              <w:tr2bl w:val="nil"/>
            </w:tcBorders>
            <w:vAlign w:val="center"/>
          </w:tcPr>
          <w:p>
            <w:pPr>
              <w:widowControl/>
              <w:adjustRightInd w:val="0"/>
              <w:snapToGrid w:val="0"/>
              <w:spacing w:line="579" w:lineRule="exact"/>
              <w:jc w:val="center"/>
              <w:rPr>
                <w:rFonts w:ascii="方正书宋_GBK" w:eastAsia="方正书宋_GBK"/>
              </w:rPr>
            </w:pPr>
            <w:r>
              <w:rPr>
                <w:rFonts w:ascii="方正书宋_GBK" w:eastAsia="方正书宋_GBK"/>
              </w:rPr>
              <w:t>社会</w:t>
            </w:r>
          </w:p>
          <w:p>
            <w:pPr>
              <w:widowControl/>
              <w:adjustRightInd w:val="0"/>
              <w:snapToGrid w:val="0"/>
              <w:spacing w:line="579" w:lineRule="exact"/>
              <w:jc w:val="center"/>
              <w:rPr>
                <w:rFonts w:ascii="方正书宋_GBK" w:eastAsia="方正书宋_GBK"/>
              </w:rPr>
            </w:pPr>
            <w:r>
              <w:rPr>
                <w:rFonts w:ascii="方正书宋_GBK" w:eastAsia="方正书宋_GBK"/>
              </w:rPr>
              <w:t>效益</w:t>
            </w:r>
          </w:p>
        </w:tc>
        <w:tc>
          <w:tcPr>
            <w:tcW w:w="1124" w:type="dxa"/>
            <w:tcBorders>
              <w:tl2br w:val="nil"/>
              <w:tr2bl w:val="nil"/>
            </w:tcBorders>
            <w:vAlign w:val="center"/>
          </w:tcPr>
          <w:p>
            <w:pPr>
              <w:widowControl/>
              <w:spacing w:line="240" w:lineRule="auto"/>
              <w:rPr>
                <w:rFonts w:hint="eastAsia" w:ascii="仿宋_GB2312" w:hAnsi="仿宋_GB2312" w:eastAsia="仿宋_GB2312" w:cs="仿宋_GB2312"/>
              </w:rPr>
            </w:pPr>
            <w:r>
              <w:rPr>
                <w:rFonts w:hint="eastAsia" w:ascii="仿宋_GB2312" w:hAnsi="仿宋_GB2312" w:eastAsia="仿宋_GB2312" w:cs="仿宋_GB2312"/>
              </w:rPr>
              <w:t>学前教育教育高质量发展</w:t>
            </w:r>
          </w:p>
        </w:tc>
        <w:tc>
          <w:tcPr>
            <w:tcW w:w="2111" w:type="dxa"/>
            <w:tcBorders>
              <w:tl2br w:val="nil"/>
              <w:tr2bl w:val="nil"/>
            </w:tcBorders>
            <w:vAlign w:val="center"/>
          </w:tcPr>
          <w:p>
            <w:pPr>
              <w:widowControl/>
              <w:spacing w:line="240" w:lineRule="auto"/>
              <w:rPr>
                <w:rFonts w:hint="eastAsia" w:ascii="仿宋_GB2312" w:hAnsi="仿宋_GB2312" w:eastAsia="仿宋_GB2312" w:cs="仿宋_GB2312"/>
              </w:rPr>
            </w:pPr>
            <w:r>
              <w:rPr>
                <w:rFonts w:hint="eastAsia" w:ascii="仿宋_GB2312" w:hAnsi="仿宋_GB2312" w:eastAsia="仿宋_GB2312" w:cs="仿宋_GB2312"/>
              </w:rPr>
              <w:t>10分学生家长对学校和社会满意度达到95%得满分</w:t>
            </w:r>
          </w:p>
        </w:tc>
        <w:tc>
          <w:tcPr>
            <w:tcW w:w="2079" w:type="dxa"/>
            <w:tcBorders>
              <w:tl2br w:val="nil"/>
              <w:tr2bl w:val="nil"/>
            </w:tcBorders>
            <w:vAlign w:val="center"/>
          </w:tcPr>
          <w:p>
            <w:pPr>
              <w:widowControl/>
              <w:spacing w:line="240" w:lineRule="auto"/>
              <w:rPr>
                <w:rFonts w:hint="eastAsia" w:ascii="仿宋_GB2312" w:hAnsi="仿宋_GB2312" w:eastAsia="仿宋_GB2312" w:cs="仿宋_GB2312"/>
              </w:rPr>
            </w:pPr>
            <w:r>
              <w:rPr>
                <w:rFonts w:hint="eastAsia" w:ascii="仿宋_GB2312" w:hAnsi="仿宋_GB2312" w:eastAsia="仿宋_GB2312" w:cs="仿宋_GB2312"/>
              </w:rPr>
              <w:t>推动学前教育从数量扩张向质量提高转变</w:t>
            </w:r>
          </w:p>
          <w:p>
            <w:pPr>
              <w:widowControl/>
              <w:adjustRightInd w:val="0"/>
              <w:snapToGrid w:val="0"/>
              <w:spacing w:line="240" w:lineRule="auto"/>
              <w:rPr>
                <w:rFonts w:hint="eastAsia" w:ascii="仿宋_GB2312" w:hAnsi="仿宋_GB2312" w:eastAsia="仿宋_GB2312" w:cs="仿宋_GB2312"/>
              </w:rPr>
            </w:pPr>
          </w:p>
        </w:tc>
        <w:tc>
          <w:tcPr>
            <w:tcW w:w="542" w:type="dxa"/>
            <w:tcBorders>
              <w:tl2br w:val="nil"/>
              <w:tr2bl w:val="nil"/>
            </w:tcBorders>
            <w:vAlign w:val="center"/>
          </w:tcPr>
          <w:p>
            <w:pPr>
              <w:widowControl/>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p>
            <w:pPr>
              <w:widowControl/>
              <w:adjustRightInd w:val="0"/>
              <w:snapToGrid w:val="0"/>
              <w:spacing w:line="240" w:lineRule="auto"/>
              <w:jc w:val="center"/>
              <w:rPr>
                <w:rFonts w:hint="eastAsia" w:ascii="仿宋_GB2312" w:hAnsi="仿宋_GB2312" w:eastAsia="仿宋_GB2312" w:cs="仿宋_GB2312"/>
              </w:rPr>
            </w:pPr>
          </w:p>
        </w:tc>
        <w:tc>
          <w:tcPr>
            <w:tcW w:w="596" w:type="dxa"/>
            <w:tcBorders>
              <w:tl2br w:val="nil"/>
              <w:tr2bl w:val="nil"/>
            </w:tcBorders>
            <w:vAlign w:val="center"/>
          </w:tcPr>
          <w:p>
            <w:pPr>
              <w:widowControl/>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95</w:t>
            </w:r>
          </w:p>
          <w:p>
            <w:pPr>
              <w:widowControl/>
              <w:adjustRightInd w:val="0"/>
              <w:snapToGrid w:val="0"/>
              <w:spacing w:line="240" w:lineRule="auto"/>
              <w:jc w:val="center"/>
              <w:rPr>
                <w:rFonts w:hint="eastAsia" w:ascii="仿宋_GB2312" w:hAnsi="仿宋_GB2312" w:eastAsia="仿宋_GB2312" w:cs="仿宋_GB2312"/>
              </w:rPr>
            </w:pPr>
          </w:p>
        </w:tc>
        <w:tc>
          <w:tcPr>
            <w:tcW w:w="1085" w:type="dxa"/>
            <w:tcBorders>
              <w:tl2br w:val="nil"/>
              <w:tr2bl w:val="nil"/>
            </w:tcBorders>
            <w:vAlign w:val="center"/>
          </w:tcPr>
          <w:p>
            <w:pPr>
              <w:widowControl/>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p>
            <w:pPr>
              <w:widowControl/>
              <w:adjustRightInd w:val="0"/>
              <w:snapToGrid w:val="0"/>
              <w:spacing w:line="240" w:lineRule="auto"/>
              <w:jc w:val="center"/>
              <w:rPr>
                <w:rFonts w:hint="eastAsia" w:ascii="仿宋_GB2312" w:hAnsi="仿宋_GB2312" w:eastAsia="仿宋_GB2312" w:cs="仿宋_GB2312"/>
              </w:rPr>
            </w:pPr>
          </w:p>
        </w:tc>
        <w:tc>
          <w:tcPr>
            <w:tcW w:w="1113" w:type="dxa"/>
            <w:tcBorders>
              <w:tl2br w:val="nil"/>
              <w:tr2bl w:val="nil"/>
            </w:tcBorders>
            <w:vAlign w:val="center"/>
          </w:tcPr>
          <w:p>
            <w:pPr>
              <w:widowControl/>
              <w:spacing w:line="240" w:lineRule="auto"/>
              <w:rPr>
                <w:rFonts w:hint="eastAsia" w:ascii="仿宋_GB2312" w:hAnsi="仿宋_GB2312" w:eastAsia="仿宋_GB2312" w:cs="仿宋_GB2312"/>
              </w:rPr>
            </w:pPr>
            <w:r>
              <w:rPr>
                <w:rFonts w:hint="eastAsia" w:ascii="仿宋_GB2312" w:hAnsi="仿宋_GB2312" w:eastAsia="仿宋_GB2312" w:cs="仿宋_GB2312"/>
              </w:rPr>
              <w:t>部门职责</w:t>
            </w:r>
          </w:p>
          <w:p>
            <w:pPr>
              <w:widowControl/>
              <w:adjustRightInd w:val="0"/>
              <w:snapToGrid w:val="0"/>
              <w:spacing w:line="240" w:lineRule="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131" w:type="dxa"/>
            <w:vMerge w:val="continue"/>
            <w:tcBorders>
              <w:tl2br w:val="nil"/>
              <w:tr2bl w:val="nil"/>
            </w:tcBorders>
            <w:vAlign w:val="center"/>
          </w:tcPr>
          <w:p>
            <w:pPr>
              <w:widowControl/>
              <w:adjustRightInd w:val="0"/>
              <w:snapToGrid w:val="0"/>
              <w:spacing w:line="579" w:lineRule="exact"/>
              <w:jc w:val="center"/>
              <w:rPr>
                <w:rFonts w:ascii="方正书宋_GBK" w:eastAsia="方正书宋_GBK"/>
              </w:rPr>
            </w:pPr>
          </w:p>
        </w:tc>
        <w:tc>
          <w:tcPr>
            <w:tcW w:w="1066" w:type="dxa"/>
            <w:tcBorders>
              <w:tl2br w:val="nil"/>
              <w:tr2bl w:val="nil"/>
            </w:tcBorders>
            <w:vAlign w:val="center"/>
          </w:tcPr>
          <w:p>
            <w:pPr>
              <w:widowControl/>
              <w:adjustRightInd w:val="0"/>
              <w:snapToGrid w:val="0"/>
              <w:spacing w:line="579" w:lineRule="exact"/>
              <w:jc w:val="center"/>
              <w:rPr>
                <w:rFonts w:ascii="方正书宋_GBK" w:eastAsia="方正书宋_GBK"/>
              </w:rPr>
            </w:pPr>
            <w:r>
              <w:rPr>
                <w:rFonts w:hint="eastAsia" w:ascii="方正书宋_GBK" w:eastAsia="方正书宋_GBK"/>
              </w:rPr>
              <w:t>满意度</w:t>
            </w:r>
          </w:p>
        </w:tc>
        <w:tc>
          <w:tcPr>
            <w:tcW w:w="1124" w:type="dxa"/>
            <w:tcBorders>
              <w:tl2br w:val="nil"/>
              <w:tr2bl w:val="nil"/>
            </w:tcBorders>
            <w:noWrap/>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家长的满意程度</w:t>
            </w:r>
          </w:p>
          <w:p>
            <w:pPr>
              <w:widowControl/>
              <w:adjustRightInd w:val="0"/>
              <w:snapToGrid w:val="0"/>
              <w:spacing w:line="240" w:lineRule="auto"/>
              <w:jc w:val="center"/>
              <w:rPr>
                <w:rFonts w:hint="eastAsia" w:ascii="仿宋_GB2312" w:hAnsi="仿宋_GB2312" w:eastAsia="仿宋_GB2312" w:cs="仿宋_GB2312"/>
              </w:rPr>
            </w:pPr>
          </w:p>
        </w:tc>
        <w:tc>
          <w:tcPr>
            <w:tcW w:w="2111" w:type="dxa"/>
            <w:tcBorders>
              <w:tl2br w:val="nil"/>
              <w:tr2bl w:val="nil"/>
            </w:tcBorders>
            <w:noWrap/>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10分家长的满意度达到95%得满分，每降低1%扣1分，扣完为止。</w:t>
            </w:r>
          </w:p>
        </w:tc>
        <w:tc>
          <w:tcPr>
            <w:tcW w:w="2079" w:type="dxa"/>
            <w:tcBorders>
              <w:tl2br w:val="nil"/>
              <w:tr2bl w:val="nil"/>
            </w:tcBorders>
            <w:noWrap/>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家长的满意程度</w:t>
            </w:r>
          </w:p>
          <w:p>
            <w:pPr>
              <w:widowControl/>
              <w:adjustRightInd w:val="0"/>
              <w:snapToGrid w:val="0"/>
              <w:spacing w:line="240" w:lineRule="auto"/>
              <w:jc w:val="center"/>
              <w:rPr>
                <w:rFonts w:hint="eastAsia" w:ascii="仿宋_GB2312" w:hAnsi="仿宋_GB2312" w:eastAsia="仿宋_GB2312" w:cs="仿宋_GB2312"/>
              </w:rPr>
            </w:pPr>
          </w:p>
        </w:tc>
        <w:tc>
          <w:tcPr>
            <w:tcW w:w="542"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p>
            <w:pPr>
              <w:widowControl/>
              <w:adjustRightInd w:val="0"/>
              <w:snapToGrid w:val="0"/>
              <w:spacing w:line="240" w:lineRule="auto"/>
              <w:jc w:val="center"/>
              <w:rPr>
                <w:rFonts w:hint="eastAsia" w:ascii="仿宋_GB2312" w:hAnsi="仿宋_GB2312" w:eastAsia="仿宋_GB2312" w:cs="仿宋_GB2312"/>
              </w:rPr>
            </w:pPr>
          </w:p>
        </w:tc>
        <w:tc>
          <w:tcPr>
            <w:tcW w:w="596"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95</w:t>
            </w:r>
          </w:p>
          <w:p>
            <w:pPr>
              <w:widowControl/>
              <w:adjustRightInd w:val="0"/>
              <w:snapToGrid w:val="0"/>
              <w:spacing w:line="240" w:lineRule="auto"/>
              <w:jc w:val="center"/>
              <w:rPr>
                <w:rFonts w:hint="eastAsia" w:ascii="仿宋_GB2312" w:hAnsi="仿宋_GB2312" w:eastAsia="仿宋_GB2312" w:cs="仿宋_GB2312"/>
              </w:rPr>
            </w:pPr>
          </w:p>
        </w:tc>
        <w:tc>
          <w:tcPr>
            <w:tcW w:w="1085"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p>
            <w:pPr>
              <w:widowControl/>
              <w:adjustRightInd w:val="0"/>
              <w:snapToGrid w:val="0"/>
              <w:spacing w:line="240" w:lineRule="auto"/>
              <w:jc w:val="center"/>
              <w:rPr>
                <w:rFonts w:hint="eastAsia" w:ascii="仿宋_GB2312" w:hAnsi="仿宋_GB2312" w:eastAsia="仿宋_GB2312" w:cs="仿宋_GB2312"/>
              </w:rPr>
            </w:pPr>
          </w:p>
        </w:tc>
        <w:tc>
          <w:tcPr>
            <w:tcW w:w="111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调查问卷</w:t>
            </w:r>
          </w:p>
          <w:p>
            <w:pPr>
              <w:widowControl/>
              <w:adjustRightInd w:val="0"/>
              <w:snapToGrid w:val="0"/>
              <w:spacing w:line="240" w:lineRule="auto"/>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31" w:type="dxa"/>
            <w:tcBorders>
              <w:tl2br w:val="nil"/>
              <w:tr2bl w:val="nil"/>
            </w:tcBorders>
            <w:vAlign w:val="center"/>
          </w:tcPr>
          <w:p>
            <w:pPr>
              <w:widowControl/>
              <w:adjustRightInd w:val="0"/>
              <w:snapToGrid w:val="0"/>
              <w:spacing w:line="579" w:lineRule="exact"/>
              <w:jc w:val="center"/>
              <w:rPr>
                <w:rFonts w:ascii="方正书宋_GBK" w:eastAsia="方正书宋_GBK"/>
              </w:rPr>
            </w:pPr>
          </w:p>
        </w:tc>
        <w:tc>
          <w:tcPr>
            <w:tcW w:w="1066" w:type="dxa"/>
            <w:tcBorders>
              <w:tl2br w:val="nil"/>
              <w:tr2bl w:val="nil"/>
            </w:tcBorders>
            <w:vAlign w:val="center"/>
          </w:tcPr>
          <w:p>
            <w:pPr>
              <w:widowControl/>
              <w:adjustRightInd w:val="0"/>
              <w:snapToGrid w:val="0"/>
              <w:spacing w:line="579" w:lineRule="exact"/>
              <w:jc w:val="center"/>
              <w:rPr>
                <w:rFonts w:ascii="方正书宋_GBK" w:eastAsia="方正书宋_GBK"/>
              </w:rPr>
            </w:pPr>
            <w:r>
              <w:rPr>
                <w:rFonts w:hint="eastAsia" w:ascii="方正书宋_GBK" w:eastAsia="方正书宋_GBK"/>
              </w:rPr>
              <w:t>满意度</w:t>
            </w:r>
          </w:p>
        </w:tc>
        <w:tc>
          <w:tcPr>
            <w:tcW w:w="1124" w:type="dxa"/>
            <w:tcBorders>
              <w:tl2br w:val="nil"/>
              <w:tr2bl w:val="nil"/>
            </w:tcBorders>
            <w:noWrap/>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在校师生的满意程度</w:t>
            </w:r>
          </w:p>
          <w:p>
            <w:pPr>
              <w:widowControl/>
              <w:adjustRightInd w:val="0"/>
              <w:snapToGrid w:val="0"/>
              <w:spacing w:line="240" w:lineRule="auto"/>
              <w:jc w:val="center"/>
              <w:rPr>
                <w:rFonts w:hint="eastAsia" w:ascii="仿宋_GB2312" w:hAnsi="仿宋_GB2312" w:eastAsia="仿宋_GB2312" w:cs="仿宋_GB2312"/>
              </w:rPr>
            </w:pPr>
          </w:p>
        </w:tc>
        <w:tc>
          <w:tcPr>
            <w:tcW w:w="2111" w:type="dxa"/>
            <w:tcBorders>
              <w:tl2br w:val="nil"/>
              <w:tr2bl w:val="nil"/>
            </w:tcBorders>
            <w:noWrap/>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10分在校师生的满意度达到95%得满分，每降低1%扣1分，扣完为止。</w:t>
            </w:r>
          </w:p>
          <w:p>
            <w:pPr>
              <w:widowControl/>
              <w:adjustRightInd w:val="0"/>
              <w:snapToGrid w:val="0"/>
              <w:spacing w:line="240" w:lineRule="auto"/>
              <w:jc w:val="center"/>
              <w:rPr>
                <w:rFonts w:hint="eastAsia" w:ascii="仿宋_GB2312" w:hAnsi="仿宋_GB2312" w:eastAsia="仿宋_GB2312" w:cs="仿宋_GB2312"/>
              </w:rPr>
            </w:pPr>
          </w:p>
        </w:tc>
        <w:tc>
          <w:tcPr>
            <w:tcW w:w="2079" w:type="dxa"/>
            <w:tcBorders>
              <w:tl2br w:val="nil"/>
              <w:tr2bl w:val="nil"/>
            </w:tcBorders>
            <w:noWrap/>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在校师生的满意程度</w:t>
            </w:r>
          </w:p>
          <w:p>
            <w:pPr>
              <w:widowControl/>
              <w:adjustRightInd w:val="0"/>
              <w:snapToGrid w:val="0"/>
              <w:spacing w:line="240" w:lineRule="auto"/>
              <w:jc w:val="center"/>
              <w:rPr>
                <w:rFonts w:hint="eastAsia" w:ascii="仿宋_GB2312" w:hAnsi="仿宋_GB2312" w:eastAsia="仿宋_GB2312" w:cs="仿宋_GB2312"/>
              </w:rPr>
            </w:pPr>
          </w:p>
        </w:tc>
        <w:tc>
          <w:tcPr>
            <w:tcW w:w="542"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p>
            <w:pPr>
              <w:widowControl/>
              <w:adjustRightInd w:val="0"/>
              <w:snapToGrid w:val="0"/>
              <w:spacing w:line="240" w:lineRule="auto"/>
              <w:jc w:val="center"/>
              <w:rPr>
                <w:rFonts w:hint="eastAsia" w:ascii="仿宋_GB2312" w:hAnsi="仿宋_GB2312" w:eastAsia="仿宋_GB2312" w:cs="仿宋_GB2312"/>
              </w:rPr>
            </w:pPr>
          </w:p>
        </w:tc>
        <w:tc>
          <w:tcPr>
            <w:tcW w:w="596"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95</w:t>
            </w:r>
          </w:p>
          <w:p>
            <w:pPr>
              <w:widowControl/>
              <w:adjustRightInd w:val="0"/>
              <w:snapToGrid w:val="0"/>
              <w:spacing w:line="240" w:lineRule="auto"/>
              <w:jc w:val="center"/>
              <w:rPr>
                <w:rFonts w:hint="eastAsia" w:ascii="仿宋_GB2312" w:hAnsi="仿宋_GB2312" w:eastAsia="仿宋_GB2312" w:cs="仿宋_GB2312"/>
              </w:rPr>
            </w:pPr>
          </w:p>
        </w:tc>
        <w:tc>
          <w:tcPr>
            <w:tcW w:w="1085"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p>
            <w:pPr>
              <w:widowControl/>
              <w:adjustRightInd w:val="0"/>
              <w:snapToGrid w:val="0"/>
              <w:spacing w:line="240" w:lineRule="auto"/>
              <w:jc w:val="center"/>
              <w:rPr>
                <w:rFonts w:hint="eastAsia" w:ascii="仿宋_GB2312" w:hAnsi="仿宋_GB2312" w:eastAsia="仿宋_GB2312" w:cs="仿宋_GB2312"/>
              </w:rPr>
            </w:pPr>
          </w:p>
        </w:tc>
        <w:tc>
          <w:tcPr>
            <w:tcW w:w="111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调查问卷</w:t>
            </w:r>
          </w:p>
          <w:p>
            <w:pPr>
              <w:widowControl/>
              <w:adjustRightInd w:val="0"/>
              <w:snapToGrid w:val="0"/>
              <w:spacing w:line="240" w:lineRule="auto"/>
              <w:jc w:val="center"/>
              <w:rPr>
                <w:rFonts w:hint="eastAsia" w:ascii="仿宋_GB2312" w:hAnsi="仿宋_GB2312" w:eastAsia="仿宋_GB2312" w:cs="仿宋_GB2312"/>
              </w:rPr>
            </w:pPr>
          </w:p>
        </w:tc>
      </w:tr>
    </w:tbl>
    <w:p>
      <w:pPr>
        <w:spacing w:line="579" w:lineRule="exact"/>
        <w:rPr>
          <w:rFonts w:ascii="仿宋_GB2312" w:eastAsia="仿宋_GB2312" w:cs="Times New Roman"/>
          <w:sz w:val="32"/>
          <w:szCs w:val="32"/>
        </w:rPr>
      </w:pPr>
    </w:p>
    <w:p>
      <w:pPr>
        <w:spacing w:line="579" w:lineRule="exact"/>
        <w:ind w:firstLine="640" w:firstLineChars="200"/>
        <w:rPr>
          <w:rFonts w:hint="eastAsia" w:ascii="Times New Roman" w:hAnsi="Times New Roman" w:eastAsia="黑体" w:cs="Times New Roman"/>
          <w:sz w:val="32"/>
          <w:szCs w:val="32"/>
        </w:rPr>
      </w:pPr>
    </w:p>
    <w:p>
      <w:pPr>
        <w:spacing w:line="579" w:lineRule="exact"/>
        <w:ind w:firstLine="640" w:firstLineChars="200"/>
        <w:rPr>
          <w:rFonts w:hint="eastAsia" w:ascii="Times New Roman" w:hAnsi="Times New Roman" w:eastAsia="黑体" w:cs="Times New Roman"/>
          <w:sz w:val="32"/>
          <w:szCs w:val="32"/>
        </w:rPr>
      </w:pPr>
    </w:p>
    <w:p>
      <w:pPr>
        <w:spacing w:line="579" w:lineRule="exact"/>
        <w:ind w:firstLine="640" w:firstLineChars="200"/>
        <w:rPr>
          <w:rFonts w:hint="eastAsia" w:ascii="Times New Roman" w:hAnsi="Times New Roman" w:eastAsia="黑体" w:cs="Times New Roman"/>
          <w:sz w:val="32"/>
          <w:szCs w:val="32"/>
        </w:rPr>
      </w:pPr>
    </w:p>
    <w:p>
      <w:pPr>
        <w:spacing w:line="579" w:lineRule="exact"/>
        <w:ind w:firstLine="640" w:firstLineChars="200"/>
        <w:rPr>
          <w:rFonts w:hint="eastAsia" w:ascii="Times New Roman" w:hAnsi="Times New Roman" w:eastAsia="黑体" w:cs="Times New Roman"/>
          <w:sz w:val="32"/>
          <w:szCs w:val="32"/>
        </w:rPr>
      </w:pPr>
    </w:p>
    <w:p>
      <w:pPr>
        <w:spacing w:line="579" w:lineRule="exact"/>
        <w:ind w:firstLine="640" w:firstLineChars="200"/>
        <w:rPr>
          <w:rFonts w:hint="eastAsia" w:ascii="Times New Roman" w:hAnsi="Times New Roman" w:eastAsia="黑体" w:cs="Times New Roman"/>
          <w:sz w:val="32"/>
          <w:szCs w:val="32"/>
        </w:rPr>
      </w:pPr>
    </w:p>
    <w:p>
      <w:pPr>
        <w:spacing w:line="579" w:lineRule="exact"/>
        <w:ind w:firstLine="640" w:firstLineChars="200"/>
        <w:rPr>
          <w:rFonts w:hint="eastAsia" w:ascii="Times New Roman" w:hAnsi="Times New Roman" w:eastAsia="黑体" w:cs="Times New Roman"/>
          <w:sz w:val="32"/>
          <w:szCs w:val="32"/>
        </w:rPr>
      </w:pPr>
    </w:p>
    <w:p>
      <w:pPr>
        <w:spacing w:line="579"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line="579" w:lineRule="exact"/>
        <w:ind w:firstLine="560" w:firstLineChars="200"/>
        <w:jc w:val="left"/>
        <w:outlineLvl w:val="1"/>
        <w:rPr>
          <w:rFonts w:hint="eastAsia" w:ascii="仿宋_GB2312" w:hAnsi="仿宋_GB2312" w:eastAsia="仿宋_GB2312" w:cs="仿宋_GB2312"/>
        </w:rPr>
      </w:pPr>
      <w:r>
        <w:rPr>
          <w:rFonts w:hint="eastAsia" w:ascii="仿宋_GB2312" w:hAnsi="仿宋_GB2312" w:eastAsia="仿宋_GB2312" w:cs="仿宋_GB2312"/>
          <w:sz w:val="28"/>
        </w:rPr>
        <w:t>1.</w:t>
      </w:r>
      <w:bookmarkStart w:id="0" w:name="_Toc29799657"/>
      <w:bookmarkEnd w:id="0"/>
      <w:r>
        <w:rPr>
          <w:rFonts w:hint="eastAsia" w:ascii="仿宋_GB2312" w:hAnsi="仿宋_GB2312" w:eastAsia="仿宋_GB2312" w:cs="仿宋_GB2312"/>
          <w:sz w:val="28"/>
        </w:rPr>
        <w:t xml:space="preserve"> </w:t>
      </w:r>
      <w:r>
        <w:rPr>
          <w:rFonts w:hint="eastAsia" w:ascii="仿宋_GB2312" w:hAnsi="仿宋_GB2312" w:eastAsia="仿宋_GB2312" w:cs="仿宋_GB2312"/>
          <w:color w:val="000000"/>
          <w:sz w:val="28"/>
        </w:rPr>
        <w:t>幼儿园生均经费绩效目标表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1.我园将按照资金使用要求，根据日常需要安排日常办公、维修维护、购买专用材料和玩教具等。2.开展教师培训，提高教师队伍水平.3.开展文体活动，提高幼儿综合素质。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843" w:type="dxa"/>
            <w:shd w:val="clear" w:color="auto" w:fill="auto"/>
            <w:vAlign w:val="center"/>
          </w:tcPr>
          <w:p>
            <w:pPr>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指标值</w:t>
            </w:r>
          </w:p>
        </w:tc>
        <w:tc>
          <w:tcPr>
            <w:tcW w:w="2155" w:type="dxa"/>
            <w:shd w:val="clear" w:color="auto" w:fill="auto"/>
            <w:vAlign w:val="center"/>
          </w:tcPr>
          <w:p>
            <w:pPr>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数量指标</w:t>
            </w:r>
          </w:p>
        </w:tc>
        <w:tc>
          <w:tcPr>
            <w:tcW w:w="198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申请生均公用经费的学生人数</w:t>
            </w:r>
          </w:p>
        </w:tc>
        <w:tc>
          <w:tcPr>
            <w:tcW w:w="3402"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按文件要求申请生均公用经费的学生人数</w:t>
            </w:r>
          </w:p>
        </w:tc>
        <w:tc>
          <w:tcPr>
            <w:tcW w:w="1843"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268人</w:t>
            </w:r>
          </w:p>
        </w:tc>
        <w:tc>
          <w:tcPr>
            <w:tcW w:w="215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冀财教【2018】99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240" w:lineRule="auto"/>
              <w:rPr>
                <w:rFonts w:hint="eastAsia" w:ascii="仿宋_GB2312" w:hAnsi="仿宋_GB2312" w:eastAsia="仿宋_GB2312" w:cs="仿宋_GB2312"/>
              </w:rPr>
            </w:pPr>
          </w:p>
        </w:tc>
        <w:tc>
          <w:tcPr>
            <w:tcW w:w="2268"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质量指标</w:t>
            </w:r>
          </w:p>
        </w:tc>
        <w:tc>
          <w:tcPr>
            <w:tcW w:w="198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生均公用经费使用的合规率</w:t>
            </w:r>
          </w:p>
        </w:tc>
        <w:tc>
          <w:tcPr>
            <w:tcW w:w="3402"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生均公用经费使用符合文件中的相关规定</w:t>
            </w:r>
          </w:p>
        </w:tc>
        <w:tc>
          <w:tcPr>
            <w:tcW w:w="1843"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100%</w:t>
            </w:r>
          </w:p>
        </w:tc>
        <w:tc>
          <w:tcPr>
            <w:tcW w:w="215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冀财教【2018】99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240" w:lineRule="auto"/>
              <w:rPr>
                <w:rFonts w:hint="eastAsia" w:ascii="仿宋_GB2312" w:hAnsi="仿宋_GB2312" w:eastAsia="仿宋_GB2312" w:cs="仿宋_GB2312"/>
              </w:rPr>
            </w:pPr>
          </w:p>
        </w:tc>
        <w:tc>
          <w:tcPr>
            <w:tcW w:w="2268"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时效指标</w:t>
            </w:r>
          </w:p>
        </w:tc>
        <w:tc>
          <w:tcPr>
            <w:tcW w:w="198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用于保障学校正常运转项目完成及时率</w:t>
            </w:r>
          </w:p>
        </w:tc>
        <w:tc>
          <w:tcPr>
            <w:tcW w:w="3402"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使用生均公用经费，用于保障学校正常运转的项目完成情况</w:t>
            </w:r>
          </w:p>
        </w:tc>
        <w:tc>
          <w:tcPr>
            <w:tcW w:w="1843"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100%</w:t>
            </w:r>
          </w:p>
        </w:tc>
        <w:tc>
          <w:tcPr>
            <w:tcW w:w="215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240" w:lineRule="auto"/>
              <w:rPr>
                <w:rFonts w:hint="eastAsia" w:ascii="仿宋_GB2312" w:hAnsi="仿宋_GB2312" w:eastAsia="仿宋_GB2312" w:cs="仿宋_GB2312"/>
              </w:rPr>
            </w:pPr>
          </w:p>
        </w:tc>
        <w:tc>
          <w:tcPr>
            <w:tcW w:w="2268"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成本指标</w:t>
            </w:r>
          </w:p>
        </w:tc>
        <w:tc>
          <w:tcPr>
            <w:tcW w:w="198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使用生均公用经费，用于保障学校正常运转的项目支出成本</w:t>
            </w:r>
          </w:p>
        </w:tc>
        <w:tc>
          <w:tcPr>
            <w:tcW w:w="3402"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使用生均公用经费，用于保障学校正常运转的项目支出成本等于400元/生</w:t>
            </w:r>
          </w:p>
        </w:tc>
        <w:tc>
          <w:tcPr>
            <w:tcW w:w="1843"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400元</w:t>
            </w:r>
          </w:p>
        </w:tc>
        <w:tc>
          <w:tcPr>
            <w:tcW w:w="215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冀财教【2018】99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社会效益指标</w:t>
            </w:r>
          </w:p>
        </w:tc>
        <w:tc>
          <w:tcPr>
            <w:tcW w:w="198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学前教育高质量发展</w:t>
            </w:r>
          </w:p>
        </w:tc>
        <w:tc>
          <w:tcPr>
            <w:tcW w:w="3402"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该资金用于学校正常运转，改善办学条件，促进学前教育均衡发展及学生素质提高</w:t>
            </w:r>
          </w:p>
        </w:tc>
        <w:tc>
          <w:tcPr>
            <w:tcW w:w="1843"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支持</w:t>
            </w:r>
          </w:p>
        </w:tc>
        <w:tc>
          <w:tcPr>
            <w:tcW w:w="215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冀财教【2019】66号文件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服务对象满意度指标</w:t>
            </w:r>
          </w:p>
        </w:tc>
        <w:tc>
          <w:tcPr>
            <w:tcW w:w="198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在校师生的满意程度</w:t>
            </w:r>
          </w:p>
        </w:tc>
        <w:tc>
          <w:tcPr>
            <w:tcW w:w="3402"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在校师生的满意程度</w:t>
            </w:r>
          </w:p>
        </w:tc>
        <w:tc>
          <w:tcPr>
            <w:tcW w:w="1843"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≥90%</w:t>
            </w:r>
          </w:p>
        </w:tc>
        <w:tc>
          <w:tcPr>
            <w:tcW w:w="215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问卷调查</w:t>
            </w:r>
          </w:p>
        </w:tc>
      </w:tr>
    </w:tbl>
    <w:p>
      <w:pPr>
        <w:spacing w:line="240" w:lineRule="auto"/>
        <w:ind w:firstLine="560" w:firstLineChars="200"/>
        <w:jc w:val="left"/>
        <w:outlineLvl w:val="1"/>
        <w:rPr>
          <w:rFonts w:hint="eastAsia" w:ascii="仿宋_GB2312" w:hAnsi="仿宋_GB2312" w:eastAsia="仿宋_GB2312" w:cs="仿宋_GB2312"/>
          <w:sz w:val="28"/>
        </w:rPr>
      </w:pPr>
    </w:p>
    <w:p>
      <w:pPr>
        <w:spacing w:line="240" w:lineRule="auto"/>
        <w:ind w:firstLine="560" w:firstLineChars="200"/>
        <w:jc w:val="left"/>
        <w:outlineLvl w:val="1"/>
        <w:rPr>
          <w:rFonts w:hint="eastAsia" w:ascii="仿宋_GB2312" w:hAnsi="仿宋_GB2312" w:eastAsia="仿宋_GB2312" w:cs="仿宋_GB2312"/>
        </w:rPr>
      </w:pPr>
      <w:r>
        <w:rPr>
          <w:rFonts w:hint="eastAsia" w:ascii="仿宋_GB2312" w:hAnsi="仿宋_GB2312" w:eastAsia="仿宋_GB2312" w:cs="仿宋_GB2312"/>
          <w:sz w:val="28"/>
        </w:rPr>
        <w:t>2.</w:t>
      </w:r>
      <w:r>
        <w:rPr>
          <w:rFonts w:hint="eastAsia" w:ascii="仿宋_GB2312" w:hAnsi="仿宋_GB2312" w:eastAsia="仿宋_GB2312" w:cs="仿宋_GB2312"/>
          <w:color w:val="000000"/>
          <w:sz w:val="28"/>
        </w:rPr>
        <w:t xml:space="preserve"> 合同制教师人员经费绩效目标表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1.缓解教师短缺，保障教育教学正常的进行</w:t>
            </w:r>
          </w:p>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2.保障教学质量，提升教育水平</w:t>
            </w:r>
          </w:p>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3.保障合同制教师工资福利待遇，并及时发放。</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4.学生、学校、家长对合同制教师的满意度达到95%以上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二级指标</w:t>
            </w:r>
          </w:p>
        </w:tc>
        <w:tc>
          <w:tcPr>
            <w:tcW w:w="1985" w:type="dxa"/>
            <w:shd w:val="clear" w:color="auto" w:fill="auto"/>
            <w:vAlign w:val="center"/>
          </w:tcPr>
          <w:p>
            <w:pPr>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三级指标</w:t>
            </w:r>
          </w:p>
        </w:tc>
        <w:tc>
          <w:tcPr>
            <w:tcW w:w="3402" w:type="dxa"/>
            <w:shd w:val="clear" w:color="auto" w:fill="auto"/>
            <w:vAlign w:val="center"/>
          </w:tcPr>
          <w:p>
            <w:pPr>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843" w:type="dxa"/>
            <w:shd w:val="clear" w:color="auto" w:fill="auto"/>
            <w:vAlign w:val="center"/>
          </w:tcPr>
          <w:p>
            <w:pPr>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指标值</w:t>
            </w:r>
          </w:p>
        </w:tc>
        <w:tc>
          <w:tcPr>
            <w:tcW w:w="2155" w:type="dxa"/>
            <w:shd w:val="clear" w:color="auto" w:fill="auto"/>
            <w:vAlign w:val="center"/>
          </w:tcPr>
          <w:p>
            <w:pPr>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数量指标</w:t>
            </w:r>
          </w:p>
        </w:tc>
        <w:tc>
          <w:tcPr>
            <w:tcW w:w="198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合同制教师在校人数</w:t>
            </w:r>
          </w:p>
        </w:tc>
        <w:tc>
          <w:tcPr>
            <w:tcW w:w="3402"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保障2022合同制教师 19人工资福利</w:t>
            </w:r>
          </w:p>
        </w:tc>
        <w:tc>
          <w:tcPr>
            <w:tcW w:w="1843"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19人</w:t>
            </w:r>
          </w:p>
        </w:tc>
        <w:tc>
          <w:tcPr>
            <w:tcW w:w="215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240" w:lineRule="auto"/>
              <w:rPr>
                <w:rFonts w:hint="eastAsia" w:ascii="仿宋_GB2312" w:hAnsi="仿宋_GB2312" w:eastAsia="仿宋_GB2312" w:cs="仿宋_GB2312"/>
              </w:rPr>
            </w:pPr>
          </w:p>
        </w:tc>
        <w:tc>
          <w:tcPr>
            <w:tcW w:w="2268"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质量指标</w:t>
            </w:r>
          </w:p>
        </w:tc>
        <w:tc>
          <w:tcPr>
            <w:tcW w:w="198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合同制教师完成岗位目标</w:t>
            </w:r>
          </w:p>
        </w:tc>
        <w:tc>
          <w:tcPr>
            <w:tcW w:w="3402"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不同学科合同制教师岗位目标明确，并得以执行</w:t>
            </w:r>
          </w:p>
        </w:tc>
        <w:tc>
          <w:tcPr>
            <w:tcW w:w="1843"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完成岗位目标职责</w:t>
            </w:r>
          </w:p>
          <w:p>
            <w:pPr>
              <w:pStyle w:val="14"/>
              <w:spacing w:line="240" w:lineRule="auto"/>
              <w:rPr>
                <w:rFonts w:hint="eastAsia" w:ascii="仿宋_GB2312" w:hAnsi="仿宋_GB2312" w:eastAsia="仿宋_GB2312" w:cs="仿宋_GB2312"/>
                <w:kern w:val="2"/>
                <w:szCs w:val="22"/>
                <w:lang w:eastAsia="zh-CN"/>
              </w:rPr>
            </w:pPr>
          </w:p>
        </w:tc>
        <w:tc>
          <w:tcPr>
            <w:tcW w:w="215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区在职教师考核办法文件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240" w:lineRule="auto"/>
              <w:rPr>
                <w:rFonts w:hint="eastAsia" w:ascii="仿宋_GB2312" w:hAnsi="仿宋_GB2312" w:eastAsia="仿宋_GB2312" w:cs="仿宋_GB2312"/>
              </w:rPr>
            </w:pPr>
          </w:p>
        </w:tc>
        <w:tc>
          <w:tcPr>
            <w:tcW w:w="2268"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质量指标</w:t>
            </w:r>
          </w:p>
        </w:tc>
        <w:tc>
          <w:tcPr>
            <w:tcW w:w="198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合同制教师的考核合格率</w:t>
            </w:r>
          </w:p>
        </w:tc>
        <w:tc>
          <w:tcPr>
            <w:tcW w:w="3402"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合格率达到100%</w:t>
            </w:r>
          </w:p>
        </w:tc>
        <w:tc>
          <w:tcPr>
            <w:tcW w:w="1843"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≥98%</w:t>
            </w:r>
          </w:p>
        </w:tc>
        <w:tc>
          <w:tcPr>
            <w:tcW w:w="215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区考核办法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240" w:lineRule="auto"/>
              <w:rPr>
                <w:rFonts w:hint="eastAsia" w:ascii="仿宋_GB2312" w:hAnsi="仿宋_GB2312" w:eastAsia="仿宋_GB2312" w:cs="仿宋_GB2312"/>
              </w:rPr>
            </w:pPr>
          </w:p>
        </w:tc>
        <w:tc>
          <w:tcPr>
            <w:tcW w:w="2268"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时效指标</w:t>
            </w:r>
          </w:p>
        </w:tc>
        <w:tc>
          <w:tcPr>
            <w:tcW w:w="198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资金支出率（%）</w:t>
            </w:r>
          </w:p>
        </w:tc>
        <w:tc>
          <w:tcPr>
            <w:tcW w:w="3402"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按月支付合同制教师工资及缴纳社会保障及住房公积金</w:t>
            </w:r>
          </w:p>
        </w:tc>
        <w:tc>
          <w:tcPr>
            <w:tcW w:w="1843"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≥95%</w:t>
            </w:r>
          </w:p>
        </w:tc>
        <w:tc>
          <w:tcPr>
            <w:tcW w:w="215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240" w:lineRule="auto"/>
              <w:rPr>
                <w:rFonts w:hint="eastAsia" w:ascii="仿宋_GB2312" w:hAnsi="仿宋_GB2312" w:eastAsia="仿宋_GB2312" w:cs="仿宋_GB2312"/>
              </w:rPr>
            </w:pPr>
          </w:p>
        </w:tc>
        <w:tc>
          <w:tcPr>
            <w:tcW w:w="2268"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成本指标</w:t>
            </w:r>
          </w:p>
        </w:tc>
        <w:tc>
          <w:tcPr>
            <w:tcW w:w="198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保障项目正常运行</w:t>
            </w:r>
          </w:p>
        </w:tc>
        <w:tc>
          <w:tcPr>
            <w:tcW w:w="3402"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合同制教师薪酬测算标准</w:t>
            </w:r>
          </w:p>
        </w:tc>
        <w:tc>
          <w:tcPr>
            <w:tcW w:w="1843"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根据廊广传【2021】19号文件合同制教师与在职教师同工同酬</w:t>
            </w:r>
          </w:p>
        </w:tc>
        <w:tc>
          <w:tcPr>
            <w:tcW w:w="215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社会效益指标</w:t>
            </w:r>
          </w:p>
        </w:tc>
        <w:tc>
          <w:tcPr>
            <w:tcW w:w="198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缓解师资供需矛盾</w:t>
            </w:r>
          </w:p>
        </w:tc>
        <w:tc>
          <w:tcPr>
            <w:tcW w:w="3402"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缓解教师短缺，保障教育教学正常的进行</w:t>
            </w:r>
          </w:p>
        </w:tc>
        <w:tc>
          <w:tcPr>
            <w:tcW w:w="1843"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缓解</w:t>
            </w:r>
          </w:p>
        </w:tc>
        <w:tc>
          <w:tcPr>
            <w:tcW w:w="215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服务对象满意度指标</w:t>
            </w:r>
          </w:p>
        </w:tc>
        <w:tc>
          <w:tcPr>
            <w:tcW w:w="198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学生满意度</w:t>
            </w:r>
          </w:p>
        </w:tc>
        <w:tc>
          <w:tcPr>
            <w:tcW w:w="3402"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所教班级学生满意度</w:t>
            </w:r>
          </w:p>
        </w:tc>
        <w:tc>
          <w:tcPr>
            <w:tcW w:w="1843"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≥95%</w:t>
            </w:r>
          </w:p>
        </w:tc>
        <w:tc>
          <w:tcPr>
            <w:tcW w:w="215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240" w:lineRule="auto"/>
              <w:jc w:val="center"/>
              <w:rPr>
                <w:rFonts w:hint="eastAsia" w:ascii="仿宋_GB2312" w:hAnsi="仿宋_GB2312" w:eastAsia="仿宋_GB2312" w:cs="仿宋_GB2312"/>
              </w:rPr>
            </w:pPr>
          </w:p>
        </w:tc>
        <w:tc>
          <w:tcPr>
            <w:tcW w:w="2268"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服务对象满意度指标</w:t>
            </w:r>
          </w:p>
        </w:tc>
        <w:tc>
          <w:tcPr>
            <w:tcW w:w="198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学校满意度</w:t>
            </w:r>
          </w:p>
        </w:tc>
        <w:tc>
          <w:tcPr>
            <w:tcW w:w="3402"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在校教师满意度</w:t>
            </w:r>
          </w:p>
        </w:tc>
        <w:tc>
          <w:tcPr>
            <w:tcW w:w="1843"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≥95%</w:t>
            </w:r>
          </w:p>
        </w:tc>
        <w:tc>
          <w:tcPr>
            <w:tcW w:w="215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240" w:lineRule="auto"/>
              <w:jc w:val="center"/>
              <w:rPr>
                <w:rFonts w:hint="eastAsia" w:ascii="仿宋_GB2312" w:hAnsi="仿宋_GB2312" w:eastAsia="仿宋_GB2312" w:cs="仿宋_GB2312"/>
              </w:rPr>
            </w:pPr>
          </w:p>
        </w:tc>
        <w:tc>
          <w:tcPr>
            <w:tcW w:w="2268"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服务对象满意度指标</w:t>
            </w:r>
          </w:p>
        </w:tc>
        <w:tc>
          <w:tcPr>
            <w:tcW w:w="198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家长满意度</w:t>
            </w:r>
          </w:p>
        </w:tc>
        <w:tc>
          <w:tcPr>
            <w:tcW w:w="3402"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所教班级家长满意度</w:t>
            </w:r>
          </w:p>
        </w:tc>
        <w:tc>
          <w:tcPr>
            <w:tcW w:w="1843"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≥95%</w:t>
            </w:r>
          </w:p>
        </w:tc>
        <w:tc>
          <w:tcPr>
            <w:tcW w:w="2155" w:type="dxa"/>
            <w:shd w:val="clear" w:color="auto" w:fill="auto"/>
            <w:vAlign w:val="center"/>
          </w:tcPr>
          <w:p>
            <w:pPr>
              <w:pStyle w:val="14"/>
              <w:spacing w:line="240" w:lineRule="auto"/>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调查问卷</w:t>
            </w:r>
          </w:p>
        </w:tc>
      </w:tr>
    </w:tbl>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79"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spacing w:line="579" w:lineRule="exact"/>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spacing w:line="579" w:lineRule="exact"/>
        <w:jc w:val="left"/>
        <w:outlineLvl w:val="1"/>
        <w:rPr>
          <w:rFonts w:ascii="方正小标宋_GBK" w:eastAsia="方正小标宋_GBK" w:cs="Times New Roman"/>
          <w:sz w:val="32"/>
        </w:rPr>
      </w:pPr>
      <w:r>
        <w:t>***廊坊市</w:t>
      </w:r>
      <w:r>
        <w:rPr>
          <w:rFonts w:hint="eastAsia"/>
        </w:rPr>
        <w:t>广阳区第一幼儿园*</w:t>
      </w:r>
      <w:r>
        <w:t>**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spacing w:line="579" w:lineRule="exact"/>
            </w:pPr>
            <w:r>
              <w:t>政府采购项目来源</w:t>
            </w:r>
          </w:p>
        </w:tc>
        <w:tc>
          <w:tcPr>
            <w:tcW w:w="1134" w:type="dxa"/>
            <w:vMerge w:val="restart"/>
            <w:vAlign w:val="center"/>
          </w:tcPr>
          <w:p>
            <w:pPr>
              <w:pStyle w:val="12"/>
              <w:spacing w:line="579" w:lineRule="exact"/>
            </w:pPr>
            <w:r>
              <w:t>采购物品名称</w:t>
            </w:r>
          </w:p>
        </w:tc>
        <w:tc>
          <w:tcPr>
            <w:tcW w:w="1134" w:type="dxa"/>
            <w:vMerge w:val="restart"/>
            <w:vAlign w:val="center"/>
          </w:tcPr>
          <w:p>
            <w:pPr>
              <w:pStyle w:val="12"/>
              <w:spacing w:line="579" w:lineRule="exact"/>
            </w:pPr>
            <w:r>
              <w:t>政府采购目录序号</w:t>
            </w:r>
          </w:p>
        </w:tc>
        <w:tc>
          <w:tcPr>
            <w:tcW w:w="709" w:type="dxa"/>
            <w:vMerge w:val="restart"/>
            <w:vAlign w:val="center"/>
          </w:tcPr>
          <w:p>
            <w:pPr>
              <w:pStyle w:val="12"/>
              <w:spacing w:line="579" w:lineRule="exact"/>
            </w:pPr>
            <w:r>
              <w:t>计量  单位</w:t>
            </w:r>
          </w:p>
        </w:tc>
        <w:tc>
          <w:tcPr>
            <w:tcW w:w="850" w:type="dxa"/>
            <w:vMerge w:val="restart"/>
            <w:vAlign w:val="center"/>
          </w:tcPr>
          <w:p>
            <w:pPr>
              <w:pStyle w:val="12"/>
              <w:spacing w:line="579" w:lineRule="exact"/>
            </w:pPr>
            <w:r>
              <w:t>数量</w:t>
            </w:r>
          </w:p>
        </w:tc>
        <w:tc>
          <w:tcPr>
            <w:tcW w:w="850" w:type="dxa"/>
            <w:vMerge w:val="restart"/>
            <w:vAlign w:val="center"/>
          </w:tcPr>
          <w:p>
            <w:pPr>
              <w:pStyle w:val="12"/>
              <w:spacing w:line="579" w:lineRule="exact"/>
            </w:pPr>
            <w:r>
              <w:t>单价</w:t>
            </w:r>
          </w:p>
        </w:tc>
        <w:tc>
          <w:tcPr>
            <w:tcW w:w="7712" w:type="dxa"/>
            <w:gridSpan w:val="8"/>
            <w:vAlign w:val="center"/>
          </w:tcPr>
          <w:p>
            <w:pPr>
              <w:pStyle w:val="12"/>
              <w:spacing w:line="579" w:lineRule="exact"/>
            </w:pPr>
            <w:r>
              <w:t>政府采购金额（当年部门预算安排资金）</w:t>
            </w:r>
          </w:p>
        </w:tc>
        <w:tc>
          <w:tcPr>
            <w:tcW w:w="964" w:type="dxa"/>
            <w:vMerge w:val="restart"/>
            <w:vAlign w:val="center"/>
          </w:tcPr>
          <w:p>
            <w:pPr>
              <w:pStyle w:val="12"/>
              <w:spacing w:line="579" w:lineRule="exact"/>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spacing w:line="579" w:lineRule="exact"/>
            </w:pPr>
            <w:r>
              <w:t>项目名称</w:t>
            </w:r>
          </w:p>
        </w:tc>
        <w:tc>
          <w:tcPr>
            <w:tcW w:w="964" w:type="dxa"/>
            <w:vAlign w:val="center"/>
          </w:tcPr>
          <w:p>
            <w:pPr>
              <w:pStyle w:val="12"/>
              <w:spacing w:line="579" w:lineRule="exact"/>
            </w:pPr>
            <w:r>
              <w:t>预算    资金</w:t>
            </w:r>
          </w:p>
        </w:tc>
        <w:tc>
          <w:tcPr>
            <w:tcW w:w="1134" w:type="dxa"/>
            <w:vMerge w:val="continue"/>
          </w:tcPr>
          <w:p>
            <w:pPr>
              <w:spacing w:line="579" w:lineRule="exact"/>
            </w:pPr>
          </w:p>
        </w:tc>
        <w:tc>
          <w:tcPr>
            <w:tcW w:w="1134" w:type="dxa"/>
            <w:vMerge w:val="continue"/>
          </w:tcPr>
          <w:p>
            <w:pPr>
              <w:spacing w:line="579" w:lineRule="exact"/>
            </w:pPr>
          </w:p>
        </w:tc>
        <w:tc>
          <w:tcPr>
            <w:tcW w:w="709" w:type="dxa"/>
            <w:vMerge w:val="continue"/>
          </w:tcPr>
          <w:p>
            <w:pPr>
              <w:spacing w:line="579" w:lineRule="exact"/>
            </w:pPr>
          </w:p>
        </w:tc>
        <w:tc>
          <w:tcPr>
            <w:tcW w:w="850" w:type="dxa"/>
            <w:vMerge w:val="continue"/>
          </w:tcPr>
          <w:p>
            <w:pPr>
              <w:spacing w:line="579" w:lineRule="exact"/>
            </w:pPr>
          </w:p>
        </w:tc>
        <w:tc>
          <w:tcPr>
            <w:tcW w:w="850" w:type="dxa"/>
            <w:vMerge w:val="continue"/>
          </w:tcPr>
          <w:p>
            <w:pPr>
              <w:spacing w:line="579" w:lineRule="exact"/>
            </w:pPr>
          </w:p>
        </w:tc>
        <w:tc>
          <w:tcPr>
            <w:tcW w:w="964" w:type="dxa"/>
            <w:vAlign w:val="center"/>
          </w:tcPr>
          <w:p>
            <w:pPr>
              <w:pStyle w:val="12"/>
              <w:spacing w:line="579" w:lineRule="exact"/>
            </w:pPr>
            <w:r>
              <w:t>合计</w:t>
            </w:r>
          </w:p>
        </w:tc>
        <w:tc>
          <w:tcPr>
            <w:tcW w:w="964" w:type="dxa"/>
            <w:vAlign w:val="center"/>
          </w:tcPr>
          <w:p>
            <w:pPr>
              <w:pStyle w:val="12"/>
              <w:spacing w:line="579" w:lineRule="exact"/>
            </w:pPr>
            <w:r>
              <w:t>一般公共预算拨款</w:t>
            </w:r>
          </w:p>
        </w:tc>
        <w:tc>
          <w:tcPr>
            <w:tcW w:w="964" w:type="dxa"/>
            <w:vAlign w:val="center"/>
          </w:tcPr>
          <w:p>
            <w:pPr>
              <w:pStyle w:val="12"/>
              <w:spacing w:line="579" w:lineRule="exact"/>
            </w:pPr>
            <w:r>
              <w:t>基金预算拨款</w:t>
            </w:r>
          </w:p>
        </w:tc>
        <w:tc>
          <w:tcPr>
            <w:tcW w:w="964" w:type="dxa"/>
            <w:vAlign w:val="center"/>
          </w:tcPr>
          <w:p>
            <w:pPr>
              <w:pStyle w:val="12"/>
              <w:spacing w:line="579" w:lineRule="exact"/>
            </w:pPr>
            <w:r>
              <w:t>国有资本经营预算拨款</w:t>
            </w:r>
          </w:p>
        </w:tc>
        <w:tc>
          <w:tcPr>
            <w:tcW w:w="964" w:type="dxa"/>
            <w:vAlign w:val="center"/>
          </w:tcPr>
          <w:p>
            <w:pPr>
              <w:pStyle w:val="12"/>
              <w:spacing w:line="579" w:lineRule="exact"/>
            </w:pPr>
            <w:r>
              <w:t>财政专户核拨</w:t>
            </w:r>
          </w:p>
        </w:tc>
        <w:tc>
          <w:tcPr>
            <w:tcW w:w="964" w:type="dxa"/>
            <w:vAlign w:val="center"/>
          </w:tcPr>
          <w:p>
            <w:pPr>
              <w:pStyle w:val="12"/>
              <w:spacing w:line="579" w:lineRule="exact"/>
            </w:pPr>
            <w:r>
              <w:t>单位    资金</w:t>
            </w:r>
          </w:p>
        </w:tc>
        <w:tc>
          <w:tcPr>
            <w:tcW w:w="964" w:type="dxa"/>
            <w:vAlign w:val="center"/>
          </w:tcPr>
          <w:p>
            <w:pPr>
              <w:pStyle w:val="12"/>
              <w:spacing w:line="579" w:lineRule="exact"/>
            </w:pPr>
            <w:r>
              <w:t>财政拨    款结转</w:t>
            </w:r>
          </w:p>
        </w:tc>
        <w:tc>
          <w:tcPr>
            <w:tcW w:w="964" w:type="dxa"/>
            <w:vAlign w:val="center"/>
          </w:tcPr>
          <w:p>
            <w:pPr>
              <w:pStyle w:val="12"/>
              <w:spacing w:line="579" w:lineRule="exact"/>
            </w:pPr>
            <w:r>
              <w:t>非财政    拨款结    转结余</w:t>
            </w:r>
          </w:p>
        </w:tc>
        <w:tc>
          <w:tcPr>
            <w:tcW w:w="964" w:type="dxa"/>
            <w:vMerge w:val="continue"/>
          </w:tcPr>
          <w:p>
            <w:pPr>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spacing w:line="579" w:lineRule="exact"/>
            </w:pPr>
            <w:r>
              <w:t>合  计</w:t>
            </w:r>
          </w:p>
        </w:tc>
        <w:tc>
          <w:tcPr>
            <w:tcW w:w="964" w:type="dxa"/>
            <w:vAlign w:val="center"/>
          </w:tcPr>
          <w:p>
            <w:pPr>
              <w:pStyle w:val="17"/>
              <w:spacing w:line="579" w:lineRule="exact"/>
            </w:pPr>
          </w:p>
        </w:tc>
        <w:tc>
          <w:tcPr>
            <w:tcW w:w="1134" w:type="dxa"/>
            <w:vAlign w:val="center"/>
          </w:tcPr>
          <w:p>
            <w:pPr>
              <w:pStyle w:val="18"/>
              <w:spacing w:line="579" w:lineRule="exact"/>
            </w:pPr>
          </w:p>
        </w:tc>
        <w:tc>
          <w:tcPr>
            <w:tcW w:w="1134" w:type="dxa"/>
            <w:vAlign w:val="center"/>
          </w:tcPr>
          <w:p>
            <w:pPr>
              <w:pStyle w:val="18"/>
              <w:spacing w:line="579" w:lineRule="exact"/>
            </w:pPr>
          </w:p>
        </w:tc>
        <w:tc>
          <w:tcPr>
            <w:tcW w:w="709" w:type="dxa"/>
            <w:vAlign w:val="center"/>
          </w:tcPr>
          <w:p>
            <w:pPr>
              <w:pStyle w:val="16"/>
              <w:spacing w:line="579" w:lineRule="exact"/>
            </w:pPr>
          </w:p>
        </w:tc>
        <w:tc>
          <w:tcPr>
            <w:tcW w:w="850" w:type="dxa"/>
            <w:vAlign w:val="center"/>
          </w:tcPr>
          <w:p>
            <w:pPr>
              <w:pStyle w:val="17"/>
              <w:spacing w:line="579" w:lineRule="exact"/>
            </w:pPr>
          </w:p>
        </w:tc>
        <w:tc>
          <w:tcPr>
            <w:tcW w:w="850"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spacing w:line="579" w:lineRule="exact"/>
            </w:pPr>
          </w:p>
        </w:tc>
        <w:tc>
          <w:tcPr>
            <w:tcW w:w="964" w:type="dxa"/>
            <w:vAlign w:val="center"/>
          </w:tcPr>
          <w:p>
            <w:pPr>
              <w:pStyle w:val="17"/>
              <w:spacing w:line="579" w:lineRule="exact"/>
            </w:pPr>
          </w:p>
        </w:tc>
        <w:tc>
          <w:tcPr>
            <w:tcW w:w="1134" w:type="dxa"/>
            <w:vAlign w:val="center"/>
          </w:tcPr>
          <w:p>
            <w:pPr>
              <w:pStyle w:val="18"/>
              <w:spacing w:line="579" w:lineRule="exact"/>
            </w:pPr>
          </w:p>
        </w:tc>
        <w:tc>
          <w:tcPr>
            <w:tcW w:w="1134" w:type="dxa"/>
            <w:vAlign w:val="center"/>
          </w:tcPr>
          <w:p>
            <w:pPr>
              <w:pStyle w:val="18"/>
              <w:spacing w:line="579" w:lineRule="exact"/>
            </w:pPr>
          </w:p>
        </w:tc>
        <w:tc>
          <w:tcPr>
            <w:tcW w:w="709" w:type="dxa"/>
            <w:vAlign w:val="center"/>
          </w:tcPr>
          <w:p>
            <w:pPr>
              <w:pStyle w:val="16"/>
              <w:spacing w:line="579" w:lineRule="exact"/>
            </w:pPr>
          </w:p>
        </w:tc>
        <w:tc>
          <w:tcPr>
            <w:tcW w:w="850" w:type="dxa"/>
            <w:vAlign w:val="center"/>
          </w:tcPr>
          <w:p>
            <w:pPr>
              <w:pStyle w:val="17"/>
              <w:spacing w:line="579" w:lineRule="exact"/>
            </w:pPr>
          </w:p>
        </w:tc>
        <w:tc>
          <w:tcPr>
            <w:tcW w:w="850"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spacing w:line="579" w:lineRule="exact"/>
            </w:pPr>
          </w:p>
        </w:tc>
        <w:tc>
          <w:tcPr>
            <w:tcW w:w="964" w:type="dxa"/>
            <w:vAlign w:val="center"/>
          </w:tcPr>
          <w:p>
            <w:pPr>
              <w:pStyle w:val="13"/>
              <w:spacing w:line="579" w:lineRule="exact"/>
            </w:pPr>
          </w:p>
        </w:tc>
        <w:tc>
          <w:tcPr>
            <w:tcW w:w="1134" w:type="dxa"/>
            <w:vAlign w:val="center"/>
          </w:tcPr>
          <w:p>
            <w:pPr>
              <w:pStyle w:val="14"/>
              <w:spacing w:line="579" w:lineRule="exact"/>
            </w:pPr>
          </w:p>
        </w:tc>
        <w:tc>
          <w:tcPr>
            <w:tcW w:w="1134" w:type="dxa"/>
            <w:vAlign w:val="center"/>
          </w:tcPr>
          <w:p>
            <w:pPr>
              <w:pStyle w:val="14"/>
              <w:spacing w:line="579" w:lineRule="exact"/>
            </w:pPr>
          </w:p>
        </w:tc>
        <w:tc>
          <w:tcPr>
            <w:tcW w:w="709" w:type="dxa"/>
            <w:vAlign w:val="center"/>
          </w:tcPr>
          <w:p>
            <w:pPr>
              <w:pStyle w:val="15"/>
              <w:spacing w:line="579" w:lineRule="exact"/>
            </w:pPr>
          </w:p>
        </w:tc>
        <w:tc>
          <w:tcPr>
            <w:tcW w:w="850" w:type="dxa"/>
            <w:vAlign w:val="center"/>
          </w:tcPr>
          <w:p>
            <w:pPr>
              <w:pStyle w:val="13"/>
              <w:spacing w:line="579" w:lineRule="exact"/>
            </w:pPr>
          </w:p>
        </w:tc>
        <w:tc>
          <w:tcPr>
            <w:tcW w:w="850"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spacing w:line="579" w:lineRule="exact"/>
            </w:pPr>
          </w:p>
        </w:tc>
        <w:tc>
          <w:tcPr>
            <w:tcW w:w="964" w:type="dxa"/>
            <w:vAlign w:val="center"/>
          </w:tcPr>
          <w:p>
            <w:pPr>
              <w:pStyle w:val="13"/>
              <w:spacing w:line="579" w:lineRule="exact"/>
            </w:pPr>
          </w:p>
        </w:tc>
        <w:tc>
          <w:tcPr>
            <w:tcW w:w="1134" w:type="dxa"/>
            <w:vAlign w:val="center"/>
          </w:tcPr>
          <w:p>
            <w:pPr>
              <w:pStyle w:val="14"/>
              <w:spacing w:line="579" w:lineRule="exact"/>
            </w:pPr>
          </w:p>
        </w:tc>
        <w:tc>
          <w:tcPr>
            <w:tcW w:w="1134" w:type="dxa"/>
            <w:vAlign w:val="center"/>
          </w:tcPr>
          <w:p>
            <w:pPr>
              <w:pStyle w:val="14"/>
              <w:spacing w:line="579" w:lineRule="exact"/>
            </w:pPr>
          </w:p>
        </w:tc>
        <w:tc>
          <w:tcPr>
            <w:tcW w:w="709" w:type="dxa"/>
            <w:vAlign w:val="center"/>
          </w:tcPr>
          <w:p>
            <w:pPr>
              <w:pStyle w:val="15"/>
              <w:spacing w:line="579" w:lineRule="exact"/>
            </w:pPr>
          </w:p>
        </w:tc>
        <w:tc>
          <w:tcPr>
            <w:tcW w:w="850" w:type="dxa"/>
            <w:vAlign w:val="center"/>
          </w:tcPr>
          <w:p>
            <w:pPr>
              <w:pStyle w:val="13"/>
              <w:spacing w:line="579" w:lineRule="exact"/>
            </w:pPr>
          </w:p>
        </w:tc>
        <w:tc>
          <w:tcPr>
            <w:tcW w:w="850"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spacing w:line="579" w:lineRule="exact"/>
            </w:pPr>
          </w:p>
        </w:tc>
        <w:tc>
          <w:tcPr>
            <w:tcW w:w="964" w:type="dxa"/>
            <w:vAlign w:val="center"/>
          </w:tcPr>
          <w:p>
            <w:pPr>
              <w:pStyle w:val="13"/>
              <w:spacing w:line="579" w:lineRule="exact"/>
            </w:pPr>
          </w:p>
        </w:tc>
        <w:tc>
          <w:tcPr>
            <w:tcW w:w="1134" w:type="dxa"/>
            <w:vAlign w:val="center"/>
          </w:tcPr>
          <w:p>
            <w:pPr>
              <w:pStyle w:val="14"/>
              <w:spacing w:line="579" w:lineRule="exact"/>
            </w:pPr>
          </w:p>
        </w:tc>
        <w:tc>
          <w:tcPr>
            <w:tcW w:w="1134" w:type="dxa"/>
            <w:vAlign w:val="center"/>
          </w:tcPr>
          <w:p>
            <w:pPr>
              <w:pStyle w:val="14"/>
              <w:spacing w:line="579" w:lineRule="exact"/>
            </w:pPr>
          </w:p>
        </w:tc>
        <w:tc>
          <w:tcPr>
            <w:tcW w:w="709" w:type="dxa"/>
            <w:vAlign w:val="center"/>
          </w:tcPr>
          <w:p>
            <w:pPr>
              <w:pStyle w:val="15"/>
              <w:spacing w:line="579" w:lineRule="exact"/>
            </w:pPr>
          </w:p>
        </w:tc>
        <w:tc>
          <w:tcPr>
            <w:tcW w:w="850" w:type="dxa"/>
            <w:vAlign w:val="center"/>
          </w:tcPr>
          <w:p>
            <w:pPr>
              <w:pStyle w:val="13"/>
              <w:spacing w:line="579" w:lineRule="exact"/>
            </w:pPr>
          </w:p>
        </w:tc>
        <w:tc>
          <w:tcPr>
            <w:tcW w:w="850"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r>
    </w:tbl>
    <w:p>
      <w:pPr>
        <w:spacing w:line="579"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79" w:lineRule="exact"/>
        <w:ind w:firstLine="420"/>
        <w:rPr>
          <w:rFonts w:ascii="方正仿宋_GBK" w:hAnsi="方正仿宋_GBK" w:eastAsia="方正仿宋_GBK" w:cs="方正仿宋_GBK"/>
          <w:color w:val="000000"/>
        </w:rPr>
      </w:pPr>
    </w:p>
    <w:p>
      <w:pPr>
        <w:spacing w:line="579"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广阳区第一幼儿园</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315.15</w:t>
      </w:r>
      <w:r>
        <w:rPr>
          <w:rFonts w:ascii="Times New Roman" w:hAnsi="Times New Roman" w:eastAsia="仿宋_GB2312" w:cs="Times New Roman"/>
          <w:sz w:val="32"/>
          <w:szCs w:val="32"/>
        </w:rPr>
        <w:t>万元，本年度我部门拟购置固定资产</w:t>
      </w:r>
      <w:r>
        <w:rPr>
          <w:rFonts w:hint="eastAsia" w:ascii="Times New Roman" w:hAnsi="Times New Roman" w:eastAsia="仿宋_GB2312" w:cs="Times New Roman"/>
          <w:sz w:val="32"/>
          <w:szCs w:val="32"/>
        </w:rPr>
        <w:t>总额为10万元，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8台交互平板大屏</w:t>
      </w:r>
      <w:r>
        <w:rPr>
          <w:rFonts w:ascii="Times New Roman" w:hAnsi="Times New Roman" w:eastAsia="仿宋_GB2312" w:cs="Times New Roman"/>
          <w:sz w:val="32"/>
          <w:szCs w:val="32"/>
        </w:rPr>
        <w:t>。</w:t>
      </w:r>
    </w:p>
    <w:p>
      <w:pPr>
        <w:spacing w:line="579"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79"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79"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广阳区第一幼儿园</w:t>
            </w:r>
          </w:p>
        </w:tc>
        <w:tc>
          <w:tcPr>
            <w:tcW w:w="5103" w:type="dxa"/>
            <w:tcBorders>
              <w:top w:val="nil"/>
              <w:left w:val="nil"/>
              <w:bottom w:val="nil"/>
              <w:right w:val="nil"/>
            </w:tcBorders>
            <w:shd w:val="clear" w:color="auto" w:fill="auto"/>
            <w:noWrap/>
            <w:vAlign w:val="center"/>
          </w:tcPr>
          <w:p>
            <w:pPr>
              <w:widowControl/>
              <w:spacing w:line="579"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32"/>
                <w:szCs w:val="32"/>
              </w:rPr>
              <w:t>315.15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1908.34</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1,800</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4506</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185.15</w:t>
            </w:r>
          </w:p>
        </w:tc>
      </w:tr>
    </w:tbl>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79"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42D32"/>
    <w:rsid w:val="000F6018"/>
    <w:rsid w:val="0012502E"/>
    <w:rsid w:val="001D3FC1"/>
    <w:rsid w:val="0025632D"/>
    <w:rsid w:val="003059E0"/>
    <w:rsid w:val="003168B2"/>
    <w:rsid w:val="00391C68"/>
    <w:rsid w:val="004149CC"/>
    <w:rsid w:val="004A54AA"/>
    <w:rsid w:val="004B131B"/>
    <w:rsid w:val="005652BA"/>
    <w:rsid w:val="00586496"/>
    <w:rsid w:val="006365B6"/>
    <w:rsid w:val="006604E3"/>
    <w:rsid w:val="0071242F"/>
    <w:rsid w:val="007F1C88"/>
    <w:rsid w:val="00872BD7"/>
    <w:rsid w:val="00890CC6"/>
    <w:rsid w:val="00944233"/>
    <w:rsid w:val="009B301B"/>
    <w:rsid w:val="009C1FE4"/>
    <w:rsid w:val="00A442E4"/>
    <w:rsid w:val="00A95870"/>
    <w:rsid w:val="00B40732"/>
    <w:rsid w:val="00B80935"/>
    <w:rsid w:val="00B83722"/>
    <w:rsid w:val="00D347CC"/>
    <w:rsid w:val="00D3558A"/>
    <w:rsid w:val="00D874E1"/>
    <w:rsid w:val="00DC72B4"/>
    <w:rsid w:val="00E47057"/>
    <w:rsid w:val="00EB1DB3"/>
    <w:rsid w:val="00ED2389"/>
    <w:rsid w:val="00F253EB"/>
    <w:rsid w:val="00F62E7E"/>
    <w:rsid w:val="00FF46B6"/>
    <w:rsid w:val="0CEC1180"/>
    <w:rsid w:val="40724AC6"/>
    <w:rsid w:val="472043FB"/>
    <w:rsid w:val="4CEC5B1B"/>
    <w:rsid w:val="56C263D1"/>
    <w:rsid w:val="594C6F59"/>
    <w:rsid w:val="73693C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1">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002FF1-FA4E-4501-AC9E-8D7D56A4BAD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841</Words>
  <Characters>4795</Characters>
  <Lines>39</Lines>
  <Paragraphs>11</Paragraphs>
  <TotalTime>53</TotalTime>
  <ScaleCrop>false</ScaleCrop>
  <LinksUpToDate>false</LinksUpToDate>
  <CharactersWithSpaces>5625</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2022-07-07T02:16:16Z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665DE41880844F56BF8E7DBAFFCAB804</vt:lpwstr>
  </property>
</Properties>
</file>