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廊坊市</w:t>
      </w:r>
      <w:r>
        <w:rPr>
          <w:rFonts w:hint="eastAsia" w:ascii="Times New Roman" w:hAnsi="Times New Roman" w:eastAsia="方正小标宋简体" w:cs="Times New Roman"/>
          <w:sz w:val="44"/>
          <w:szCs w:val="44"/>
        </w:rPr>
        <w:t>广阳区</w:t>
      </w:r>
      <w:bookmarkStart w:id="3" w:name="_GoBack"/>
      <w:r>
        <w:rPr>
          <w:rFonts w:hint="eastAsia" w:ascii="Times New Roman" w:hAnsi="Times New Roman" w:eastAsia="方正小标宋简体" w:cs="Times New Roman"/>
          <w:sz w:val="44"/>
          <w:szCs w:val="44"/>
        </w:rPr>
        <w:t>第二幼儿园</w:t>
      </w:r>
      <w:r>
        <w:rPr>
          <w:rFonts w:ascii="Times New Roman" w:hAnsi="Times New Roman" w:eastAsia="方正小标宋简体" w:cs="Times New Roman"/>
          <w:sz w:val="44"/>
          <w:szCs w:val="44"/>
        </w:rPr>
        <w:t>20</w:t>
      </w:r>
      <w:r>
        <w:rPr>
          <w:rFonts w:hint="eastAsia" w:ascii="Times New Roman" w:hAnsi="Times New Roman" w:eastAsia="方正小标宋简体" w:cs="Times New Roman"/>
          <w:sz w:val="44"/>
          <w:szCs w:val="44"/>
        </w:rPr>
        <w:t>2</w:t>
      </w:r>
      <w:r>
        <w:rPr>
          <w:rFonts w:ascii="Times New Roman" w:hAnsi="Times New Roman" w:eastAsia="方正小标宋简体" w:cs="Times New Roman"/>
          <w:sz w:val="44"/>
          <w:szCs w:val="44"/>
        </w:rPr>
        <w:t>2年部门预算信息公开</w:t>
      </w:r>
      <w:r>
        <w:rPr>
          <w:rFonts w:hint="eastAsia" w:ascii="Times New Roman" w:hAnsi="Times New Roman" w:eastAsia="方正小标宋简体" w:cs="Times New Roman"/>
          <w:sz w:val="44"/>
          <w:szCs w:val="44"/>
        </w:rPr>
        <w:t>情况说明</w:t>
      </w:r>
      <w:bookmarkEnd w:id="3"/>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按照《中华人民共和国预算法》、《中华人民共和国预算法实施条例》、《地方预决算公开操作规程》和《河北省省级预算公开办法》规定，现将廊坊市</w:t>
      </w:r>
      <w:r>
        <w:rPr>
          <w:rFonts w:hint="eastAsia" w:ascii="Times New Roman" w:hAnsi="Times New Roman" w:eastAsia="仿宋_GB2312" w:cs="Times New Roman"/>
          <w:sz w:val="32"/>
          <w:szCs w:val="32"/>
        </w:rPr>
        <w:t>广阳区第二幼儿园</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2年部门预算公开如下：</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一、部门职责及机构设置情况</w:t>
      </w:r>
    </w:p>
    <w:p>
      <w:pPr>
        <w:spacing w:line="584" w:lineRule="exact"/>
        <w:ind w:firstLine="643" w:firstLineChars="200"/>
        <w:rPr>
          <w:rFonts w:ascii="Times New Roman" w:hAnsi="Times New Roman" w:eastAsia="楷体_GB2312" w:cs="Times New Roman"/>
          <w:b/>
          <w:sz w:val="32"/>
          <w:szCs w:val="32"/>
        </w:rPr>
      </w:pPr>
      <w:r>
        <w:rPr>
          <w:rFonts w:ascii="Times New Roman" w:hAnsi="Times New Roman" w:eastAsia="楷体_GB2312" w:cs="Times New Roman"/>
          <w:b/>
          <w:sz w:val="32"/>
          <w:szCs w:val="32"/>
        </w:rPr>
        <w:t>部门职责：</w:t>
      </w:r>
    </w:p>
    <w:p>
      <w:pPr>
        <w:spacing w:line="584" w:lineRule="exact"/>
        <w:ind w:firstLine="660"/>
        <w:rPr>
          <w:rFonts w:ascii="Times New Roman" w:hAnsi="Times New Roman" w:eastAsia="仿宋_GB2312" w:cs="Times New Roman"/>
          <w:sz w:val="32"/>
          <w:szCs w:val="32"/>
        </w:rPr>
      </w:pPr>
      <w:r>
        <w:rPr>
          <w:rFonts w:hint="eastAsia" w:ascii="仿宋_GB2312" w:eastAsia="仿宋_GB2312"/>
          <w:sz w:val="32"/>
          <w:szCs w:val="32"/>
        </w:rPr>
        <w:t>贯彻执行党和国家的教育方针、政策、法律法规，对3周岁以上幼儿进行保育和教育。</w:t>
      </w: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r>
        <w:rPr>
          <w:rFonts w:ascii="Times New Roman" w:hAnsi="Times New Roman" w:eastAsia="楷体_GB2312" w:cs="Times New Roman"/>
          <w:b/>
          <w:sz w:val="32"/>
          <w:szCs w:val="32"/>
        </w:rPr>
        <w:t>机构设置：</w:t>
      </w:r>
    </w:p>
    <w:p>
      <w:pPr>
        <w:spacing w:line="584" w:lineRule="exact"/>
        <w:jc w:val="center"/>
        <w:outlineLvl w:val="0"/>
        <w:rPr>
          <w:rFonts w:ascii="Times New Roman" w:hAnsi="Times New Roman" w:eastAsia="仿宋_GB2312" w:cs="Times New Roman"/>
          <w:b/>
          <w:sz w:val="32"/>
          <w:szCs w:val="24"/>
        </w:rPr>
      </w:pPr>
      <w:r>
        <w:rPr>
          <w:rFonts w:ascii="Times New Roman" w:hAnsi="Times New Roman" w:eastAsia="仿宋_GB2312" w:cs="Times New Roman"/>
          <w:b/>
          <w:sz w:val="32"/>
          <w:szCs w:val="24"/>
        </w:rPr>
        <w:t>部门机构设置情况</w:t>
      </w:r>
    </w:p>
    <w:tbl>
      <w:tblPr>
        <w:tblStyle w:val="8"/>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restart"/>
            <w:noWrap w:val="0"/>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单位名称</w:t>
            </w:r>
          </w:p>
        </w:tc>
        <w:tc>
          <w:tcPr>
            <w:tcW w:w="1134" w:type="dxa"/>
            <w:vMerge w:val="restart"/>
            <w:noWrap w:val="0"/>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单位性质</w:t>
            </w:r>
          </w:p>
        </w:tc>
        <w:tc>
          <w:tcPr>
            <w:tcW w:w="1276" w:type="dxa"/>
            <w:vMerge w:val="restart"/>
            <w:noWrap w:val="0"/>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单位规格</w:t>
            </w:r>
          </w:p>
        </w:tc>
        <w:tc>
          <w:tcPr>
            <w:tcW w:w="2902" w:type="dxa"/>
            <w:vMerge w:val="restart"/>
            <w:noWrap w:val="0"/>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continue"/>
            <w:noWrap w:val="0"/>
            <w:vAlign w:val="center"/>
          </w:tcPr>
          <w:p/>
        </w:tc>
        <w:tc>
          <w:tcPr>
            <w:tcW w:w="1134" w:type="dxa"/>
            <w:vMerge w:val="continue"/>
            <w:noWrap w:val="0"/>
            <w:vAlign w:val="center"/>
          </w:tcPr>
          <w:p/>
        </w:tc>
        <w:tc>
          <w:tcPr>
            <w:tcW w:w="1276" w:type="dxa"/>
            <w:vMerge w:val="continue"/>
            <w:noWrap w:val="0"/>
            <w:vAlign w:val="center"/>
          </w:tcPr>
          <w:p/>
        </w:tc>
        <w:tc>
          <w:tcPr>
            <w:tcW w:w="2902" w:type="dxa"/>
            <w:vMerge w:val="continue"/>
            <w:noWrap w:val="0"/>
            <w:vAlign w:val="center"/>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noWrap w:val="0"/>
            <w:vAlign w:val="top"/>
          </w:tcPr>
          <w:p>
            <w:r>
              <w:rPr>
                <w:rFonts w:hint="eastAsia"/>
              </w:rPr>
              <w:t>廊坊市广阳区第二幼儿园</w:t>
            </w:r>
          </w:p>
        </w:tc>
        <w:tc>
          <w:tcPr>
            <w:tcW w:w="1134" w:type="dxa"/>
            <w:noWrap w:val="0"/>
            <w:vAlign w:val="top"/>
          </w:tcPr>
          <w:p>
            <w:r>
              <w:rPr>
                <w:rFonts w:hint="eastAsia"/>
              </w:rPr>
              <w:t>全额事业</w:t>
            </w:r>
          </w:p>
        </w:tc>
        <w:tc>
          <w:tcPr>
            <w:tcW w:w="1276" w:type="dxa"/>
            <w:noWrap w:val="0"/>
            <w:vAlign w:val="top"/>
          </w:tcPr>
          <w:p/>
        </w:tc>
        <w:tc>
          <w:tcPr>
            <w:tcW w:w="2902" w:type="dxa"/>
            <w:noWrap w:val="0"/>
            <w:vAlign w:val="top"/>
          </w:tcPr>
          <w:p>
            <w:r>
              <w:rPr>
                <w:rFonts w:hint="eastAsia"/>
              </w:rPr>
              <w:t>财政性资金基本保证</w:t>
            </w:r>
          </w:p>
        </w:tc>
      </w:tr>
    </w:tbl>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二、部门预算安排的总体情况</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按照预算管理有关规定，目前我</w:t>
      </w:r>
      <w:r>
        <w:rPr>
          <w:rFonts w:hint="eastAsia" w:ascii="Times New Roman" w:hAnsi="Times New Roman" w:eastAsia="仿宋_GB2312" w:cs="Times New Roman"/>
          <w:sz w:val="32"/>
          <w:szCs w:val="32"/>
        </w:rPr>
        <w:t>区</w:t>
      </w:r>
      <w:r>
        <w:rPr>
          <w:rFonts w:ascii="Times New Roman" w:hAnsi="Times New Roman" w:eastAsia="仿宋_GB2312" w:cs="Times New Roman"/>
          <w:sz w:val="32"/>
          <w:szCs w:val="32"/>
        </w:rPr>
        <w:t>部门预算的编制实行综合预算制度，即全部收入和支出都反映在预算中。廊坊市</w:t>
      </w:r>
      <w:r>
        <w:rPr>
          <w:rFonts w:hint="eastAsia" w:ascii="Times New Roman" w:hAnsi="Times New Roman" w:eastAsia="仿宋_GB2312" w:cs="Times New Roman"/>
          <w:sz w:val="32"/>
          <w:szCs w:val="32"/>
        </w:rPr>
        <w:t>广阳区第二幼儿园</w:t>
      </w:r>
      <w:r>
        <w:rPr>
          <w:rFonts w:ascii="Times New Roman" w:hAnsi="Times New Roman" w:eastAsia="仿宋_GB2312" w:cs="Times New Roman"/>
          <w:sz w:val="32"/>
          <w:szCs w:val="32"/>
        </w:rPr>
        <w:t>的收支包含在部门预算中。</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1、收入说明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反映本部门当年全部收入。20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2年预算收入</w:t>
      </w:r>
      <w:r>
        <w:rPr>
          <w:rFonts w:hint="eastAsia" w:ascii="Times New Roman" w:hAnsi="Times New Roman" w:eastAsia="仿宋_GB2312" w:cs="Times New Roman"/>
          <w:sz w:val="32"/>
          <w:szCs w:val="32"/>
        </w:rPr>
        <w:t>1010.63</w:t>
      </w:r>
      <w:r>
        <w:rPr>
          <w:rFonts w:ascii="Times New Roman" w:hAnsi="Times New Roman" w:eastAsia="仿宋_GB2312" w:cs="Times New Roman"/>
          <w:sz w:val="32"/>
          <w:szCs w:val="32"/>
        </w:rPr>
        <w:t>万元，其中：一般公共预算收入</w:t>
      </w:r>
      <w:r>
        <w:rPr>
          <w:rFonts w:hint="eastAsia" w:ascii="Times New Roman" w:hAnsi="Times New Roman" w:eastAsia="仿宋_GB2312" w:cs="Times New Roman"/>
          <w:sz w:val="32"/>
          <w:szCs w:val="32"/>
        </w:rPr>
        <w:t>1010.63</w:t>
      </w:r>
      <w:r>
        <w:rPr>
          <w:rFonts w:ascii="Times New Roman" w:hAnsi="Times New Roman" w:eastAsia="仿宋_GB2312" w:cs="Times New Roman"/>
          <w:sz w:val="32"/>
          <w:szCs w:val="32"/>
        </w:rPr>
        <w:t>万元，基金预算收入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万元，财政专户核拨收入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万元，其他来源收入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上年结转</w:t>
      </w:r>
      <w:r>
        <w:rPr>
          <w:rFonts w:hint="eastAsia" w:ascii="Times New Roman" w:hAnsi="Times New Roman" w:eastAsia="仿宋_GB2312" w:cs="Times New Roman"/>
          <w:sz w:val="32"/>
          <w:szCs w:val="32"/>
        </w:rPr>
        <w:t>0万元</w:t>
      </w:r>
      <w:r>
        <w:rPr>
          <w:rFonts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2、支出说明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收支预算总表支出栏、基本支出表、项目支出表按经济分类和支出功能分类科目编制，反映廊坊市</w:t>
      </w:r>
      <w:r>
        <w:rPr>
          <w:rFonts w:hint="eastAsia" w:ascii="Times New Roman" w:hAnsi="Times New Roman" w:eastAsia="仿宋_GB2312" w:cs="Times New Roman"/>
          <w:sz w:val="32"/>
          <w:szCs w:val="32"/>
        </w:rPr>
        <w:t>广阳区第二幼儿园2022</w:t>
      </w:r>
      <w:r>
        <w:rPr>
          <w:rFonts w:ascii="Times New Roman" w:hAnsi="Times New Roman" w:eastAsia="仿宋_GB2312" w:cs="Times New Roman"/>
          <w:sz w:val="32"/>
          <w:szCs w:val="32"/>
        </w:rPr>
        <w:t>年度部门预算中支出预算的总体情况。20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2年支出预算</w:t>
      </w:r>
      <w:r>
        <w:rPr>
          <w:rFonts w:hint="eastAsia" w:ascii="Times New Roman" w:hAnsi="Times New Roman" w:eastAsia="仿宋_GB2312" w:cs="Times New Roman"/>
          <w:sz w:val="32"/>
          <w:szCs w:val="32"/>
        </w:rPr>
        <w:t>1010.63</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rPr>
        <w:t>747.35</w:t>
      </w:r>
      <w:r>
        <w:rPr>
          <w:rFonts w:ascii="Times New Roman" w:hAnsi="Times New Roman" w:eastAsia="仿宋_GB2312" w:cs="Times New Roman"/>
          <w:sz w:val="32"/>
          <w:szCs w:val="32"/>
        </w:rPr>
        <w:t>万元，包括人员类项目经费</w:t>
      </w:r>
      <w:r>
        <w:rPr>
          <w:rFonts w:hint="eastAsia" w:ascii="Times New Roman" w:hAnsi="Times New Roman" w:eastAsia="仿宋_GB2312" w:cs="Times New Roman"/>
          <w:sz w:val="32"/>
          <w:szCs w:val="32"/>
        </w:rPr>
        <w:t>738.3</w:t>
      </w:r>
      <w:r>
        <w:rPr>
          <w:rFonts w:ascii="Times New Roman" w:hAnsi="Times New Roman" w:eastAsia="仿宋_GB2312" w:cs="Times New Roman"/>
          <w:sz w:val="32"/>
          <w:szCs w:val="32"/>
        </w:rPr>
        <w:t>万元和</w:t>
      </w:r>
      <w:r>
        <w:rPr>
          <w:rFonts w:hint="eastAsia" w:ascii="Times New Roman" w:hAnsi="Times New Roman" w:eastAsia="仿宋_GB2312" w:cs="Times New Roman"/>
          <w:sz w:val="32"/>
          <w:szCs w:val="32"/>
        </w:rPr>
        <w:t>运转类</w:t>
      </w:r>
      <w:r>
        <w:rPr>
          <w:rFonts w:ascii="Times New Roman" w:hAnsi="Times New Roman" w:eastAsia="仿宋_GB2312" w:cs="Times New Roman"/>
          <w:sz w:val="32"/>
          <w:szCs w:val="32"/>
        </w:rPr>
        <w:t>公用项目经费</w:t>
      </w:r>
      <w:r>
        <w:rPr>
          <w:rFonts w:hint="eastAsia" w:ascii="Times New Roman" w:hAnsi="Times New Roman" w:eastAsia="仿宋_GB2312" w:cs="Times New Roman"/>
          <w:sz w:val="32"/>
          <w:szCs w:val="32"/>
        </w:rPr>
        <w:t>9.05</w:t>
      </w:r>
      <w:r>
        <w:rPr>
          <w:rFonts w:ascii="Times New Roman" w:hAnsi="Times New Roman" w:eastAsia="仿宋_GB2312" w:cs="Times New Roman"/>
          <w:sz w:val="32"/>
          <w:szCs w:val="32"/>
        </w:rPr>
        <w:t>万元；运转类其他及特定目标类项目支出</w:t>
      </w:r>
      <w:r>
        <w:rPr>
          <w:rFonts w:hint="eastAsia" w:ascii="Times New Roman" w:hAnsi="Times New Roman" w:eastAsia="仿宋_GB2312" w:cs="Times New Roman"/>
          <w:sz w:val="32"/>
          <w:szCs w:val="32"/>
        </w:rPr>
        <w:t>263.28</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全部是</w:t>
      </w:r>
      <w:r>
        <w:rPr>
          <w:rFonts w:ascii="Times New Roman" w:hAnsi="Times New Roman" w:eastAsia="仿宋_GB2312" w:cs="Times New Roman"/>
          <w:sz w:val="32"/>
          <w:szCs w:val="32"/>
        </w:rPr>
        <w:t>本级支出主要为</w:t>
      </w:r>
      <w:r>
        <w:rPr>
          <w:rFonts w:hint="eastAsia" w:ascii="Times New Roman" w:hAnsi="Times New Roman" w:eastAsia="仿宋_GB2312" w:cs="Times New Roman"/>
          <w:sz w:val="32"/>
          <w:szCs w:val="32"/>
        </w:rPr>
        <w:t>合同制教师工资</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幼儿日常教学经费</w:t>
      </w:r>
      <w:r>
        <w:rPr>
          <w:rFonts w:ascii="Times New Roman" w:hAnsi="Times New Roman" w:eastAsia="仿宋_GB2312" w:cs="Times New Roman"/>
          <w:sz w:val="32"/>
          <w:szCs w:val="32"/>
        </w:rPr>
        <w:t>等。</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3、比上年增减情况</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2年预算收支安排</w:t>
      </w:r>
      <w:r>
        <w:rPr>
          <w:rFonts w:hint="eastAsia" w:ascii="Times New Roman" w:hAnsi="Times New Roman" w:eastAsia="仿宋_GB2312" w:cs="Times New Roman"/>
          <w:sz w:val="32"/>
          <w:szCs w:val="32"/>
        </w:rPr>
        <w:t>1010.63</w:t>
      </w:r>
      <w:r>
        <w:rPr>
          <w:rFonts w:ascii="Times New Roman" w:hAnsi="Times New Roman" w:eastAsia="仿宋_GB2312" w:cs="Times New Roman"/>
          <w:sz w:val="32"/>
          <w:szCs w:val="32"/>
        </w:rPr>
        <w:t>万元，较20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1年预算增加</w:t>
      </w:r>
      <w:r>
        <w:rPr>
          <w:rFonts w:hint="eastAsia" w:ascii="Times New Roman" w:hAnsi="Times New Roman" w:eastAsia="仿宋_GB2312" w:cs="Times New Roman"/>
          <w:sz w:val="32"/>
          <w:szCs w:val="32"/>
        </w:rPr>
        <w:t>97.06</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rPr>
        <w:t>减少149.98</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主要为公用经费支出减少，</w:t>
      </w:r>
      <w:r>
        <w:rPr>
          <w:rFonts w:ascii="Times New Roman" w:hAnsi="Times New Roman" w:eastAsia="仿宋_GB2312" w:cs="Times New Roman"/>
          <w:sz w:val="32"/>
          <w:szCs w:val="32"/>
        </w:rPr>
        <w:t>项目支出增加</w:t>
      </w:r>
      <w:r>
        <w:rPr>
          <w:rFonts w:hint="eastAsia" w:ascii="Times New Roman" w:hAnsi="Times New Roman" w:eastAsia="仿宋_GB2312" w:cs="Times New Roman"/>
          <w:sz w:val="32"/>
          <w:szCs w:val="32"/>
        </w:rPr>
        <w:t>247.04</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rPr>
        <w:t>支付合同制教师人员经费</w:t>
      </w:r>
      <w:r>
        <w:rPr>
          <w:rFonts w:ascii="Times New Roman" w:hAnsi="Times New Roman" w:eastAsia="仿宋_GB2312" w:cs="Times New Roman"/>
          <w:sz w:val="32"/>
          <w:szCs w:val="32"/>
        </w:rPr>
        <w:t>项目支出。</w:t>
      </w:r>
    </w:p>
    <w:p>
      <w:pPr>
        <w:autoSpaceDE w:val="0"/>
        <w:autoSpaceDN w:val="0"/>
        <w:adjustRightInd w:val="0"/>
        <w:spacing w:line="584" w:lineRule="exact"/>
        <w:ind w:left="198"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三、机关运行经费安排情况</w:t>
      </w:r>
    </w:p>
    <w:p>
      <w:pPr>
        <w:autoSpaceDE w:val="0"/>
        <w:autoSpaceDN w:val="0"/>
        <w:adjustRightInd w:val="0"/>
        <w:spacing w:line="584" w:lineRule="exact"/>
        <w:ind w:left="198"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2年，我局机关运行经费共计安排</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w:t>
      </w:r>
    </w:p>
    <w:p>
      <w:pPr>
        <w:autoSpaceDE w:val="0"/>
        <w:autoSpaceDN w:val="0"/>
        <w:adjustRightInd w:val="0"/>
        <w:spacing w:line="584" w:lineRule="exact"/>
        <w:ind w:left="198"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四、财政拨款“三公”经费预算情况及增减变化原因</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rPr>
        <w:t>我单位无</w:t>
      </w:r>
      <w:r>
        <w:rPr>
          <w:rFonts w:ascii="Times New Roman" w:hAnsi="Times New Roman" w:eastAsia="仿宋_GB2312" w:cs="Times New Roman"/>
          <w:sz w:val="32"/>
          <w:szCs w:val="32"/>
        </w:rPr>
        <w:t xml:space="preserve"> “三公”经费预算安排</w:t>
      </w:r>
      <w:r>
        <w:rPr>
          <w:rFonts w:hint="eastAsia" w:ascii="Times New Roman" w:hAnsi="Times New Roman" w:eastAsia="仿宋_GB2312" w:cs="Times New Roman"/>
          <w:sz w:val="32"/>
          <w:szCs w:val="32"/>
        </w:rPr>
        <w:t>。</w:t>
      </w:r>
    </w:p>
    <w:p>
      <w:pPr>
        <w:spacing w:line="584" w:lineRule="exact"/>
        <w:ind w:firstLine="800" w:firstLineChars="250"/>
        <w:rPr>
          <w:rFonts w:ascii="Times New Roman" w:hAnsi="Times New Roman" w:eastAsia="黑体" w:cs="Times New Roman"/>
          <w:sz w:val="32"/>
          <w:szCs w:val="32"/>
        </w:rPr>
      </w:pPr>
      <w:r>
        <w:rPr>
          <w:rFonts w:ascii="Times New Roman" w:hAnsi="Times New Roman" w:eastAsia="黑体" w:cs="Times New Roman"/>
          <w:sz w:val="32"/>
          <w:szCs w:val="32"/>
        </w:rPr>
        <w:t>五、预算绩效信息</w:t>
      </w:r>
    </w:p>
    <w:p>
      <w:pPr>
        <w:spacing w:line="584" w:lineRule="exact"/>
        <w:ind w:firstLine="800" w:firstLineChars="250"/>
        <w:rPr>
          <w:rFonts w:ascii="Times New Roman" w:hAnsi="Times New Roman" w:eastAsia="黑体" w:cs="Times New Roman"/>
          <w:sz w:val="32"/>
          <w:szCs w:val="32"/>
        </w:rPr>
      </w:pPr>
      <w:r>
        <w:rPr>
          <w:rFonts w:hint="eastAsia" w:ascii="Times New Roman" w:hAnsi="Times New Roman" w:eastAsia="黑体" w:cs="Times New Roman"/>
          <w:sz w:val="32"/>
          <w:szCs w:val="32"/>
        </w:rPr>
        <w:t>第一部分 部门整体绩效目标</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（一）总体绩效目标</w:t>
      </w:r>
    </w:p>
    <w:p>
      <w:pPr>
        <w:spacing w:line="584" w:lineRule="exact"/>
        <w:ind w:firstLine="640" w:firstLineChars="200"/>
        <w:rPr>
          <w:rFonts w:ascii="仿宋_GB2312" w:eastAsia="仿宋_GB2312" w:cs="Times New Roman"/>
          <w:sz w:val="32"/>
          <w:szCs w:val="32"/>
        </w:rPr>
      </w:pPr>
      <w:r>
        <w:rPr>
          <w:rFonts w:hint="eastAsia" w:ascii="仿宋_GB2312" w:eastAsia="仿宋_GB2312" w:cs="Times New Roman"/>
          <w:sz w:val="32"/>
          <w:szCs w:val="32"/>
        </w:rPr>
        <w:t>1.改善办公条件，提升教育环境，开展教师培训，提高教师队伍水平</w:t>
      </w:r>
    </w:p>
    <w:p>
      <w:pPr>
        <w:spacing w:line="584" w:lineRule="exact"/>
        <w:ind w:firstLine="640" w:firstLineChars="200"/>
        <w:rPr>
          <w:rFonts w:ascii="仿宋_GB2312" w:eastAsia="仿宋_GB2312" w:cs="Times New Roman"/>
          <w:sz w:val="32"/>
          <w:szCs w:val="32"/>
        </w:rPr>
      </w:pPr>
      <w:r>
        <w:rPr>
          <w:rFonts w:hint="eastAsia" w:ascii="仿宋_GB2312" w:eastAsia="仿宋_GB2312" w:cs="Times New Roman"/>
          <w:sz w:val="32"/>
          <w:szCs w:val="32"/>
        </w:rPr>
        <w:t>2.降低幼儿辍学率</w:t>
      </w:r>
    </w:p>
    <w:p>
      <w:pPr>
        <w:spacing w:line="584" w:lineRule="exact"/>
        <w:ind w:firstLine="640" w:firstLineChars="200"/>
        <w:rPr>
          <w:rFonts w:ascii="仿宋_GB2312" w:eastAsia="仿宋_GB2312" w:cs="Times New Roman"/>
          <w:sz w:val="32"/>
          <w:szCs w:val="32"/>
        </w:rPr>
      </w:pPr>
      <w:r>
        <w:rPr>
          <w:rFonts w:hint="eastAsia" w:ascii="仿宋_GB2312" w:eastAsia="仿宋_GB2312" w:cs="Times New Roman"/>
          <w:sz w:val="32"/>
          <w:szCs w:val="32"/>
        </w:rPr>
        <w:t>3.改善办园条件，促进学前教育健康发展，办好人民满意的教育</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（二）分项绩效目标</w:t>
      </w:r>
    </w:p>
    <w:p>
      <w:pPr>
        <w:spacing w:line="584" w:lineRule="exact"/>
        <w:ind w:firstLine="640" w:firstLineChars="200"/>
        <w:rPr>
          <w:rFonts w:ascii="仿宋_GB2312" w:eastAsia="仿宋_GB2312" w:cs="Times New Roman"/>
          <w:sz w:val="32"/>
          <w:szCs w:val="32"/>
        </w:rPr>
      </w:pPr>
      <w:r>
        <w:rPr>
          <w:rFonts w:hint="eastAsia" w:ascii="仿宋_GB2312" w:eastAsia="仿宋_GB2312" w:cs="Times New Roman"/>
          <w:sz w:val="32"/>
          <w:szCs w:val="32"/>
        </w:rPr>
        <w:t>1.正常开展教育教学活动</w:t>
      </w:r>
    </w:p>
    <w:p>
      <w:pPr>
        <w:spacing w:line="584" w:lineRule="exact"/>
        <w:ind w:firstLine="640" w:firstLineChars="200"/>
        <w:rPr>
          <w:rFonts w:ascii="仿宋_GB2312" w:eastAsia="仿宋_GB2312" w:cs="Times New Roman"/>
          <w:sz w:val="32"/>
          <w:szCs w:val="32"/>
        </w:rPr>
      </w:pPr>
      <w:r>
        <w:rPr>
          <w:rFonts w:hint="eastAsia" w:ascii="仿宋_GB2312" w:eastAsia="仿宋_GB2312" w:cs="Times New Roman"/>
          <w:sz w:val="32"/>
          <w:szCs w:val="32"/>
        </w:rPr>
        <w:t>2.</w:t>
      </w:r>
      <w:r>
        <w:rPr>
          <w:rFonts w:hint="eastAsia"/>
        </w:rPr>
        <w:t xml:space="preserve"> </w:t>
      </w:r>
      <w:r>
        <w:rPr>
          <w:rFonts w:hint="eastAsia" w:ascii="仿宋_GB2312" w:eastAsia="仿宋_GB2312" w:cs="Times New Roman"/>
          <w:sz w:val="32"/>
          <w:szCs w:val="32"/>
        </w:rPr>
        <w:t>购买的物资、玩教具符合国家质检标准</w:t>
      </w:r>
    </w:p>
    <w:p>
      <w:pPr>
        <w:spacing w:line="584" w:lineRule="exact"/>
        <w:ind w:firstLine="640" w:firstLineChars="200"/>
        <w:rPr>
          <w:rFonts w:ascii="仿宋_GB2312" w:eastAsia="仿宋_GB2312" w:cs="Times New Roman"/>
          <w:sz w:val="32"/>
          <w:szCs w:val="32"/>
        </w:rPr>
      </w:pPr>
      <w:r>
        <w:rPr>
          <w:rFonts w:hint="eastAsia" w:ascii="仿宋_GB2312" w:eastAsia="仿宋_GB2312" w:cs="Times New Roman"/>
          <w:sz w:val="32"/>
          <w:szCs w:val="32"/>
        </w:rPr>
        <w:t>3.降低辍学幼儿占幼儿总数的比例</w:t>
      </w:r>
    </w:p>
    <w:p>
      <w:pPr>
        <w:spacing w:line="584" w:lineRule="exact"/>
        <w:ind w:firstLine="640" w:firstLineChars="200"/>
        <w:rPr>
          <w:rFonts w:ascii="仿宋_GB2312" w:eastAsia="仿宋_GB2312" w:cs="Times New Roman"/>
          <w:sz w:val="32"/>
          <w:szCs w:val="32"/>
        </w:rPr>
      </w:pPr>
      <w:r>
        <w:rPr>
          <w:rFonts w:hint="eastAsia" w:ascii="仿宋_GB2312" w:eastAsia="仿宋_GB2312" w:cs="Times New Roman"/>
          <w:sz w:val="32"/>
          <w:szCs w:val="32"/>
        </w:rPr>
        <w:t>4.提升幼儿和家长对学校教育保育活动的满意度</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（三）工作保障措施</w:t>
      </w:r>
    </w:p>
    <w:p>
      <w:pPr>
        <w:spacing w:line="584" w:lineRule="exact"/>
        <w:ind w:firstLine="640" w:firstLineChars="200"/>
        <w:rPr>
          <w:rFonts w:ascii="仿宋_GB2312" w:eastAsia="仿宋_GB2312" w:cs="Times New Roman"/>
          <w:sz w:val="32"/>
          <w:szCs w:val="32"/>
        </w:rPr>
      </w:pPr>
      <w:r>
        <w:rPr>
          <w:rFonts w:hint="eastAsia" w:ascii="仿宋_GB2312" w:eastAsia="仿宋_GB2312" w:cs="Times New Roman"/>
          <w:sz w:val="32"/>
          <w:szCs w:val="32"/>
        </w:rPr>
        <w:t>成立园领导班子、教研组长、后勤人员的规划领导小组，负责规划的制定和实施，保障资金依法依规使用。</w:t>
      </w:r>
    </w:p>
    <w:p>
      <w:pPr>
        <w:overflowPunct w:val="0"/>
        <w:adjustRightInd w:val="0"/>
        <w:snapToGrid w:val="0"/>
        <w:spacing w:after="156" w:afterLines="50" w:line="580" w:lineRule="exact"/>
        <w:ind w:firstLine="630" w:firstLineChars="196"/>
        <w:jc w:val="left"/>
        <w:rPr>
          <w:rFonts w:hint="eastAsia" w:ascii="楷体_GB2312" w:eastAsia="楷体_GB2312" w:cs="Times New Roman"/>
          <w:b/>
          <w:sz w:val="32"/>
          <w:szCs w:val="32"/>
        </w:rPr>
      </w:pPr>
    </w:p>
    <w:p>
      <w:pPr>
        <w:overflowPunct w:val="0"/>
        <w:adjustRightInd w:val="0"/>
        <w:snapToGrid w:val="0"/>
        <w:spacing w:after="156" w:afterLines="50" w:line="580" w:lineRule="exact"/>
        <w:ind w:firstLine="630" w:firstLineChars="196"/>
        <w:jc w:val="left"/>
        <w:rPr>
          <w:rFonts w:hint="eastAsia" w:ascii="楷体_GB2312" w:eastAsia="楷体_GB2312" w:cs="Times New Roman"/>
          <w:b/>
          <w:sz w:val="32"/>
          <w:szCs w:val="32"/>
        </w:rPr>
      </w:pPr>
    </w:p>
    <w:p>
      <w:pPr>
        <w:overflowPunct w:val="0"/>
        <w:adjustRightInd w:val="0"/>
        <w:snapToGrid w:val="0"/>
        <w:spacing w:after="156" w:afterLines="50" w:line="580" w:lineRule="exact"/>
        <w:ind w:firstLine="630" w:firstLineChars="196"/>
        <w:jc w:val="left"/>
        <w:rPr>
          <w:rFonts w:hint="eastAsia" w:ascii="楷体_GB2312" w:eastAsia="楷体_GB2312" w:cs="Times New Roman"/>
          <w:b/>
          <w:sz w:val="32"/>
          <w:szCs w:val="32"/>
        </w:rPr>
      </w:pPr>
    </w:p>
    <w:p>
      <w:pPr>
        <w:overflowPunct w:val="0"/>
        <w:adjustRightInd w:val="0"/>
        <w:snapToGrid w:val="0"/>
        <w:spacing w:after="156" w:afterLines="50" w:line="580" w:lineRule="exact"/>
        <w:ind w:firstLine="630" w:firstLineChars="196"/>
        <w:jc w:val="left"/>
        <w:rPr>
          <w:rFonts w:hint="eastAsia" w:ascii="楷体_GB2312" w:eastAsia="楷体_GB2312" w:cs="Times New Roman"/>
          <w:b/>
          <w:sz w:val="32"/>
          <w:szCs w:val="32"/>
        </w:rPr>
      </w:pPr>
    </w:p>
    <w:p>
      <w:pPr>
        <w:overflowPunct w:val="0"/>
        <w:adjustRightInd w:val="0"/>
        <w:snapToGrid w:val="0"/>
        <w:spacing w:after="156" w:afterLines="50" w:line="580" w:lineRule="exact"/>
        <w:ind w:firstLine="630" w:firstLineChars="196"/>
        <w:jc w:val="left"/>
        <w:rPr>
          <w:rFonts w:hint="eastAsia" w:ascii="楷体_GB2312" w:eastAsia="楷体_GB2312" w:cs="Times New Roman"/>
          <w:b/>
          <w:sz w:val="32"/>
          <w:szCs w:val="32"/>
        </w:rPr>
      </w:pPr>
    </w:p>
    <w:p>
      <w:pPr>
        <w:overflowPunct w:val="0"/>
        <w:adjustRightInd w:val="0"/>
        <w:snapToGrid w:val="0"/>
        <w:spacing w:after="156" w:afterLines="50" w:line="580" w:lineRule="exact"/>
        <w:ind w:firstLine="630" w:firstLineChars="196"/>
        <w:jc w:val="left"/>
        <w:rPr>
          <w:rFonts w:hint="eastAsia" w:ascii="楷体_GB2312" w:eastAsia="楷体_GB2312" w:cs="Times New Roman"/>
          <w:b/>
          <w:sz w:val="32"/>
          <w:szCs w:val="32"/>
        </w:rPr>
      </w:pPr>
    </w:p>
    <w:p>
      <w:pPr>
        <w:overflowPunct w:val="0"/>
        <w:adjustRightInd w:val="0"/>
        <w:snapToGrid w:val="0"/>
        <w:spacing w:after="156" w:afterLines="50" w:line="580" w:lineRule="exact"/>
        <w:ind w:firstLine="630" w:firstLineChars="196"/>
        <w:jc w:val="left"/>
        <w:rPr>
          <w:rFonts w:hint="eastAsia" w:ascii="楷体_GB2312" w:eastAsia="楷体_GB2312" w:cs="Times New Roman"/>
          <w:b/>
          <w:sz w:val="32"/>
          <w:szCs w:val="32"/>
        </w:rPr>
      </w:pPr>
    </w:p>
    <w:p>
      <w:pPr>
        <w:overflowPunct w:val="0"/>
        <w:adjustRightInd w:val="0"/>
        <w:snapToGrid w:val="0"/>
        <w:spacing w:after="156" w:afterLines="50" w:line="580" w:lineRule="exact"/>
        <w:ind w:firstLine="630" w:firstLineChars="196"/>
        <w:jc w:val="left"/>
        <w:rPr>
          <w:rFonts w:hint="eastAsia" w:ascii="楷体_GB2312" w:eastAsia="楷体_GB2312" w:cs="Times New Roman"/>
          <w:b/>
          <w:sz w:val="32"/>
          <w:szCs w:val="32"/>
        </w:rPr>
      </w:pPr>
    </w:p>
    <w:p>
      <w:pPr>
        <w:overflowPunct w:val="0"/>
        <w:adjustRightInd w:val="0"/>
        <w:snapToGrid w:val="0"/>
        <w:spacing w:after="156" w:afterLines="50" w:line="580" w:lineRule="exact"/>
        <w:ind w:firstLine="630" w:firstLineChars="196"/>
        <w:jc w:val="left"/>
        <w:rPr>
          <w:rFonts w:ascii="楷体_GB2312" w:eastAsia="楷体_GB2312" w:cs="Times New Roman"/>
          <w:b/>
          <w:sz w:val="32"/>
          <w:szCs w:val="32"/>
        </w:rPr>
      </w:pPr>
      <w:r>
        <w:rPr>
          <w:rFonts w:hint="eastAsia" w:ascii="楷体_GB2312" w:eastAsia="楷体_GB2312" w:cs="Times New Roman"/>
          <w:b/>
          <w:sz w:val="32"/>
          <w:szCs w:val="32"/>
        </w:rPr>
        <w:t>（四）部门整体支出绩效指标</w:t>
      </w:r>
    </w:p>
    <w:tbl>
      <w:tblPr>
        <w:tblStyle w:val="8"/>
        <w:tblW w:w="142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
      <w:tblGrid>
        <w:gridCol w:w="831"/>
        <w:gridCol w:w="1319"/>
        <w:gridCol w:w="2173"/>
        <w:gridCol w:w="4289"/>
        <w:gridCol w:w="2810"/>
        <w:gridCol w:w="957"/>
        <w:gridCol w:w="529"/>
        <w:gridCol w:w="407"/>
        <w:gridCol w:w="9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26" w:hRule="atLeast"/>
          <w:tblHeader/>
          <w:jc w:val="center"/>
        </w:trPr>
        <w:tc>
          <w:tcPr>
            <w:tcW w:w="831" w:type="dxa"/>
            <w:vMerge w:val="restart"/>
            <w:noWrap w:val="0"/>
            <w:vAlign w:val="center"/>
          </w:tcPr>
          <w:p>
            <w:pPr>
              <w:widowControl/>
              <w:adjustRightInd w:val="0"/>
              <w:snapToGrid w:val="0"/>
              <w:jc w:val="center"/>
              <w:rPr>
                <w:rFonts w:ascii="方正书宋_GBK" w:eastAsia="方正书宋_GBK"/>
                <w:b/>
              </w:rPr>
            </w:pPr>
            <w:r>
              <w:rPr>
                <w:rFonts w:ascii="方正书宋_GBK" w:eastAsia="方正书宋_GBK"/>
                <w:b/>
              </w:rPr>
              <w:t>一级指标</w:t>
            </w:r>
          </w:p>
        </w:tc>
        <w:tc>
          <w:tcPr>
            <w:tcW w:w="1319" w:type="dxa"/>
            <w:vMerge w:val="restart"/>
            <w:noWrap w:val="0"/>
            <w:vAlign w:val="center"/>
          </w:tcPr>
          <w:p>
            <w:pPr>
              <w:widowControl/>
              <w:adjustRightInd w:val="0"/>
              <w:snapToGrid w:val="0"/>
              <w:jc w:val="center"/>
              <w:rPr>
                <w:rFonts w:ascii="方正书宋_GBK" w:eastAsia="方正书宋_GBK"/>
                <w:b/>
              </w:rPr>
            </w:pPr>
            <w:r>
              <w:rPr>
                <w:rFonts w:ascii="方正书宋_GBK" w:eastAsia="方正书宋_GBK"/>
                <w:b/>
              </w:rPr>
              <w:t>二级</w:t>
            </w:r>
          </w:p>
          <w:p>
            <w:pPr>
              <w:widowControl/>
              <w:adjustRightInd w:val="0"/>
              <w:snapToGrid w:val="0"/>
              <w:jc w:val="center"/>
              <w:rPr>
                <w:rFonts w:ascii="方正书宋_GBK" w:eastAsia="方正书宋_GBK"/>
                <w:b/>
              </w:rPr>
            </w:pPr>
            <w:r>
              <w:rPr>
                <w:rFonts w:ascii="方正书宋_GBK" w:eastAsia="方正书宋_GBK"/>
                <w:b/>
              </w:rPr>
              <w:t>指标</w:t>
            </w:r>
          </w:p>
        </w:tc>
        <w:tc>
          <w:tcPr>
            <w:tcW w:w="2173" w:type="dxa"/>
            <w:vMerge w:val="restart"/>
            <w:noWrap w:val="0"/>
            <w:vAlign w:val="center"/>
          </w:tcPr>
          <w:p>
            <w:pPr>
              <w:widowControl/>
              <w:adjustRightInd w:val="0"/>
              <w:snapToGrid w:val="0"/>
              <w:jc w:val="center"/>
              <w:rPr>
                <w:rFonts w:ascii="方正书宋_GBK" w:eastAsia="方正书宋_GBK"/>
                <w:b/>
              </w:rPr>
            </w:pPr>
            <w:r>
              <w:rPr>
                <w:rFonts w:ascii="方正书宋_GBK" w:eastAsia="方正书宋_GBK"/>
                <w:b/>
              </w:rPr>
              <w:t>三级</w:t>
            </w:r>
          </w:p>
          <w:p>
            <w:pPr>
              <w:widowControl/>
              <w:adjustRightInd w:val="0"/>
              <w:snapToGrid w:val="0"/>
              <w:jc w:val="center"/>
              <w:rPr>
                <w:rFonts w:ascii="方正书宋_GBK" w:eastAsia="方正书宋_GBK"/>
                <w:b/>
              </w:rPr>
            </w:pPr>
            <w:r>
              <w:rPr>
                <w:rFonts w:ascii="方正书宋_GBK" w:eastAsia="方正书宋_GBK"/>
                <w:b/>
              </w:rPr>
              <w:t>指标</w:t>
            </w:r>
          </w:p>
        </w:tc>
        <w:tc>
          <w:tcPr>
            <w:tcW w:w="4289" w:type="dxa"/>
            <w:vMerge w:val="restart"/>
            <w:noWrap w:val="0"/>
            <w:vAlign w:val="center"/>
          </w:tcPr>
          <w:p>
            <w:pPr>
              <w:widowControl/>
              <w:adjustRightInd w:val="0"/>
              <w:snapToGrid w:val="0"/>
              <w:jc w:val="center"/>
              <w:rPr>
                <w:rFonts w:ascii="方正书宋_GBK" w:eastAsia="方正书宋_GBK"/>
                <w:b/>
              </w:rPr>
            </w:pPr>
            <w:r>
              <w:rPr>
                <w:rFonts w:ascii="方正书宋_GBK" w:eastAsia="方正书宋_GBK"/>
                <w:b/>
              </w:rPr>
              <w:t>评（扣）分标准</w:t>
            </w:r>
          </w:p>
        </w:tc>
        <w:tc>
          <w:tcPr>
            <w:tcW w:w="2810" w:type="dxa"/>
            <w:vMerge w:val="restart"/>
            <w:noWrap w:val="0"/>
            <w:vAlign w:val="center"/>
          </w:tcPr>
          <w:p>
            <w:pPr>
              <w:widowControl/>
              <w:adjustRightInd w:val="0"/>
              <w:snapToGrid w:val="0"/>
              <w:jc w:val="center"/>
              <w:rPr>
                <w:rFonts w:ascii="方正书宋_GBK" w:eastAsia="方正书宋_GBK"/>
                <w:b/>
              </w:rPr>
            </w:pPr>
            <w:r>
              <w:rPr>
                <w:rFonts w:ascii="方正书宋_GBK" w:eastAsia="方正书宋_GBK"/>
                <w:b/>
              </w:rPr>
              <w:t>绩效指标</w:t>
            </w:r>
          </w:p>
          <w:p>
            <w:pPr>
              <w:widowControl/>
              <w:adjustRightInd w:val="0"/>
              <w:snapToGrid w:val="0"/>
              <w:jc w:val="center"/>
              <w:rPr>
                <w:rFonts w:ascii="方正书宋_GBK" w:eastAsia="方正书宋_GBK"/>
                <w:b/>
              </w:rPr>
            </w:pPr>
            <w:r>
              <w:rPr>
                <w:rFonts w:ascii="方正书宋_GBK" w:eastAsia="方正书宋_GBK"/>
                <w:b/>
              </w:rPr>
              <w:t>描述</w:t>
            </w:r>
          </w:p>
        </w:tc>
        <w:tc>
          <w:tcPr>
            <w:tcW w:w="1893" w:type="dxa"/>
            <w:gridSpan w:val="3"/>
            <w:noWrap w:val="0"/>
            <w:vAlign w:val="center"/>
          </w:tcPr>
          <w:p>
            <w:pPr>
              <w:widowControl/>
              <w:adjustRightInd w:val="0"/>
              <w:snapToGrid w:val="0"/>
              <w:jc w:val="center"/>
              <w:rPr>
                <w:rFonts w:ascii="方正书宋_GBK" w:eastAsia="方正书宋_GBK"/>
                <w:b/>
              </w:rPr>
            </w:pPr>
            <w:r>
              <w:rPr>
                <w:rFonts w:ascii="方正书宋_GBK" w:eastAsia="方正书宋_GBK"/>
                <w:b/>
              </w:rPr>
              <w:t>指标值</w:t>
            </w:r>
          </w:p>
        </w:tc>
        <w:tc>
          <w:tcPr>
            <w:tcW w:w="908" w:type="dxa"/>
            <w:vMerge w:val="restart"/>
            <w:noWrap w:val="0"/>
            <w:vAlign w:val="center"/>
          </w:tcPr>
          <w:p>
            <w:pPr>
              <w:widowControl/>
              <w:adjustRightInd w:val="0"/>
              <w:snapToGrid w:val="0"/>
              <w:jc w:val="center"/>
              <w:rPr>
                <w:rFonts w:ascii="方正书宋_GBK" w:eastAsia="方正书宋_GBK"/>
                <w:b/>
              </w:rPr>
            </w:pPr>
            <w:r>
              <w:rPr>
                <w:rFonts w:ascii="方正书宋_GBK" w:eastAsia="方正书宋_GBK"/>
                <w:b/>
              </w:rPr>
              <w:t>指标值</w:t>
            </w:r>
          </w:p>
          <w:p>
            <w:pPr>
              <w:widowControl/>
              <w:adjustRightInd w:val="0"/>
              <w:snapToGrid w:val="0"/>
              <w:jc w:val="center"/>
              <w:rPr>
                <w:rFonts w:ascii="方正书宋_GBK" w:eastAsia="方正书宋_GBK"/>
                <w:b/>
              </w:rPr>
            </w:pPr>
            <w:r>
              <w:rPr>
                <w:rFonts w:ascii="方正书宋_GBK" w:eastAsia="方正书宋_GBK"/>
                <w:b/>
              </w:rPr>
              <w:t>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33" w:hRule="atLeast"/>
          <w:tblHeader/>
          <w:jc w:val="center"/>
        </w:trPr>
        <w:tc>
          <w:tcPr>
            <w:tcW w:w="831" w:type="dxa"/>
            <w:vMerge w:val="continue"/>
            <w:noWrap w:val="0"/>
            <w:vAlign w:val="center"/>
          </w:tcPr>
          <w:p/>
        </w:tc>
        <w:tc>
          <w:tcPr>
            <w:tcW w:w="1319" w:type="dxa"/>
            <w:vMerge w:val="continue"/>
            <w:noWrap w:val="0"/>
            <w:vAlign w:val="center"/>
          </w:tcPr>
          <w:p/>
        </w:tc>
        <w:tc>
          <w:tcPr>
            <w:tcW w:w="2173" w:type="dxa"/>
            <w:vMerge w:val="continue"/>
            <w:noWrap w:val="0"/>
            <w:vAlign w:val="center"/>
          </w:tcPr>
          <w:p/>
        </w:tc>
        <w:tc>
          <w:tcPr>
            <w:tcW w:w="4289" w:type="dxa"/>
            <w:vMerge w:val="continue"/>
            <w:noWrap w:val="0"/>
            <w:vAlign w:val="center"/>
          </w:tcPr>
          <w:p/>
        </w:tc>
        <w:tc>
          <w:tcPr>
            <w:tcW w:w="2810" w:type="dxa"/>
            <w:vMerge w:val="continue"/>
            <w:noWrap w:val="0"/>
            <w:vAlign w:val="center"/>
          </w:tcPr>
          <w:p/>
        </w:tc>
        <w:tc>
          <w:tcPr>
            <w:tcW w:w="957" w:type="dxa"/>
            <w:noWrap w:val="0"/>
            <w:vAlign w:val="center"/>
          </w:tcPr>
          <w:p>
            <w:pPr>
              <w:widowControl/>
              <w:adjustRightInd w:val="0"/>
              <w:snapToGrid w:val="0"/>
              <w:jc w:val="center"/>
              <w:rPr>
                <w:rFonts w:ascii="方正书宋_GBK" w:eastAsia="方正书宋_GBK"/>
                <w:b/>
              </w:rPr>
            </w:pPr>
            <w:r>
              <w:rPr>
                <w:rFonts w:ascii="方正书宋_GBK" w:eastAsia="方正书宋_GBK"/>
                <w:b/>
              </w:rPr>
              <w:t>符号</w:t>
            </w:r>
          </w:p>
        </w:tc>
        <w:tc>
          <w:tcPr>
            <w:tcW w:w="529" w:type="dxa"/>
            <w:noWrap w:val="0"/>
            <w:vAlign w:val="center"/>
          </w:tcPr>
          <w:p>
            <w:pPr>
              <w:widowControl/>
              <w:adjustRightInd w:val="0"/>
              <w:snapToGrid w:val="0"/>
              <w:jc w:val="center"/>
              <w:rPr>
                <w:rFonts w:ascii="方正书宋_GBK" w:eastAsia="方正书宋_GBK"/>
                <w:b/>
              </w:rPr>
            </w:pPr>
            <w:r>
              <w:rPr>
                <w:rFonts w:ascii="方正书宋_GBK" w:eastAsia="方正书宋_GBK"/>
                <w:b/>
              </w:rPr>
              <w:t>值</w:t>
            </w:r>
          </w:p>
        </w:tc>
        <w:tc>
          <w:tcPr>
            <w:tcW w:w="407" w:type="dxa"/>
            <w:noWrap w:val="0"/>
            <w:vAlign w:val="center"/>
          </w:tcPr>
          <w:p>
            <w:pPr>
              <w:widowControl/>
              <w:adjustRightInd w:val="0"/>
              <w:snapToGrid w:val="0"/>
              <w:jc w:val="center"/>
              <w:rPr>
                <w:rFonts w:ascii="方正书宋_GBK" w:eastAsia="方正书宋_GBK"/>
                <w:b/>
              </w:rPr>
            </w:pPr>
            <w:r>
              <w:rPr>
                <w:rFonts w:ascii="方正书宋_GBK" w:eastAsia="方正书宋_GBK"/>
                <w:b/>
              </w:rPr>
              <w:t>单位</w:t>
            </w:r>
          </w:p>
        </w:tc>
        <w:tc>
          <w:tcPr>
            <w:tcW w:w="908" w:type="dxa"/>
            <w:vMerge w:val="continue"/>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94" w:hRule="atLeast"/>
          <w:jc w:val="center"/>
        </w:trPr>
        <w:tc>
          <w:tcPr>
            <w:tcW w:w="831" w:type="dxa"/>
            <w:vMerge w:val="restart"/>
            <w:noWrap w:val="0"/>
            <w:vAlign w:val="center"/>
          </w:tcPr>
          <w:p>
            <w:pPr>
              <w:widowControl/>
              <w:adjustRightInd w:val="0"/>
              <w:snapToGrid w:val="0"/>
              <w:jc w:val="center"/>
              <w:rPr>
                <w:rFonts w:ascii="方正书宋_GBK" w:eastAsia="方正书宋_GBK"/>
              </w:rPr>
            </w:pPr>
            <w:r>
              <w:rPr>
                <w:rFonts w:ascii="方正书宋_GBK" w:eastAsia="方正书宋_GBK"/>
              </w:rPr>
              <w:t>部门产出</w:t>
            </w:r>
          </w:p>
        </w:tc>
        <w:tc>
          <w:tcPr>
            <w:tcW w:w="1319" w:type="dxa"/>
            <w:noWrap w:val="0"/>
            <w:vAlign w:val="center"/>
          </w:tcPr>
          <w:p>
            <w:pPr>
              <w:widowControl/>
              <w:adjustRightInd w:val="0"/>
              <w:snapToGrid w:val="0"/>
              <w:jc w:val="center"/>
              <w:rPr>
                <w:rFonts w:ascii="方正书宋_GBK" w:eastAsia="方正书宋_GBK"/>
              </w:rPr>
            </w:pPr>
            <w:r>
              <w:rPr>
                <w:rFonts w:ascii="方正书宋_GBK" w:eastAsia="方正书宋_GBK"/>
              </w:rPr>
              <w:t>数量</w:t>
            </w:r>
          </w:p>
        </w:tc>
        <w:tc>
          <w:tcPr>
            <w:tcW w:w="2173" w:type="dxa"/>
            <w:noWrap w:val="0"/>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rPr>
              <w:t>幼儿园毕业生合格率</w:t>
            </w:r>
          </w:p>
        </w:tc>
        <w:tc>
          <w:tcPr>
            <w:tcW w:w="4289" w:type="dxa"/>
            <w:noWrap w:val="0"/>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rPr>
              <w:t>20分毕业生合格率100%得满分，否则不得分</w:t>
            </w:r>
          </w:p>
        </w:tc>
        <w:tc>
          <w:tcPr>
            <w:tcW w:w="2810" w:type="dxa"/>
            <w:noWrap w:val="0"/>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rPr>
              <w:t>幼儿园毕业生合格率</w:t>
            </w:r>
          </w:p>
        </w:tc>
        <w:tc>
          <w:tcPr>
            <w:tcW w:w="957" w:type="dxa"/>
            <w:noWrap w:val="0"/>
            <w:vAlign w:val="center"/>
          </w:tcPr>
          <w:p>
            <w:pPr>
              <w:widowControl/>
              <w:adjustRightInd w:val="0"/>
              <w:snapToGrid w:val="0"/>
              <w:jc w:val="center"/>
              <w:rPr>
                <w:rFonts w:hint="eastAsia" w:ascii="仿宋_GB2312" w:hAnsi="仿宋_GB2312" w:eastAsia="仿宋_GB2312" w:cs="仿宋_GB2312"/>
              </w:rPr>
            </w:pPr>
            <w:r>
              <w:rPr>
                <w:rFonts w:hint="eastAsia" w:ascii="仿宋_GB2312" w:hAnsi="仿宋_GB2312" w:eastAsia="仿宋_GB2312" w:cs="仿宋_GB2312"/>
              </w:rPr>
              <w:t>=</w:t>
            </w:r>
          </w:p>
        </w:tc>
        <w:tc>
          <w:tcPr>
            <w:tcW w:w="529" w:type="dxa"/>
            <w:noWrap w:val="0"/>
            <w:vAlign w:val="center"/>
          </w:tcPr>
          <w:p>
            <w:pPr>
              <w:widowControl/>
              <w:adjustRightInd w:val="0"/>
              <w:snapToGrid w:val="0"/>
              <w:jc w:val="center"/>
              <w:rPr>
                <w:rFonts w:hint="eastAsia" w:ascii="仿宋_GB2312" w:hAnsi="仿宋_GB2312" w:eastAsia="仿宋_GB2312" w:cs="仿宋_GB2312"/>
              </w:rPr>
            </w:pPr>
            <w:r>
              <w:rPr>
                <w:rFonts w:hint="eastAsia" w:ascii="仿宋_GB2312" w:hAnsi="仿宋_GB2312" w:eastAsia="仿宋_GB2312" w:cs="仿宋_GB2312"/>
                <w:lang w:val="en-US" w:eastAsia="zh-CN"/>
              </w:rPr>
              <w:t>1</w:t>
            </w:r>
            <w:r>
              <w:rPr>
                <w:rFonts w:hint="eastAsia" w:ascii="仿宋_GB2312" w:hAnsi="仿宋_GB2312" w:eastAsia="仿宋_GB2312" w:cs="仿宋_GB2312"/>
              </w:rPr>
              <w:t>00</w:t>
            </w:r>
          </w:p>
        </w:tc>
        <w:tc>
          <w:tcPr>
            <w:tcW w:w="407" w:type="dxa"/>
            <w:noWrap w:val="0"/>
            <w:vAlign w:val="center"/>
          </w:tcPr>
          <w:p>
            <w:pPr>
              <w:widowControl/>
              <w:adjustRightInd w:val="0"/>
              <w:snapToGrid w:val="0"/>
              <w:jc w:val="center"/>
              <w:rPr>
                <w:rFonts w:hint="eastAsia" w:ascii="仿宋_GB2312" w:hAnsi="仿宋_GB2312" w:eastAsia="仿宋_GB2312" w:cs="仿宋_GB2312"/>
              </w:rPr>
            </w:pPr>
            <w:r>
              <w:rPr>
                <w:rFonts w:hint="eastAsia" w:ascii="仿宋_GB2312" w:hAnsi="仿宋_GB2312" w:eastAsia="仿宋_GB2312" w:cs="仿宋_GB2312"/>
              </w:rPr>
              <w:t>天</w:t>
            </w:r>
          </w:p>
        </w:tc>
        <w:tc>
          <w:tcPr>
            <w:tcW w:w="908" w:type="dxa"/>
            <w:noWrap w:val="0"/>
            <w:vAlign w:val="center"/>
          </w:tcPr>
          <w:p>
            <w:pPr>
              <w:spacing w:line="300" w:lineRule="exact"/>
              <w:jc w:val="left"/>
              <w:rPr>
                <w:rFonts w:hint="eastAsia" w:ascii="仿宋_GB2312" w:hAnsi="仿宋_GB2312" w:eastAsia="仿宋_GB2312" w:cs="仿宋_GB2312"/>
              </w:rPr>
            </w:pPr>
            <w:r>
              <w:rPr>
                <w:rFonts w:hint="eastAsia" w:ascii="仿宋_GB2312" w:hAnsi="仿宋_GB2312" w:eastAsia="仿宋_GB2312" w:cs="仿宋_GB2312"/>
              </w:rPr>
              <w:t>岗位职责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831" w:type="dxa"/>
            <w:vMerge w:val="continue"/>
            <w:noWrap w:val="0"/>
            <w:vAlign w:val="center"/>
          </w:tcPr>
          <w:p/>
        </w:tc>
        <w:tc>
          <w:tcPr>
            <w:tcW w:w="1319" w:type="dxa"/>
            <w:noWrap w:val="0"/>
            <w:vAlign w:val="center"/>
          </w:tcPr>
          <w:p>
            <w:pPr>
              <w:widowControl/>
              <w:adjustRightInd w:val="0"/>
              <w:snapToGrid w:val="0"/>
              <w:jc w:val="center"/>
              <w:rPr>
                <w:rFonts w:hint="eastAsia" w:ascii="方正书宋_GBK" w:eastAsia="方正书宋_GBK"/>
                <w:lang w:eastAsia="zh-CN"/>
              </w:rPr>
            </w:pPr>
            <w:r>
              <w:rPr>
                <w:rFonts w:hint="eastAsia" w:ascii="方正书宋_GBK" w:eastAsia="方正书宋_GBK"/>
                <w:lang w:eastAsia="zh-CN"/>
              </w:rPr>
              <w:t>数量</w:t>
            </w:r>
          </w:p>
        </w:tc>
        <w:tc>
          <w:tcPr>
            <w:tcW w:w="2173" w:type="dxa"/>
            <w:noWrap w:val="0"/>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rPr>
              <w:t>重点工作实际完成率</w:t>
            </w:r>
          </w:p>
        </w:tc>
        <w:tc>
          <w:tcPr>
            <w:tcW w:w="4289" w:type="dxa"/>
            <w:noWrap w:val="0"/>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rPr>
              <w:t>10分不低于95%得满分，否则不得分5每减少1%扣1分，扣完为止</w:t>
            </w:r>
          </w:p>
        </w:tc>
        <w:tc>
          <w:tcPr>
            <w:tcW w:w="2810" w:type="dxa"/>
            <w:noWrap w:val="0"/>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rPr>
              <w:t>重点工作实际完成率</w:t>
            </w:r>
          </w:p>
        </w:tc>
        <w:tc>
          <w:tcPr>
            <w:tcW w:w="957" w:type="dxa"/>
            <w:noWrap w:val="0"/>
            <w:vAlign w:val="center"/>
          </w:tcPr>
          <w:p>
            <w:pPr>
              <w:widowControl/>
              <w:adjustRightInd w:val="0"/>
              <w:snapToGrid w:val="0"/>
              <w:jc w:val="center"/>
              <w:rPr>
                <w:rFonts w:hint="eastAsia" w:ascii="仿宋_GB2312" w:hAnsi="仿宋_GB2312" w:eastAsia="仿宋_GB2312" w:cs="仿宋_GB2312"/>
              </w:rPr>
            </w:pPr>
            <w:r>
              <w:rPr>
                <w:rFonts w:hint="eastAsia" w:ascii="仿宋_GB2312" w:hAnsi="仿宋_GB2312" w:eastAsia="仿宋_GB2312" w:cs="仿宋_GB2312"/>
              </w:rPr>
              <w:t>≧</w:t>
            </w:r>
          </w:p>
        </w:tc>
        <w:tc>
          <w:tcPr>
            <w:tcW w:w="529" w:type="dxa"/>
            <w:noWrap w:val="0"/>
            <w:vAlign w:val="center"/>
          </w:tcPr>
          <w:p>
            <w:pPr>
              <w:widowControl/>
              <w:adjustRightInd w:val="0"/>
              <w:snapToGrid w:val="0"/>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98</w:t>
            </w:r>
          </w:p>
        </w:tc>
        <w:tc>
          <w:tcPr>
            <w:tcW w:w="407" w:type="dxa"/>
            <w:noWrap w:val="0"/>
            <w:vAlign w:val="center"/>
          </w:tcPr>
          <w:p>
            <w:pPr>
              <w:widowControl/>
              <w:adjustRightInd w:val="0"/>
              <w:snapToGrid w:val="0"/>
              <w:jc w:val="center"/>
              <w:rPr>
                <w:rFonts w:hint="eastAsia" w:ascii="仿宋_GB2312" w:hAnsi="仿宋_GB2312" w:eastAsia="仿宋_GB2312" w:cs="仿宋_GB2312"/>
              </w:rPr>
            </w:pPr>
          </w:p>
        </w:tc>
        <w:tc>
          <w:tcPr>
            <w:tcW w:w="908" w:type="dxa"/>
            <w:noWrap w:val="0"/>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rPr>
              <w:t>实际工作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831" w:type="dxa"/>
            <w:vMerge w:val="continue"/>
            <w:noWrap w:val="0"/>
            <w:vAlign w:val="center"/>
          </w:tcPr>
          <w:p/>
        </w:tc>
        <w:tc>
          <w:tcPr>
            <w:tcW w:w="1319" w:type="dxa"/>
            <w:noWrap w:val="0"/>
            <w:vAlign w:val="center"/>
          </w:tcPr>
          <w:p>
            <w:pPr>
              <w:widowControl/>
              <w:adjustRightInd w:val="0"/>
              <w:snapToGrid w:val="0"/>
              <w:jc w:val="center"/>
              <w:rPr>
                <w:rFonts w:ascii="方正书宋_GBK" w:eastAsia="方正书宋_GBK"/>
              </w:rPr>
            </w:pPr>
            <w:r>
              <w:rPr>
                <w:rFonts w:ascii="方正书宋_GBK" w:eastAsia="方正书宋_GBK"/>
              </w:rPr>
              <w:t>质量</w:t>
            </w:r>
          </w:p>
        </w:tc>
        <w:tc>
          <w:tcPr>
            <w:tcW w:w="2173" w:type="dxa"/>
            <w:noWrap w:val="0"/>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rPr>
              <w:t>采购物资、建设工程合格率</w:t>
            </w:r>
          </w:p>
        </w:tc>
        <w:tc>
          <w:tcPr>
            <w:tcW w:w="4289" w:type="dxa"/>
            <w:noWrap w:val="0"/>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rPr>
              <w:t>20分合格率100%得满分，否则不得分</w:t>
            </w:r>
          </w:p>
        </w:tc>
        <w:tc>
          <w:tcPr>
            <w:tcW w:w="2810" w:type="dxa"/>
            <w:noWrap w:val="0"/>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rPr>
              <w:t>采购物资、建设工程合格率</w:t>
            </w:r>
          </w:p>
        </w:tc>
        <w:tc>
          <w:tcPr>
            <w:tcW w:w="957" w:type="dxa"/>
            <w:noWrap w:val="0"/>
            <w:vAlign w:val="center"/>
          </w:tcPr>
          <w:p>
            <w:pPr>
              <w:widowControl/>
              <w:adjustRightInd w:val="0"/>
              <w:snapToGrid w:val="0"/>
              <w:jc w:val="center"/>
              <w:rPr>
                <w:rFonts w:hint="eastAsia" w:ascii="仿宋_GB2312" w:hAnsi="仿宋_GB2312" w:eastAsia="仿宋_GB2312" w:cs="仿宋_GB2312"/>
              </w:rPr>
            </w:pPr>
            <w:r>
              <w:rPr>
                <w:rFonts w:hint="eastAsia" w:ascii="仿宋_GB2312" w:hAnsi="仿宋_GB2312" w:eastAsia="仿宋_GB2312" w:cs="仿宋_GB2312"/>
              </w:rPr>
              <w:t>=</w:t>
            </w:r>
          </w:p>
        </w:tc>
        <w:tc>
          <w:tcPr>
            <w:tcW w:w="529" w:type="dxa"/>
            <w:noWrap w:val="0"/>
            <w:vAlign w:val="center"/>
          </w:tcPr>
          <w:p>
            <w:pPr>
              <w:widowControl/>
              <w:adjustRightInd w:val="0"/>
              <w:snapToGrid w:val="0"/>
              <w:jc w:val="center"/>
              <w:rPr>
                <w:rFonts w:hint="eastAsia" w:ascii="仿宋_GB2312" w:hAnsi="仿宋_GB2312" w:eastAsia="仿宋_GB2312" w:cs="仿宋_GB2312"/>
              </w:rPr>
            </w:pPr>
            <w:r>
              <w:rPr>
                <w:rFonts w:hint="eastAsia" w:ascii="仿宋_GB2312" w:hAnsi="仿宋_GB2312" w:eastAsia="仿宋_GB2312" w:cs="仿宋_GB2312"/>
              </w:rPr>
              <w:t>100</w:t>
            </w:r>
          </w:p>
        </w:tc>
        <w:tc>
          <w:tcPr>
            <w:tcW w:w="407" w:type="dxa"/>
            <w:noWrap w:val="0"/>
            <w:vAlign w:val="center"/>
          </w:tcPr>
          <w:p>
            <w:pPr>
              <w:widowControl/>
              <w:adjustRightInd w:val="0"/>
              <w:snapToGrid w:val="0"/>
              <w:jc w:val="center"/>
              <w:rPr>
                <w:rFonts w:hint="eastAsia" w:ascii="仿宋_GB2312" w:hAnsi="仿宋_GB2312" w:eastAsia="仿宋_GB2312" w:cs="仿宋_GB2312"/>
              </w:rPr>
            </w:pPr>
            <w:r>
              <w:rPr>
                <w:rFonts w:hint="eastAsia" w:ascii="仿宋_GB2312" w:hAnsi="仿宋_GB2312" w:eastAsia="仿宋_GB2312" w:cs="仿宋_GB2312"/>
              </w:rPr>
              <w:t>%</w:t>
            </w:r>
          </w:p>
        </w:tc>
        <w:tc>
          <w:tcPr>
            <w:tcW w:w="908" w:type="dxa"/>
            <w:noWrap w:val="0"/>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rPr>
              <w:t>质量评价标准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831" w:type="dxa"/>
            <w:noWrap w:val="0"/>
            <w:vAlign w:val="center"/>
          </w:tcPr>
          <w:p>
            <w:pPr>
              <w:adjustRightInd w:val="0"/>
              <w:snapToGrid w:val="0"/>
              <w:jc w:val="center"/>
              <w:rPr>
                <w:rFonts w:ascii="方正书宋_GBK" w:eastAsia="方正书宋_GBK"/>
              </w:rPr>
            </w:pPr>
          </w:p>
        </w:tc>
        <w:tc>
          <w:tcPr>
            <w:tcW w:w="1319" w:type="dxa"/>
            <w:noWrap w:val="0"/>
            <w:vAlign w:val="center"/>
          </w:tcPr>
          <w:p>
            <w:pPr>
              <w:widowControl/>
              <w:adjustRightInd w:val="0"/>
              <w:snapToGrid w:val="0"/>
              <w:jc w:val="center"/>
              <w:rPr>
                <w:rFonts w:hint="eastAsia" w:ascii="方正书宋_GBK" w:eastAsia="方正书宋_GBK"/>
                <w:lang w:eastAsia="zh-CN"/>
              </w:rPr>
            </w:pPr>
            <w:r>
              <w:rPr>
                <w:rFonts w:hint="eastAsia" w:ascii="方正书宋_GBK" w:eastAsia="方正书宋_GBK"/>
                <w:lang w:eastAsia="zh-CN"/>
              </w:rPr>
              <w:t>时效</w:t>
            </w:r>
          </w:p>
        </w:tc>
        <w:tc>
          <w:tcPr>
            <w:tcW w:w="2173" w:type="dxa"/>
            <w:noWrap w:val="0"/>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rPr>
              <w:t>学校的各项工作任务及时完成情况</w:t>
            </w:r>
          </w:p>
        </w:tc>
        <w:tc>
          <w:tcPr>
            <w:tcW w:w="4289" w:type="dxa"/>
            <w:noWrap w:val="0"/>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rPr>
              <w:t>10分及时完成得满分，否则不得分</w:t>
            </w:r>
          </w:p>
        </w:tc>
        <w:tc>
          <w:tcPr>
            <w:tcW w:w="2810" w:type="dxa"/>
            <w:noWrap w:val="0"/>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rPr>
              <w:t>幼儿园的各项工作任务及时完成情况</w:t>
            </w:r>
          </w:p>
        </w:tc>
        <w:tc>
          <w:tcPr>
            <w:tcW w:w="957" w:type="dxa"/>
            <w:noWrap w:val="0"/>
            <w:vAlign w:val="center"/>
          </w:tcPr>
          <w:p>
            <w:pPr>
              <w:widowControl/>
              <w:adjustRightInd w:val="0"/>
              <w:snapToGrid w:val="0"/>
              <w:jc w:val="center"/>
              <w:rPr>
                <w:rFonts w:hint="eastAsia" w:ascii="仿宋_GB2312" w:hAnsi="仿宋_GB2312" w:eastAsia="仿宋_GB2312" w:cs="仿宋_GB2312"/>
                <w:lang w:eastAsia="zh-CN"/>
              </w:rPr>
            </w:pPr>
            <w:r>
              <w:rPr>
                <w:rFonts w:hint="eastAsia" w:ascii="仿宋_GB2312" w:hAnsi="仿宋_GB2312" w:eastAsia="仿宋_GB2312" w:cs="仿宋_GB2312"/>
                <w:lang w:eastAsia="zh-CN"/>
              </w:rPr>
              <w:t>文字描述</w:t>
            </w:r>
          </w:p>
        </w:tc>
        <w:tc>
          <w:tcPr>
            <w:tcW w:w="529" w:type="dxa"/>
            <w:noWrap w:val="0"/>
            <w:vAlign w:val="center"/>
          </w:tcPr>
          <w:p>
            <w:pPr>
              <w:widowControl/>
              <w:adjustRightInd w:val="0"/>
              <w:snapToGrid w:val="0"/>
              <w:jc w:val="center"/>
              <w:rPr>
                <w:rFonts w:hint="eastAsia" w:ascii="仿宋_GB2312" w:hAnsi="仿宋_GB2312" w:eastAsia="仿宋_GB2312" w:cs="仿宋_GB2312"/>
              </w:rPr>
            </w:pPr>
          </w:p>
        </w:tc>
        <w:tc>
          <w:tcPr>
            <w:tcW w:w="407" w:type="dxa"/>
            <w:noWrap w:val="0"/>
            <w:vAlign w:val="center"/>
          </w:tcPr>
          <w:p>
            <w:pPr>
              <w:widowControl/>
              <w:adjustRightInd w:val="0"/>
              <w:snapToGrid w:val="0"/>
              <w:jc w:val="center"/>
              <w:rPr>
                <w:rFonts w:hint="eastAsia" w:ascii="仿宋_GB2312" w:hAnsi="仿宋_GB2312" w:eastAsia="仿宋_GB2312" w:cs="仿宋_GB2312"/>
              </w:rPr>
            </w:pPr>
          </w:p>
        </w:tc>
        <w:tc>
          <w:tcPr>
            <w:tcW w:w="908" w:type="dxa"/>
            <w:noWrap w:val="0"/>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rPr>
              <w:t>年初工作计划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831" w:type="dxa"/>
            <w:noWrap w:val="0"/>
            <w:vAlign w:val="center"/>
          </w:tcPr>
          <w:p>
            <w:pPr>
              <w:adjustRightInd w:val="0"/>
              <w:snapToGrid w:val="0"/>
              <w:jc w:val="center"/>
              <w:rPr>
                <w:rFonts w:ascii="方正书宋_GBK" w:eastAsia="方正书宋_GBK"/>
              </w:rPr>
            </w:pPr>
          </w:p>
        </w:tc>
        <w:tc>
          <w:tcPr>
            <w:tcW w:w="1319" w:type="dxa"/>
            <w:noWrap w:val="0"/>
            <w:vAlign w:val="center"/>
          </w:tcPr>
          <w:p>
            <w:pPr>
              <w:widowControl/>
              <w:adjustRightInd w:val="0"/>
              <w:snapToGrid w:val="0"/>
              <w:jc w:val="center"/>
              <w:rPr>
                <w:rFonts w:hint="eastAsia" w:ascii="方正书宋_GBK" w:eastAsia="方正书宋_GBK"/>
                <w:lang w:eastAsia="zh-CN"/>
              </w:rPr>
            </w:pPr>
            <w:r>
              <w:rPr>
                <w:rFonts w:hint="eastAsia" w:ascii="方正书宋_GBK" w:eastAsia="方正书宋_GBK"/>
                <w:lang w:eastAsia="zh-CN"/>
              </w:rPr>
              <w:t>成本</w:t>
            </w:r>
          </w:p>
        </w:tc>
        <w:tc>
          <w:tcPr>
            <w:tcW w:w="2173" w:type="dxa"/>
            <w:noWrap w:val="0"/>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rPr>
              <w:t>教育经费使用控制率</w:t>
            </w:r>
          </w:p>
        </w:tc>
        <w:tc>
          <w:tcPr>
            <w:tcW w:w="4289" w:type="dxa"/>
            <w:noWrap w:val="0"/>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rPr>
              <w:t>10分教育经费决算数不大于调整预算数得满分，否则不得分</w:t>
            </w:r>
          </w:p>
        </w:tc>
        <w:tc>
          <w:tcPr>
            <w:tcW w:w="2810" w:type="dxa"/>
            <w:noWrap w:val="0"/>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rPr>
              <w:t>支出的公用经费总额与预算安排的比率</w:t>
            </w:r>
          </w:p>
        </w:tc>
        <w:tc>
          <w:tcPr>
            <w:tcW w:w="957" w:type="dxa"/>
            <w:noWrap w:val="0"/>
            <w:vAlign w:val="center"/>
          </w:tcPr>
          <w:p>
            <w:pPr>
              <w:widowControl/>
              <w:adjustRightInd w:val="0"/>
              <w:snapToGrid w:val="0"/>
              <w:jc w:val="center"/>
              <w:rPr>
                <w:rFonts w:hint="eastAsia" w:ascii="仿宋_GB2312" w:hAnsi="仿宋_GB2312" w:eastAsia="仿宋_GB2312" w:cs="仿宋_GB2312"/>
                <w:lang w:eastAsia="zh-CN"/>
              </w:rPr>
            </w:pPr>
            <w:r>
              <w:rPr>
                <w:rFonts w:hint="eastAsia" w:ascii="仿宋_GB2312" w:hAnsi="仿宋_GB2312" w:eastAsia="仿宋_GB2312" w:cs="仿宋_GB2312"/>
                <w:lang w:eastAsia="zh-CN"/>
              </w:rPr>
              <w:t>文字描述</w:t>
            </w:r>
          </w:p>
        </w:tc>
        <w:tc>
          <w:tcPr>
            <w:tcW w:w="529" w:type="dxa"/>
            <w:noWrap w:val="0"/>
            <w:vAlign w:val="center"/>
          </w:tcPr>
          <w:p>
            <w:pPr>
              <w:widowControl/>
              <w:adjustRightInd w:val="0"/>
              <w:snapToGrid w:val="0"/>
              <w:jc w:val="center"/>
              <w:rPr>
                <w:rFonts w:hint="eastAsia" w:ascii="仿宋_GB2312" w:hAnsi="仿宋_GB2312" w:eastAsia="仿宋_GB2312" w:cs="仿宋_GB2312"/>
              </w:rPr>
            </w:pPr>
          </w:p>
        </w:tc>
        <w:tc>
          <w:tcPr>
            <w:tcW w:w="407" w:type="dxa"/>
            <w:noWrap w:val="0"/>
            <w:vAlign w:val="center"/>
          </w:tcPr>
          <w:p>
            <w:pPr>
              <w:widowControl/>
              <w:adjustRightInd w:val="0"/>
              <w:snapToGrid w:val="0"/>
              <w:jc w:val="center"/>
              <w:rPr>
                <w:rFonts w:hint="eastAsia" w:ascii="仿宋_GB2312" w:hAnsi="仿宋_GB2312" w:eastAsia="仿宋_GB2312" w:cs="仿宋_GB2312"/>
              </w:rPr>
            </w:pPr>
          </w:p>
        </w:tc>
        <w:tc>
          <w:tcPr>
            <w:tcW w:w="908" w:type="dxa"/>
            <w:noWrap w:val="0"/>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rPr>
              <w:t>实际工作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831" w:type="dxa"/>
            <w:vMerge w:val="restart"/>
            <w:noWrap w:val="0"/>
            <w:vAlign w:val="center"/>
          </w:tcPr>
          <w:p>
            <w:pPr>
              <w:adjustRightInd w:val="0"/>
              <w:snapToGrid w:val="0"/>
              <w:jc w:val="center"/>
              <w:rPr>
                <w:rFonts w:ascii="方正书宋_GBK" w:eastAsia="方正书宋_GBK"/>
              </w:rPr>
            </w:pPr>
            <w:r>
              <w:rPr>
                <w:rFonts w:ascii="方正书宋_GBK" w:eastAsia="方正书宋_GBK"/>
              </w:rPr>
              <w:t>部门</w:t>
            </w:r>
            <w:r>
              <w:rPr>
                <w:rFonts w:hint="eastAsia" w:ascii="方正书宋_GBK" w:eastAsia="方正书宋_GBK"/>
              </w:rPr>
              <w:t>效果</w:t>
            </w:r>
          </w:p>
        </w:tc>
        <w:tc>
          <w:tcPr>
            <w:tcW w:w="1319" w:type="dxa"/>
            <w:noWrap w:val="0"/>
            <w:vAlign w:val="center"/>
          </w:tcPr>
          <w:p>
            <w:pPr>
              <w:widowControl/>
              <w:adjustRightInd w:val="0"/>
              <w:snapToGrid w:val="0"/>
              <w:jc w:val="center"/>
              <w:rPr>
                <w:rFonts w:ascii="方正书宋_GBK" w:eastAsia="方正书宋_GBK"/>
              </w:rPr>
            </w:pPr>
            <w:r>
              <w:rPr>
                <w:rFonts w:ascii="方正书宋_GBK" w:eastAsia="方正书宋_GBK"/>
              </w:rPr>
              <w:t>社会</w:t>
            </w:r>
          </w:p>
          <w:p>
            <w:pPr>
              <w:widowControl/>
              <w:adjustRightInd w:val="0"/>
              <w:snapToGrid w:val="0"/>
              <w:jc w:val="center"/>
              <w:rPr>
                <w:rFonts w:ascii="方正书宋_GBK" w:eastAsia="方正书宋_GBK"/>
              </w:rPr>
            </w:pPr>
            <w:r>
              <w:rPr>
                <w:rFonts w:ascii="方正书宋_GBK" w:eastAsia="方正书宋_GBK"/>
              </w:rPr>
              <w:t>效益</w:t>
            </w:r>
          </w:p>
        </w:tc>
        <w:tc>
          <w:tcPr>
            <w:tcW w:w="2173" w:type="dxa"/>
            <w:noWrap w:val="0"/>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rPr>
              <w:t>学前教育高质量发展</w:t>
            </w:r>
          </w:p>
        </w:tc>
        <w:tc>
          <w:tcPr>
            <w:tcW w:w="4289" w:type="dxa"/>
            <w:noWrap w:val="0"/>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rPr>
              <w:t>10分学生、家长、社会对学校整体满意度达到95%得满分，每降低1%扣1分，扣完为止。</w:t>
            </w:r>
          </w:p>
        </w:tc>
        <w:tc>
          <w:tcPr>
            <w:tcW w:w="2810" w:type="dxa"/>
            <w:noWrap w:val="0"/>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rPr>
              <w:t>推动义务教育从数量扩张向质量提高转变</w:t>
            </w:r>
          </w:p>
        </w:tc>
        <w:tc>
          <w:tcPr>
            <w:tcW w:w="957" w:type="dxa"/>
            <w:noWrap w:val="0"/>
            <w:vAlign w:val="center"/>
          </w:tcPr>
          <w:p>
            <w:pPr>
              <w:widowControl/>
              <w:adjustRightInd w:val="0"/>
              <w:snapToGrid w:val="0"/>
              <w:jc w:val="center"/>
              <w:rPr>
                <w:rFonts w:hint="eastAsia" w:ascii="仿宋_GB2312" w:hAnsi="仿宋_GB2312" w:eastAsia="仿宋_GB2312" w:cs="仿宋_GB2312"/>
              </w:rPr>
            </w:pPr>
            <w:r>
              <w:rPr>
                <w:rFonts w:hint="eastAsia" w:ascii="仿宋_GB2312" w:hAnsi="仿宋_GB2312" w:eastAsia="仿宋_GB2312" w:cs="仿宋_GB2312"/>
              </w:rPr>
              <w:t>≥</w:t>
            </w:r>
          </w:p>
        </w:tc>
        <w:tc>
          <w:tcPr>
            <w:tcW w:w="529" w:type="dxa"/>
            <w:noWrap w:val="0"/>
            <w:vAlign w:val="center"/>
          </w:tcPr>
          <w:p>
            <w:pPr>
              <w:widowControl/>
              <w:adjustRightInd w:val="0"/>
              <w:snapToGrid w:val="0"/>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95</w:t>
            </w:r>
          </w:p>
        </w:tc>
        <w:tc>
          <w:tcPr>
            <w:tcW w:w="407" w:type="dxa"/>
            <w:noWrap w:val="0"/>
            <w:vAlign w:val="center"/>
          </w:tcPr>
          <w:p>
            <w:pPr>
              <w:widowControl/>
              <w:adjustRightInd w:val="0"/>
              <w:snapToGrid w:val="0"/>
              <w:jc w:val="center"/>
              <w:rPr>
                <w:rFonts w:hint="eastAsia" w:ascii="仿宋_GB2312" w:hAnsi="仿宋_GB2312" w:eastAsia="仿宋_GB2312" w:cs="仿宋_GB2312"/>
              </w:rPr>
            </w:pPr>
            <w:r>
              <w:rPr>
                <w:rFonts w:hint="eastAsia" w:ascii="仿宋_GB2312" w:hAnsi="仿宋_GB2312" w:eastAsia="仿宋_GB2312" w:cs="仿宋_GB2312"/>
              </w:rPr>
              <w:t>%</w:t>
            </w:r>
          </w:p>
        </w:tc>
        <w:tc>
          <w:tcPr>
            <w:tcW w:w="908" w:type="dxa"/>
            <w:noWrap w:val="0"/>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rPr>
              <w:t>部门职责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04" w:hRule="atLeast"/>
          <w:jc w:val="center"/>
        </w:trPr>
        <w:tc>
          <w:tcPr>
            <w:tcW w:w="831" w:type="dxa"/>
            <w:vMerge w:val="continue"/>
            <w:noWrap w:val="0"/>
            <w:vAlign w:val="center"/>
          </w:tcPr>
          <w:p/>
        </w:tc>
        <w:tc>
          <w:tcPr>
            <w:tcW w:w="1319" w:type="dxa"/>
            <w:noWrap w:val="0"/>
            <w:vAlign w:val="center"/>
          </w:tcPr>
          <w:p>
            <w:pPr>
              <w:widowControl/>
              <w:adjustRightInd w:val="0"/>
              <w:snapToGrid w:val="0"/>
              <w:jc w:val="center"/>
              <w:rPr>
                <w:rFonts w:ascii="方正书宋_GBK" w:eastAsia="方正书宋_GBK"/>
              </w:rPr>
            </w:pPr>
            <w:r>
              <w:rPr>
                <w:rFonts w:hint="eastAsia" w:ascii="方正书宋_GBK" w:eastAsia="方正书宋_GBK"/>
              </w:rPr>
              <w:t>满意度</w:t>
            </w:r>
          </w:p>
        </w:tc>
        <w:tc>
          <w:tcPr>
            <w:tcW w:w="2173" w:type="dxa"/>
            <w:noWrap/>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rPr>
              <w:t>在园师幼的满意程度</w:t>
            </w:r>
          </w:p>
        </w:tc>
        <w:tc>
          <w:tcPr>
            <w:tcW w:w="4289" w:type="dxa"/>
            <w:noWrap/>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rPr>
              <w:t>10分在园师幼的满意度达到95%得满分，每降低1%扣1分，扣完为止。</w:t>
            </w:r>
          </w:p>
        </w:tc>
        <w:tc>
          <w:tcPr>
            <w:tcW w:w="2810" w:type="dxa"/>
            <w:noWrap/>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rPr>
              <w:t>在园师幼的满意程度</w:t>
            </w:r>
          </w:p>
        </w:tc>
        <w:tc>
          <w:tcPr>
            <w:tcW w:w="957" w:type="dxa"/>
            <w:noWrap w:val="0"/>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rPr>
              <w:t xml:space="preserve"> ≥</w:t>
            </w:r>
          </w:p>
        </w:tc>
        <w:tc>
          <w:tcPr>
            <w:tcW w:w="529" w:type="dxa"/>
            <w:noWrap w:val="0"/>
            <w:vAlign w:val="center"/>
          </w:tcPr>
          <w:p>
            <w:pPr>
              <w:widowControl/>
              <w:adjustRightInd w:val="0"/>
              <w:snapToGrid w:val="0"/>
              <w:rPr>
                <w:rFonts w:hint="eastAsia" w:ascii="仿宋_GB2312" w:hAnsi="仿宋_GB2312" w:eastAsia="仿宋_GB2312" w:cs="仿宋_GB2312"/>
                <w:lang w:val="en-US" w:eastAsia="zh-CN"/>
              </w:rPr>
            </w:pPr>
            <w:r>
              <w:rPr>
                <w:rFonts w:hint="eastAsia" w:ascii="仿宋_GB2312" w:hAnsi="仿宋_GB2312" w:eastAsia="仿宋_GB2312" w:cs="仿宋_GB2312"/>
              </w:rPr>
              <w:t xml:space="preserve"> </w:t>
            </w:r>
            <w:r>
              <w:rPr>
                <w:rFonts w:hint="eastAsia" w:ascii="仿宋_GB2312" w:hAnsi="仿宋_GB2312" w:eastAsia="仿宋_GB2312" w:cs="仿宋_GB2312"/>
                <w:lang w:val="en-US" w:eastAsia="zh-CN"/>
              </w:rPr>
              <w:t>95</w:t>
            </w:r>
          </w:p>
        </w:tc>
        <w:tc>
          <w:tcPr>
            <w:tcW w:w="407" w:type="dxa"/>
            <w:noWrap w:val="0"/>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rPr>
              <w:t xml:space="preserve">  %</w:t>
            </w:r>
          </w:p>
        </w:tc>
        <w:tc>
          <w:tcPr>
            <w:tcW w:w="908" w:type="dxa"/>
            <w:noWrap w:val="0"/>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rPr>
              <w:t>调查问卷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04" w:hRule="atLeast"/>
          <w:jc w:val="center"/>
        </w:trPr>
        <w:tc>
          <w:tcPr>
            <w:tcW w:w="831" w:type="dxa"/>
            <w:noWrap w:val="0"/>
            <w:vAlign w:val="center"/>
          </w:tcPr>
          <w:p/>
        </w:tc>
        <w:tc>
          <w:tcPr>
            <w:tcW w:w="1319" w:type="dxa"/>
            <w:noWrap w:val="0"/>
            <w:vAlign w:val="center"/>
          </w:tcPr>
          <w:p>
            <w:pPr>
              <w:widowControl/>
              <w:adjustRightInd w:val="0"/>
              <w:snapToGrid w:val="0"/>
              <w:jc w:val="center"/>
              <w:rPr>
                <w:rFonts w:hint="eastAsia" w:ascii="方正书宋_GBK" w:eastAsia="方正书宋_GBK"/>
                <w:lang w:eastAsia="zh-CN"/>
              </w:rPr>
            </w:pPr>
            <w:r>
              <w:rPr>
                <w:rFonts w:hint="eastAsia" w:ascii="方正书宋_GBK" w:eastAsia="方正书宋_GBK"/>
                <w:lang w:eastAsia="zh-CN"/>
              </w:rPr>
              <w:t>满意度</w:t>
            </w:r>
          </w:p>
        </w:tc>
        <w:tc>
          <w:tcPr>
            <w:tcW w:w="2173" w:type="dxa"/>
            <w:noWrap/>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rPr>
              <w:t>家长的满意程度</w:t>
            </w:r>
          </w:p>
        </w:tc>
        <w:tc>
          <w:tcPr>
            <w:tcW w:w="4289" w:type="dxa"/>
            <w:noWrap/>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rPr>
              <w:t>10分家长的满意度达到95%得满分，每降低1%扣1分，扣完为止。</w:t>
            </w:r>
          </w:p>
        </w:tc>
        <w:tc>
          <w:tcPr>
            <w:tcW w:w="2810" w:type="dxa"/>
            <w:noWrap/>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rPr>
              <w:t>家长的满意程度</w:t>
            </w:r>
          </w:p>
        </w:tc>
        <w:tc>
          <w:tcPr>
            <w:tcW w:w="957" w:type="dxa"/>
            <w:noWrap w:val="0"/>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rPr>
              <w:t>≥</w:t>
            </w:r>
          </w:p>
        </w:tc>
        <w:tc>
          <w:tcPr>
            <w:tcW w:w="529" w:type="dxa"/>
            <w:noWrap w:val="0"/>
            <w:vAlign w:val="center"/>
          </w:tcPr>
          <w:p>
            <w:pPr>
              <w:widowControl/>
              <w:adjustRightInd w:val="0"/>
              <w:snapToGrid w:val="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95</w:t>
            </w:r>
          </w:p>
        </w:tc>
        <w:tc>
          <w:tcPr>
            <w:tcW w:w="407" w:type="dxa"/>
            <w:noWrap w:val="0"/>
            <w:vAlign w:val="center"/>
          </w:tcPr>
          <w:p>
            <w:pPr>
              <w:widowControl/>
              <w:adjustRightInd w:val="0"/>
              <w:snapToGrid w:val="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w:t>
            </w:r>
          </w:p>
        </w:tc>
        <w:tc>
          <w:tcPr>
            <w:tcW w:w="908" w:type="dxa"/>
            <w:noWrap w:val="0"/>
            <w:vAlign w:val="center"/>
          </w:tcPr>
          <w:p>
            <w:pPr>
              <w:widowControl/>
              <w:adjustRightInd w:val="0"/>
              <w:snapToGrid w:val="0"/>
              <w:rPr>
                <w:rFonts w:hint="eastAsia" w:ascii="仿宋_GB2312" w:hAnsi="仿宋_GB2312" w:eastAsia="仿宋_GB2312" w:cs="仿宋_GB2312"/>
                <w:kern w:val="2"/>
                <w:sz w:val="21"/>
                <w:szCs w:val="22"/>
                <w:lang w:val="en-US" w:eastAsia="zh-CN" w:bidi="ar-SA"/>
              </w:rPr>
            </w:pPr>
            <w:r>
              <w:rPr>
                <w:rFonts w:hint="eastAsia" w:ascii="仿宋_GB2312" w:hAnsi="仿宋_GB2312" w:eastAsia="仿宋_GB2312" w:cs="仿宋_GB2312"/>
              </w:rPr>
              <w:t>调查问卷</w:t>
            </w:r>
          </w:p>
        </w:tc>
      </w:tr>
    </w:tbl>
    <w:p>
      <w:pPr>
        <w:spacing w:line="584" w:lineRule="exact"/>
        <w:ind w:firstLine="640" w:firstLineChars="200"/>
        <w:rPr>
          <w:rFonts w:hint="eastAsia" w:ascii="Times New Roman" w:hAnsi="Times New Roman" w:eastAsia="黑体" w:cs="Times New Roman"/>
          <w:sz w:val="32"/>
          <w:szCs w:val="32"/>
        </w:rPr>
      </w:pPr>
    </w:p>
    <w:p>
      <w:pPr>
        <w:spacing w:line="584" w:lineRule="exact"/>
        <w:ind w:firstLine="640" w:firstLineChars="200"/>
        <w:rPr>
          <w:rFonts w:hint="eastAsia" w:ascii="Times New Roman" w:hAnsi="Times New Roman" w:eastAsia="黑体" w:cs="Times New Roman"/>
          <w:sz w:val="32"/>
          <w:szCs w:val="32"/>
        </w:rPr>
      </w:pP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第二部分 资金绩效目标</w:t>
      </w:r>
    </w:p>
    <w:p>
      <w:pPr>
        <w:spacing w:line="584"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bookmarkStart w:id="0" w:name="_Toc29799657"/>
      <w:bookmarkEnd w:id="0"/>
      <w:r>
        <w:rPr>
          <w:rFonts w:hint="eastAsia" w:ascii="仿宋_GB2312" w:hAnsi="仿宋_GB2312" w:eastAsia="仿宋_GB2312" w:cs="仿宋_GB2312"/>
          <w:sz w:val="32"/>
          <w:szCs w:val="32"/>
        </w:rPr>
        <w:t xml:space="preserve"> 幼儿园生均经费区级资金绩效目标表</w:t>
      </w: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noWrap w:val="0"/>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绩效目标</w:t>
            </w:r>
          </w:p>
        </w:tc>
        <w:tc>
          <w:tcPr>
            <w:tcW w:w="11653" w:type="dxa"/>
            <w:gridSpan w:val="5"/>
            <w:noWrap w:val="0"/>
            <w:vAlign w:val="center"/>
          </w:tcPr>
          <w:p>
            <w:pPr>
              <w:pStyle w:val="14"/>
              <w:rPr>
                <w:rFonts w:hint="eastAsia" w:ascii="仿宋_GB2312" w:hAnsi="仿宋_GB2312" w:eastAsia="仿宋_GB2312" w:cs="仿宋_GB2312"/>
                <w:kern w:val="2"/>
                <w:szCs w:val="22"/>
                <w:lang w:eastAsia="zh-CN"/>
              </w:rPr>
            </w:pPr>
            <w:r>
              <w:rPr>
                <w:rFonts w:hint="eastAsia" w:ascii="仿宋_GB2312" w:hAnsi="仿宋_GB2312" w:eastAsia="仿宋_GB2312" w:cs="仿宋_GB2312"/>
                <w:kern w:val="2"/>
                <w:szCs w:val="22"/>
                <w:lang w:eastAsia="zh-CN"/>
              </w:rPr>
              <w:t>1.按项目实施方案及时、准确的统计在校学生人数，按照绩效管理的要求及时上报汇总申请资金，按照文件要求合理、合规保障学校运转及事业发展。</w:t>
            </w:r>
          </w:p>
          <w:p>
            <w:pPr>
              <w:pStyle w:val="14"/>
              <w:rPr>
                <w:rFonts w:hint="eastAsia" w:ascii="仿宋_GB2312" w:hAnsi="仿宋_GB2312" w:eastAsia="仿宋_GB2312" w:cs="仿宋_GB2312"/>
                <w:kern w:val="2"/>
                <w:szCs w:val="22"/>
                <w:lang w:eastAsia="zh-CN"/>
              </w:rPr>
            </w:pPr>
            <w:r>
              <w:rPr>
                <w:rFonts w:hint="eastAsia" w:ascii="仿宋_GB2312" w:hAnsi="仿宋_GB2312" w:eastAsia="仿宋_GB2312" w:cs="仿宋_GB2312"/>
                <w:kern w:val="2"/>
                <w:szCs w:val="22"/>
                <w:lang w:eastAsia="zh-CN"/>
              </w:rPr>
              <w:t>2.保障义务教育学校运转，改善学校基本办学条件，促进义务教育均衡发展及学生素质提高。</w:t>
            </w:r>
          </w:p>
          <w:p>
            <w:pPr>
              <w:pStyle w:val="14"/>
              <w:rPr>
                <w:rFonts w:hint="eastAsia" w:ascii="仿宋_GB2312" w:hAnsi="仿宋_GB2312" w:eastAsia="仿宋_GB2312" w:cs="仿宋_GB2312"/>
                <w:kern w:val="2"/>
                <w:szCs w:val="22"/>
                <w:lang w:eastAsia="zh-CN"/>
              </w:rPr>
            </w:pPr>
            <w:r>
              <w:rPr>
                <w:rFonts w:hint="eastAsia" w:ascii="仿宋_GB2312" w:hAnsi="仿宋_GB2312" w:eastAsia="仿宋_GB2312" w:cs="仿宋_GB2312"/>
                <w:kern w:val="2"/>
                <w:szCs w:val="22"/>
                <w:lang w:eastAsia="zh-CN"/>
              </w:rPr>
              <w:t>3.广阳二幼对2022年在校学生380人，按照义务教育生均公用经费标准申请财政预算资金，通过合理、合规使用资金达到保证学校正常运转，改善办学条件，促进义务教育发展。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noWrap w:val="0"/>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一级指标</w:t>
            </w:r>
          </w:p>
        </w:tc>
        <w:tc>
          <w:tcPr>
            <w:tcW w:w="2268" w:type="dxa"/>
            <w:noWrap w:val="0"/>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二级指标</w:t>
            </w:r>
          </w:p>
        </w:tc>
        <w:tc>
          <w:tcPr>
            <w:tcW w:w="1985" w:type="dxa"/>
            <w:noWrap w:val="0"/>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三级指标</w:t>
            </w:r>
          </w:p>
        </w:tc>
        <w:tc>
          <w:tcPr>
            <w:tcW w:w="3402" w:type="dxa"/>
            <w:noWrap w:val="0"/>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绩效指标描述</w:t>
            </w:r>
          </w:p>
        </w:tc>
        <w:tc>
          <w:tcPr>
            <w:tcW w:w="1843" w:type="dxa"/>
            <w:noWrap w:val="0"/>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指标值</w:t>
            </w:r>
          </w:p>
        </w:tc>
        <w:tc>
          <w:tcPr>
            <w:tcW w:w="2155" w:type="dxa"/>
            <w:noWrap w:val="0"/>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noWrap w:val="0"/>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产出指标</w:t>
            </w:r>
          </w:p>
        </w:tc>
        <w:tc>
          <w:tcPr>
            <w:tcW w:w="2268" w:type="dxa"/>
            <w:noWrap w:val="0"/>
            <w:vAlign w:val="center"/>
          </w:tcPr>
          <w:p>
            <w:pPr>
              <w:pStyle w:val="14"/>
              <w:rPr>
                <w:rFonts w:hint="eastAsia" w:ascii="仿宋_GB2312" w:hAnsi="仿宋_GB2312" w:eastAsia="仿宋_GB2312" w:cs="仿宋_GB2312"/>
                <w:kern w:val="2"/>
                <w:szCs w:val="22"/>
                <w:lang w:eastAsia="zh-CN"/>
              </w:rPr>
            </w:pPr>
            <w:r>
              <w:rPr>
                <w:rFonts w:hint="eastAsia" w:ascii="仿宋_GB2312" w:hAnsi="仿宋_GB2312" w:eastAsia="仿宋_GB2312" w:cs="仿宋_GB2312"/>
                <w:kern w:val="2"/>
                <w:szCs w:val="22"/>
                <w:lang w:eastAsia="zh-CN"/>
              </w:rPr>
              <w:t>数量指标</w:t>
            </w:r>
          </w:p>
        </w:tc>
        <w:tc>
          <w:tcPr>
            <w:tcW w:w="1985" w:type="dxa"/>
            <w:noWrap w:val="0"/>
            <w:vAlign w:val="center"/>
          </w:tcPr>
          <w:p>
            <w:pPr>
              <w:pStyle w:val="14"/>
              <w:rPr>
                <w:rFonts w:hint="eastAsia" w:ascii="仿宋_GB2312" w:hAnsi="仿宋_GB2312" w:eastAsia="仿宋_GB2312" w:cs="仿宋_GB2312"/>
                <w:kern w:val="2"/>
                <w:szCs w:val="22"/>
                <w:lang w:eastAsia="zh-CN"/>
              </w:rPr>
            </w:pPr>
            <w:r>
              <w:rPr>
                <w:rFonts w:hint="eastAsia" w:ascii="仿宋_GB2312" w:hAnsi="仿宋_GB2312" w:eastAsia="仿宋_GB2312" w:cs="仿宋_GB2312"/>
                <w:kern w:val="2"/>
                <w:szCs w:val="22"/>
                <w:lang w:eastAsia="zh-CN"/>
              </w:rPr>
              <w:t>申请生均公用经费的学生人数</w:t>
            </w:r>
          </w:p>
        </w:tc>
        <w:tc>
          <w:tcPr>
            <w:tcW w:w="3402" w:type="dxa"/>
            <w:noWrap w:val="0"/>
            <w:vAlign w:val="center"/>
          </w:tcPr>
          <w:p>
            <w:pPr>
              <w:pStyle w:val="14"/>
              <w:rPr>
                <w:rFonts w:hint="eastAsia" w:ascii="仿宋_GB2312" w:hAnsi="仿宋_GB2312" w:eastAsia="仿宋_GB2312" w:cs="仿宋_GB2312"/>
                <w:kern w:val="2"/>
                <w:szCs w:val="22"/>
                <w:lang w:eastAsia="zh-CN"/>
              </w:rPr>
            </w:pPr>
            <w:r>
              <w:rPr>
                <w:rFonts w:hint="eastAsia" w:ascii="仿宋_GB2312" w:hAnsi="仿宋_GB2312" w:eastAsia="仿宋_GB2312" w:cs="仿宋_GB2312"/>
                <w:kern w:val="2"/>
                <w:szCs w:val="22"/>
                <w:lang w:eastAsia="zh-CN"/>
              </w:rPr>
              <w:t>按文件要求申请生均公用经费的学生人数</w:t>
            </w:r>
          </w:p>
        </w:tc>
        <w:tc>
          <w:tcPr>
            <w:tcW w:w="1843" w:type="dxa"/>
            <w:noWrap w:val="0"/>
            <w:vAlign w:val="center"/>
          </w:tcPr>
          <w:p>
            <w:pPr>
              <w:pStyle w:val="14"/>
              <w:rPr>
                <w:rFonts w:hint="default" w:ascii="仿宋_GB2312" w:hAnsi="仿宋_GB2312" w:eastAsia="仿宋_GB2312" w:cs="仿宋_GB2312"/>
                <w:kern w:val="2"/>
                <w:szCs w:val="22"/>
                <w:lang w:val="en-US" w:eastAsia="zh-CN"/>
              </w:rPr>
            </w:pPr>
            <w:r>
              <w:rPr>
                <w:rFonts w:hint="eastAsia" w:ascii="仿宋_GB2312" w:hAnsi="仿宋_GB2312" w:eastAsia="仿宋_GB2312" w:cs="仿宋_GB2312"/>
                <w:kern w:val="2"/>
                <w:szCs w:val="22"/>
                <w:lang w:eastAsia="zh-CN"/>
              </w:rPr>
              <w:t>3</w:t>
            </w:r>
            <w:r>
              <w:rPr>
                <w:rFonts w:hint="eastAsia" w:ascii="仿宋_GB2312" w:hAnsi="仿宋_GB2312" w:eastAsia="仿宋_GB2312" w:cs="仿宋_GB2312"/>
                <w:kern w:val="2"/>
                <w:szCs w:val="22"/>
                <w:lang w:val="en-US" w:eastAsia="zh-CN"/>
              </w:rPr>
              <w:t>6</w:t>
            </w:r>
            <w:r>
              <w:rPr>
                <w:rFonts w:hint="eastAsia" w:ascii="仿宋_GB2312" w:hAnsi="仿宋_GB2312" w:eastAsia="仿宋_GB2312" w:cs="仿宋_GB2312"/>
                <w:kern w:val="2"/>
                <w:szCs w:val="22"/>
                <w:lang w:eastAsia="zh-CN"/>
              </w:rPr>
              <w:t>0人</w:t>
            </w:r>
          </w:p>
        </w:tc>
        <w:tc>
          <w:tcPr>
            <w:tcW w:w="2155" w:type="dxa"/>
            <w:noWrap w:val="0"/>
            <w:vAlign w:val="center"/>
          </w:tcPr>
          <w:p>
            <w:pPr>
              <w:pStyle w:val="14"/>
              <w:rPr>
                <w:rFonts w:hint="eastAsia" w:ascii="仿宋_GB2312" w:hAnsi="仿宋_GB2312" w:eastAsia="仿宋_GB2312" w:cs="仿宋_GB2312"/>
                <w:kern w:val="2"/>
                <w:szCs w:val="22"/>
                <w:lang w:eastAsia="zh-CN"/>
              </w:rPr>
            </w:pPr>
            <w:r>
              <w:rPr>
                <w:rFonts w:hint="eastAsia" w:ascii="仿宋_GB2312" w:hAnsi="仿宋_GB2312" w:eastAsia="仿宋_GB2312" w:cs="仿宋_GB2312"/>
                <w:kern w:val="2"/>
                <w:szCs w:val="22"/>
                <w:lang w:eastAsia="zh-CN"/>
              </w:rPr>
              <w:t>冀财教【2018】99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noWrap w:val="0"/>
            <w:vAlign w:val="center"/>
          </w:tcPr>
          <w:p>
            <w:pPr>
              <w:rPr>
                <w:rFonts w:hint="eastAsia" w:ascii="仿宋_GB2312" w:hAnsi="仿宋_GB2312" w:eastAsia="仿宋_GB2312" w:cs="仿宋_GB2312"/>
              </w:rPr>
            </w:pPr>
          </w:p>
        </w:tc>
        <w:tc>
          <w:tcPr>
            <w:tcW w:w="2268" w:type="dxa"/>
            <w:noWrap w:val="0"/>
            <w:vAlign w:val="center"/>
          </w:tcPr>
          <w:p>
            <w:pPr>
              <w:pStyle w:val="14"/>
              <w:rPr>
                <w:rFonts w:hint="eastAsia" w:ascii="仿宋_GB2312" w:hAnsi="仿宋_GB2312" w:eastAsia="仿宋_GB2312" w:cs="仿宋_GB2312"/>
                <w:kern w:val="2"/>
                <w:szCs w:val="22"/>
                <w:lang w:eastAsia="zh-CN"/>
              </w:rPr>
            </w:pPr>
            <w:r>
              <w:rPr>
                <w:rFonts w:hint="eastAsia" w:ascii="仿宋_GB2312" w:hAnsi="仿宋_GB2312" w:eastAsia="仿宋_GB2312" w:cs="仿宋_GB2312"/>
                <w:kern w:val="2"/>
                <w:szCs w:val="22"/>
                <w:lang w:eastAsia="zh-CN"/>
              </w:rPr>
              <w:t>质量指标</w:t>
            </w:r>
          </w:p>
        </w:tc>
        <w:tc>
          <w:tcPr>
            <w:tcW w:w="1985" w:type="dxa"/>
            <w:noWrap w:val="0"/>
            <w:vAlign w:val="center"/>
          </w:tcPr>
          <w:p>
            <w:pPr>
              <w:pStyle w:val="14"/>
              <w:rPr>
                <w:rFonts w:hint="eastAsia" w:ascii="仿宋_GB2312" w:hAnsi="仿宋_GB2312" w:eastAsia="仿宋_GB2312" w:cs="仿宋_GB2312"/>
                <w:kern w:val="2"/>
                <w:szCs w:val="22"/>
                <w:lang w:eastAsia="zh-CN"/>
              </w:rPr>
            </w:pPr>
            <w:r>
              <w:rPr>
                <w:rFonts w:hint="eastAsia" w:ascii="仿宋_GB2312" w:hAnsi="仿宋_GB2312" w:eastAsia="仿宋_GB2312" w:cs="仿宋_GB2312"/>
                <w:kern w:val="2"/>
                <w:szCs w:val="22"/>
                <w:lang w:eastAsia="zh-CN"/>
              </w:rPr>
              <w:t>生均公用经费使用的合规率</w:t>
            </w:r>
          </w:p>
        </w:tc>
        <w:tc>
          <w:tcPr>
            <w:tcW w:w="3402" w:type="dxa"/>
            <w:noWrap w:val="0"/>
            <w:vAlign w:val="center"/>
          </w:tcPr>
          <w:p>
            <w:pPr>
              <w:pStyle w:val="14"/>
              <w:rPr>
                <w:rFonts w:hint="eastAsia" w:ascii="仿宋_GB2312" w:hAnsi="仿宋_GB2312" w:eastAsia="仿宋_GB2312" w:cs="仿宋_GB2312"/>
                <w:kern w:val="2"/>
                <w:szCs w:val="22"/>
                <w:lang w:eastAsia="zh-CN"/>
              </w:rPr>
            </w:pPr>
            <w:r>
              <w:rPr>
                <w:rFonts w:hint="eastAsia" w:ascii="仿宋_GB2312" w:hAnsi="仿宋_GB2312" w:eastAsia="仿宋_GB2312" w:cs="仿宋_GB2312"/>
                <w:kern w:val="2"/>
                <w:szCs w:val="22"/>
                <w:lang w:eastAsia="zh-CN"/>
              </w:rPr>
              <w:t>生均公用经费使用符合文件中的相关规定</w:t>
            </w:r>
          </w:p>
        </w:tc>
        <w:tc>
          <w:tcPr>
            <w:tcW w:w="1843" w:type="dxa"/>
            <w:noWrap w:val="0"/>
            <w:vAlign w:val="center"/>
          </w:tcPr>
          <w:p>
            <w:pPr>
              <w:pStyle w:val="14"/>
              <w:rPr>
                <w:rFonts w:hint="eastAsia" w:ascii="仿宋_GB2312" w:hAnsi="仿宋_GB2312" w:eastAsia="仿宋_GB2312" w:cs="仿宋_GB2312"/>
                <w:kern w:val="2"/>
                <w:szCs w:val="22"/>
                <w:lang w:eastAsia="zh-CN"/>
              </w:rPr>
            </w:pPr>
            <w:r>
              <w:rPr>
                <w:rFonts w:hint="eastAsia" w:ascii="仿宋_GB2312" w:hAnsi="仿宋_GB2312" w:eastAsia="仿宋_GB2312" w:cs="仿宋_GB2312"/>
                <w:kern w:val="2"/>
                <w:szCs w:val="22"/>
                <w:lang w:eastAsia="zh-CN"/>
              </w:rPr>
              <w:t>100%</w:t>
            </w:r>
          </w:p>
        </w:tc>
        <w:tc>
          <w:tcPr>
            <w:tcW w:w="2155" w:type="dxa"/>
            <w:noWrap w:val="0"/>
            <w:vAlign w:val="center"/>
          </w:tcPr>
          <w:p>
            <w:pPr>
              <w:pStyle w:val="14"/>
              <w:rPr>
                <w:rFonts w:hint="eastAsia" w:ascii="仿宋_GB2312" w:hAnsi="仿宋_GB2312" w:eastAsia="仿宋_GB2312" w:cs="仿宋_GB2312"/>
                <w:kern w:val="2"/>
                <w:szCs w:val="22"/>
                <w:lang w:eastAsia="zh-CN"/>
              </w:rPr>
            </w:pPr>
            <w:r>
              <w:rPr>
                <w:rFonts w:hint="eastAsia" w:ascii="仿宋_GB2312" w:hAnsi="仿宋_GB2312" w:eastAsia="仿宋_GB2312" w:cs="仿宋_GB2312"/>
                <w:kern w:val="2"/>
                <w:szCs w:val="22"/>
                <w:lang w:eastAsia="zh-CN"/>
              </w:rPr>
              <w:t>冀财教【2018】99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noWrap w:val="0"/>
            <w:vAlign w:val="center"/>
          </w:tcPr>
          <w:p>
            <w:pPr>
              <w:rPr>
                <w:rFonts w:hint="eastAsia" w:ascii="仿宋_GB2312" w:hAnsi="仿宋_GB2312" w:eastAsia="仿宋_GB2312" w:cs="仿宋_GB2312"/>
              </w:rPr>
            </w:pPr>
          </w:p>
        </w:tc>
        <w:tc>
          <w:tcPr>
            <w:tcW w:w="2268" w:type="dxa"/>
            <w:noWrap w:val="0"/>
            <w:vAlign w:val="center"/>
          </w:tcPr>
          <w:p>
            <w:pPr>
              <w:pStyle w:val="14"/>
              <w:rPr>
                <w:rFonts w:hint="eastAsia" w:ascii="仿宋_GB2312" w:hAnsi="仿宋_GB2312" w:eastAsia="仿宋_GB2312" w:cs="仿宋_GB2312"/>
                <w:kern w:val="2"/>
                <w:szCs w:val="22"/>
                <w:lang w:eastAsia="zh-CN"/>
              </w:rPr>
            </w:pPr>
            <w:r>
              <w:rPr>
                <w:rFonts w:hint="eastAsia" w:ascii="仿宋_GB2312" w:hAnsi="仿宋_GB2312" w:eastAsia="仿宋_GB2312" w:cs="仿宋_GB2312"/>
                <w:kern w:val="2"/>
                <w:szCs w:val="22"/>
                <w:lang w:eastAsia="zh-CN"/>
              </w:rPr>
              <w:t>时效指标</w:t>
            </w:r>
          </w:p>
        </w:tc>
        <w:tc>
          <w:tcPr>
            <w:tcW w:w="1985" w:type="dxa"/>
            <w:noWrap w:val="0"/>
            <w:vAlign w:val="center"/>
          </w:tcPr>
          <w:p>
            <w:pPr>
              <w:pStyle w:val="14"/>
              <w:rPr>
                <w:rFonts w:hint="eastAsia" w:ascii="仿宋_GB2312" w:hAnsi="仿宋_GB2312" w:eastAsia="仿宋_GB2312" w:cs="仿宋_GB2312"/>
                <w:kern w:val="2"/>
                <w:szCs w:val="22"/>
                <w:lang w:eastAsia="zh-CN"/>
              </w:rPr>
            </w:pPr>
            <w:r>
              <w:rPr>
                <w:rFonts w:hint="eastAsia" w:ascii="仿宋_GB2312" w:hAnsi="仿宋_GB2312" w:eastAsia="仿宋_GB2312" w:cs="仿宋_GB2312"/>
                <w:kern w:val="2"/>
                <w:szCs w:val="22"/>
                <w:lang w:eastAsia="zh-CN"/>
              </w:rPr>
              <w:t>用于保障学校正常运转项目完成及时率</w:t>
            </w:r>
          </w:p>
        </w:tc>
        <w:tc>
          <w:tcPr>
            <w:tcW w:w="3402" w:type="dxa"/>
            <w:noWrap w:val="0"/>
            <w:vAlign w:val="center"/>
          </w:tcPr>
          <w:p>
            <w:pPr>
              <w:pStyle w:val="14"/>
              <w:rPr>
                <w:rFonts w:hint="eastAsia" w:ascii="仿宋_GB2312" w:hAnsi="仿宋_GB2312" w:eastAsia="仿宋_GB2312" w:cs="仿宋_GB2312"/>
                <w:kern w:val="2"/>
                <w:szCs w:val="22"/>
                <w:lang w:eastAsia="zh-CN"/>
              </w:rPr>
            </w:pPr>
            <w:r>
              <w:rPr>
                <w:rFonts w:hint="eastAsia" w:ascii="仿宋_GB2312" w:hAnsi="仿宋_GB2312" w:eastAsia="仿宋_GB2312" w:cs="仿宋_GB2312"/>
                <w:kern w:val="2"/>
                <w:szCs w:val="22"/>
                <w:lang w:eastAsia="zh-CN"/>
              </w:rPr>
              <w:t>使用生均公用经费，用于保障学校正常运转的项目完成情况</w:t>
            </w:r>
          </w:p>
        </w:tc>
        <w:tc>
          <w:tcPr>
            <w:tcW w:w="1843" w:type="dxa"/>
            <w:noWrap w:val="0"/>
            <w:vAlign w:val="center"/>
          </w:tcPr>
          <w:p>
            <w:pPr>
              <w:pStyle w:val="14"/>
              <w:rPr>
                <w:rFonts w:hint="eastAsia" w:ascii="仿宋_GB2312" w:hAnsi="仿宋_GB2312" w:eastAsia="仿宋_GB2312" w:cs="仿宋_GB2312"/>
                <w:kern w:val="2"/>
                <w:szCs w:val="22"/>
                <w:lang w:eastAsia="zh-CN"/>
              </w:rPr>
            </w:pPr>
            <w:r>
              <w:rPr>
                <w:rFonts w:hint="eastAsia" w:ascii="仿宋_GB2312" w:hAnsi="仿宋_GB2312" w:eastAsia="仿宋_GB2312" w:cs="仿宋_GB2312"/>
                <w:kern w:val="2"/>
                <w:szCs w:val="22"/>
                <w:lang w:eastAsia="zh-CN"/>
              </w:rPr>
              <w:t>100%</w:t>
            </w:r>
          </w:p>
        </w:tc>
        <w:tc>
          <w:tcPr>
            <w:tcW w:w="2155" w:type="dxa"/>
            <w:noWrap w:val="0"/>
            <w:vAlign w:val="center"/>
          </w:tcPr>
          <w:p>
            <w:pPr>
              <w:pStyle w:val="14"/>
              <w:rPr>
                <w:rFonts w:hint="eastAsia" w:ascii="仿宋_GB2312" w:hAnsi="仿宋_GB2312" w:eastAsia="仿宋_GB2312" w:cs="仿宋_GB2312"/>
                <w:kern w:val="2"/>
                <w:szCs w:val="22"/>
                <w:lang w:eastAsia="zh-CN"/>
              </w:rPr>
            </w:pPr>
            <w:r>
              <w:rPr>
                <w:rFonts w:hint="eastAsia" w:ascii="仿宋_GB2312" w:hAnsi="仿宋_GB2312" w:eastAsia="仿宋_GB2312" w:cs="仿宋_GB2312"/>
                <w:kern w:val="2"/>
                <w:szCs w:val="22"/>
                <w:lang w:eastAsia="zh-CN"/>
              </w:rPr>
              <w:t>按进度及时完成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noWrap w:val="0"/>
            <w:vAlign w:val="center"/>
          </w:tcPr>
          <w:p>
            <w:pPr>
              <w:rPr>
                <w:rFonts w:hint="eastAsia" w:ascii="仿宋_GB2312" w:hAnsi="仿宋_GB2312" w:eastAsia="仿宋_GB2312" w:cs="仿宋_GB2312"/>
              </w:rPr>
            </w:pPr>
          </w:p>
        </w:tc>
        <w:tc>
          <w:tcPr>
            <w:tcW w:w="2268" w:type="dxa"/>
            <w:noWrap w:val="0"/>
            <w:vAlign w:val="center"/>
          </w:tcPr>
          <w:p>
            <w:pPr>
              <w:pStyle w:val="14"/>
              <w:rPr>
                <w:rFonts w:hint="eastAsia" w:ascii="仿宋_GB2312" w:hAnsi="仿宋_GB2312" w:eastAsia="仿宋_GB2312" w:cs="仿宋_GB2312"/>
                <w:kern w:val="2"/>
                <w:szCs w:val="22"/>
                <w:lang w:eastAsia="zh-CN"/>
              </w:rPr>
            </w:pPr>
            <w:r>
              <w:rPr>
                <w:rFonts w:hint="eastAsia" w:ascii="仿宋_GB2312" w:hAnsi="仿宋_GB2312" w:eastAsia="仿宋_GB2312" w:cs="仿宋_GB2312"/>
                <w:kern w:val="2"/>
                <w:szCs w:val="22"/>
                <w:lang w:eastAsia="zh-CN"/>
              </w:rPr>
              <w:t>成本指标</w:t>
            </w:r>
          </w:p>
        </w:tc>
        <w:tc>
          <w:tcPr>
            <w:tcW w:w="1985" w:type="dxa"/>
            <w:noWrap w:val="0"/>
            <w:vAlign w:val="center"/>
          </w:tcPr>
          <w:p>
            <w:pPr>
              <w:pStyle w:val="14"/>
              <w:rPr>
                <w:rFonts w:hint="eastAsia" w:ascii="仿宋_GB2312" w:hAnsi="仿宋_GB2312" w:eastAsia="仿宋_GB2312" w:cs="仿宋_GB2312"/>
                <w:kern w:val="2"/>
                <w:szCs w:val="22"/>
                <w:lang w:eastAsia="zh-CN"/>
              </w:rPr>
            </w:pPr>
            <w:r>
              <w:rPr>
                <w:rFonts w:hint="eastAsia" w:ascii="仿宋_GB2312" w:hAnsi="仿宋_GB2312" w:eastAsia="仿宋_GB2312" w:cs="仿宋_GB2312"/>
                <w:kern w:val="2"/>
                <w:szCs w:val="22"/>
                <w:lang w:eastAsia="zh-CN"/>
              </w:rPr>
              <w:t>使用生均公用经费，用于保障学校正常运转的项目支出成本</w:t>
            </w:r>
          </w:p>
        </w:tc>
        <w:tc>
          <w:tcPr>
            <w:tcW w:w="3402" w:type="dxa"/>
            <w:noWrap w:val="0"/>
            <w:vAlign w:val="center"/>
          </w:tcPr>
          <w:p>
            <w:pPr>
              <w:pStyle w:val="14"/>
              <w:rPr>
                <w:rFonts w:hint="eastAsia" w:ascii="仿宋_GB2312" w:hAnsi="仿宋_GB2312" w:eastAsia="仿宋_GB2312" w:cs="仿宋_GB2312"/>
                <w:kern w:val="2"/>
                <w:szCs w:val="22"/>
                <w:lang w:eastAsia="zh-CN"/>
              </w:rPr>
            </w:pPr>
            <w:r>
              <w:rPr>
                <w:rFonts w:hint="eastAsia" w:ascii="仿宋_GB2312" w:hAnsi="仿宋_GB2312" w:eastAsia="仿宋_GB2312" w:cs="仿宋_GB2312"/>
                <w:kern w:val="2"/>
                <w:szCs w:val="22"/>
                <w:lang w:eastAsia="zh-CN"/>
              </w:rPr>
              <w:t>使用生均公用经费，用于保障学校正常运转的项目支出成本等于400元/生</w:t>
            </w:r>
          </w:p>
        </w:tc>
        <w:tc>
          <w:tcPr>
            <w:tcW w:w="1843" w:type="dxa"/>
            <w:noWrap w:val="0"/>
            <w:vAlign w:val="center"/>
          </w:tcPr>
          <w:p>
            <w:pPr>
              <w:pStyle w:val="14"/>
              <w:rPr>
                <w:rFonts w:hint="eastAsia" w:ascii="仿宋_GB2312" w:hAnsi="仿宋_GB2312" w:eastAsia="仿宋_GB2312" w:cs="仿宋_GB2312"/>
                <w:kern w:val="2"/>
                <w:szCs w:val="22"/>
                <w:lang w:eastAsia="zh-CN"/>
              </w:rPr>
            </w:pPr>
            <w:r>
              <w:rPr>
                <w:rFonts w:hint="eastAsia" w:ascii="仿宋_GB2312" w:hAnsi="仿宋_GB2312" w:eastAsia="仿宋_GB2312" w:cs="仿宋_GB2312"/>
                <w:kern w:val="2"/>
                <w:szCs w:val="22"/>
                <w:lang w:eastAsia="zh-CN"/>
              </w:rPr>
              <w:t>400元</w:t>
            </w:r>
          </w:p>
        </w:tc>
        <w:tc>
          <w:tcPr>
            <w:tcW w:w="2155" w:type="dxa"/>
            <w:noWrap w:val="0"/>
            <w:vAlign w:val="center"/>
          </w:tcPr>
          <w:p>
            <w:pPr>
              <w:pStyle w:val="14"/>
              <w:rPr>
                <w:rFonts w:hint="eastAsia" w:ascii="仿宋_GB2312" w:hAnsi="仿宋_GB2312" w:eastAsia="仿宋_GB2312" w:cs="仿宋_GB2312"/>
                <w:kern w:val="2"/>
                <w:szCs w:val="22"/>
                <w:lang w:eastAsia="zh-CN"/>
              </w:rPr>
            </w:pPr>
            <w:r>
              <w:rPr>
                <w:rFonts w:hint="eastAsia" w:ascii="仿宋_GB2312" w:hAnsi="仿宋_GB2312" w:eastAsia="仿宋_GB2312" w:cs="仿宋_GB2312"/>
                <w:kern w:val="2"/>
                <w:szCs w:val="22"/>
                <w:lang w:eastAsia="zh-CN"/>
              </w:rPr>
              <w:t>冀财教【2018】99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noWrap w:val="0"/>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效果指标</w:t>
            </w:r>
          </w:p>
        </w:tc>
        <w:tc>
          <w:tcPr>
            <w:tcW w:w="2268" w:type="dxa"/>
            <w:noWrap w:val="0"/>
            <w:vAlign w:val="center"/>
          </w:tcPr>
          <w:p>
            <w:pPr>
              <w:pStyle w:val="14"/>
              <w:rPr>
                <w:rFonts w:hint="eastAsia" w:ascii="仿宋_GB2312" w:hAnsi="仿宋_GB2312" w:eastAsia="仿宋_GB2312" w:cs="仿宋_GB2312"/>
                <w:kern w:val="2"/>
                <w:szCs w:val="22"/>
                <w:lang w:eastAsia="zh-CN"/>
              </w:rPr>
            </w:pPr>
            <w:r>
              <w:rPr>
                <w:rFonts w:hint="eastAsia" w:ascii="仿宋_GB2312" w:hAnsi="仿宋_GB2312" w:eastAsia="仿宋_GB2312" w:cs="仿宋_GB2312"/>
                <w:kern w:val="2"/>
                <w:szCs w:val="22"/>
                <w:lang w:eastAsia="zh-CN"/>
              </w:rPr>
              <w:t>社会效益指标</w:t>
            </w:r>
          </w:p>
        </w:tc>
        <w:tc>
          <w:tcPr>
            <w:tcW w:w="1985" w:type="dxa"/>
            <w:noWrap w:val="0"/>
            <w:vAlign w:val="center"/>
          </w:tcPr>
          <w:p>
            <w:pPr>
              <w:pStyle w:val="14"/>
              <w:rPr>
                <w:rFonts w:hint="eastAsia" w:ascii="仿宋_GB2312" w:hAnsi="仿宋_GB2312" w:eastAsia="仿宋_GB2312" w:cs="仿宋_GB2312"/>
                <w:kern w:val="2"/>
                <w:szCs w:val="22"/>
                <w:lang w:eastAsia="zh-CN"/>
              </w:rPr>
            </w:pPr>
            <w:r>
              <w:rPr>
                <w:rFonts w:hint="eastAsia" w:ascii="仿宋_GB2312" w:hAnsi="仿宋_GB2312" w:eastAsia="仿宋_GB2312" w:cs="仿宋_GB2312"/>
                <w:kern w:val="2"/>
                <w:szCs w:val="22"/>
                <w:lang w:eastAsia="zh-CN"/>
              </w:rPr>
              <w:t>学前教育高质量发展</w:t>
            </w:r>
          </w:p>
        </w:tc>
        <w:tc>
          <w:tcPr>
            <w:tcW w:w="3402" w:type="dxa"/>
            <w:noWrap w:val="0"/>
            <w:vAlign w:val="center"/>
          </w:tcPr>
          <w:p>
            <w:pPr>
              <w:pStyle w:val="14"/>
              <w:rPr>
                <w:rFonts w:hint="eastAsia" w:ascii="仿宋_GB2312" w:hAnsi="仿宋_GB2312" w:eastAsia="仿宋_GB2312" w:cs="仿宋_GB2312"/>
                <w:kern w:val="2"/>
                <w:szCs w:val="22"/>
                <w:lang w:eastAsia="zh-CN"/>
              </w:rPr>
            </w:pPr>
            <w:r>
              <w:rPr>
                <w:rFonts w:hint="eastAsia" w:ascii="仿宋_GB2312" w:hAnsi="仿宋_GB2312" w:eastAsia="仿宋_GB2312" w:cs="仿宋_GB2312"/>
                <w:kern w:val="2"/>
                <w:szCs w:val="22"/>
                <w:lang w:eastAsia="zh-CN"/>
              </w:rPr>
              <w:t>该资金用于学校正常运转，改善办学条件，促进学前教育均衡发展及学生素质提高</w:t>
            </w:r>
          </w:p>
        </w:tc>
        <w:tc>
          <w:tcPr>
            <w:tcW w:w="1843" w:type="dxa"/>
            <w:noWrap w:val="0"/>
            <w:vAlign w:val="center"/>
          </w:tcPr>
          <w:p>
            <w:pPr>
              <w:pStyle w:val="14"/>
              <w:rPr>
                <w:rFonts w:hint="eastAsia" w:ascii="仿宋_GB2312" w:hAnsi="仿宋_GB2312" w:eastAsia="仿宋_GB2312" w:cs="仿宋_GB2312"/>
                <w:kern w:val="2"/>
                <w:szCs w:val="22"/>
                <w:lang w:eastAsia="zh-CN"/>
              </w:rPr>
            </w:pPr>
            <w:r>
              <w:rPr>
                <w:rFonts w:hint="eastAsia" w:ascii="仿宋_GB2312" w:hAnsi="仿宋_GB2312" w:eastAsia="仿宋_GB2312" w:cs="仿宋_GB2312"/>
                <w:kern w:val="2"/>
                <w:szCs w:val="22"/>
                <w:lang w:eastAsia="zh-CN"/>
              </w:rPr>
              <w:t>支持</w:t>
            </w:r>
          </w:p>
        </w:tc>
        <w:tc>
          <w:tcPr>
            <w:tcW w:w="2155" w:type="dxa"/>
            <w:noWrap w:val="0"/>
            <w:vAlign w:val="center"/>
          </w:tcPr>
          <w:p>
            <w:pPr>
              <w:pStyle w:val="14"/>
              <w:rPr>
                <w:rFonts w:hint="eastAsia" w:ascii="仿宋_GB2312" w:hAnsi="仿宋_GB2312" w:eastAsia="仿宋_GB2312" w:cs="仿宋_GB2312"/>
                <w:kern w:val="2"/>
                <w:szCs w:val="22"/>
                <w:lang w:eastAsia="zh-CN"/>
              </w:rPr>
            </w:pPr>
            <w:r>
              <w:rPr>
                <w:rFonts w:hint="eastAsia" w:ascii="仿宋_GB2312" w:hAnsi="仿宋_GB2312" w:eastAsia="仿宋_GB2312" w:cs="仿宋_GB2312"/>
                <w:kern w:val="2"/>
                <w:szCs w:val="22"/>
                <w:lang w:eastAsia="zh-CN"/>
              </w:rPr>
              <w:t>冀财教【201</w:t>
            </w:r>
            <w:r>
              <w:rPr>
                <w:rFonts w:hint="eastAsia" w:ascii="仿宋_GB2312" w:hAnsi="仿宋_GB2312" w:eastAsia="仿宋_GB2312" w:cs="仿宋_GB2312"/>
                <w:kern w:val="2"/>
                <w:szCs w:val="22"/>
                <w:lang w:val="en-US" w:eastAsia="zh-CN"/>
              </w:rPr>
              <w:t>8</w:t>
            </w:r>
            <w:r>
              <w:rPr>
                <w:rFonts w:hint="eastAsia" w:ascii="仿宋_GB2312" w:hAnsi="仿宋_GB2312" w:eastAsia="仿宋_GB2312" w:cs="仿宋_GB2312"/>
                <w:kern w:val="2"/>
                <w:szCs w:val="22"/>
                <w:lang w:eastAsia="zh-CN"/>
              </w:rPr>
              <w:t>】</w:t>
            </w:r>
            <w:r>
              <w:rPr>
                <w:rFonts w:hint="eastAsia" w:ascii="仿宋_GB2312" w:hAnsi="仿宋_GB2312" w:eastAsia="仿宋_GB2312" w:cs="仿宋_GB2312"/>
                <w:kern w:val="2"/>
                <w:szCs w:val="22"/>
                <w:lang w:val="en-US" w:eastAsia="zh-CN"/>
              </w:rPr>
              <w:t>99</w:t>
            </w:r>
            <w:r>
              <w:rPr>
                <w:rFonts w:hint="eastAsia" w:ascii="仿宋_GB2312" w:hAnsi="仿宋_GB2312" w:eastAsia="仿宋_GB2312" w:cs="仿宋_GB2312"/>
                <w:kern w:val="2"/>
                <w:szCs w:val="22"/>
                <w:lang w:eastAsia="zh-CN"/>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noWrap w:val="0"/>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满意度指标</w:t>
            </w:r>
          </w:p>
        </w:tc>
        <w:tc>
          <w:tcPr>
            <w:tcW w:w="2268" w:type="dxa"/>
            <w:noWrap w:val="0"/>
            <w:vAlign w:val="center"/>
          </w:tcPr>
          <w:p>
            <w:pPr>
              <w:pStyle w:val="14"/>
              <w:rPr>
                <w:rFonts w:hint="eastAsia" w:ascii="仿宋_GB2312" w:hAnsi="仿宋_GB2312" w:eastAsia="仿宋_GB2312" w:cs="仿宋_GB2312"/>
                <w:kern w:val="2"/>
                <w:szCs w:val="22"/>
                <w:lang w:eastAsia="zh-CN"/>
              </w:rPr>
            </w:pPr>
            <w:r>
              <w:rPr>
                <w:rFonts w:hint="eastAsia" w:ascii="仿宋_GB2312" w:hAnsi="仿宋_GB2312" w:eastAsia="仿宋_GB2312" w:cs="仿宋_GB2312"/>
                <w:kern w:val="2"/>
                <w:szCs w:val="22"/>
                <w:lang w:eastAsia="zh-CN"/>
              </w:rPr>
              <w:t>服务对象满意度指标</w:t>
            </w:r>
          </w:p>
        </w:tc>
        <w:tc>
          <w:tcPr>
            <w:tcW w:w="1985" w:type="dxa"/>
            <w:noWrap w:val="0"/>
            <w:vAlign w:val="center"/>
          </w:tcPr>
          <w:p>
            <w:pPr>
              <w:pStyle w:val="14"/>
              <w:rPr>
                <w:rFonts w:hint="eastAsia" w:ascii="仿宋_GB2312" w:hAnsi="仿宋_GB2312" w:eastAsia="仿宋_GB2312" w:cs="仿宋_GB2312"/>
                <w:kern w:val="2"/>
                <w:szCs w:val="22"/>
                <w:lang w:eastAsia="zh-CN"/>
              </w:rPr>
            </w:pPr>
            <w:r>
              <w:rPr>
                <w:rFonts w:hint="eastAsia" w:ascii="仿宋_GB2312" w:hAnsi="仿宋_GB2312" w:eastAsia="仿宋_GB2312" w:cs="仿宋_GB2312"/>
                <w:kern w:val="2"/>
                <w:szCs w:val="22"/>
                <w:lang w:eastAsia="zh-CN"/>
              </w:rPr>
              <w:t>在校师生的满意程度</w:t>
            </w:r>
          </w:p>
        </w:tc>
        <w:tc>
          <w:tcPr>
            <w:tcW w:w="3402" w:type="dxa"/>
            <w:noWrap w:val="0"/>
            <w:vAlign w:val="center"/>
          </w:tcPr>
          <w:p>
            <w:pPr>
              <w:pStyle w:val="14"/>
              <w:rPr>
                <w:rFonts w:hint="eastAsia" w:ascii="仿宋_GB2312" w:hAnsi="仿宋_GB2312" w:eastAsia="仿宋_GB2312" w:cs="仿宋_GB2312"/>
                <w:kern w:val="2"/>
                <w:szCs w:val="22"/>
                <w:lang w:eastAsia="zh-CN"/>
              </w:rPr>
            </w:pPr>
            <w:r>
              <w:rPr>
                <w:rFonts w:hint="eastAsia" w:ascii="仿宋_GB2312" w:hAnsi="仿宋_GB2312" w:eastAsia="仿宋_GB2312" w:cs="仿宋_GB2312"/>
                <w:kern w:val="2"/>
                <w:szCs w:val="22"/>
                <w:lang w:eastAsia="zh-CN"/>
              </w:rPr>
              <w:t>在校师生的满意程度</w:t>
            </w:r>
          </w:p>
        </w:tc>
        <w:tc>
          <w:tcPr>
            <w:tcW w:w="1843" w:type="dxa"/>
            <w:noWrap w:val="0"/>
            <w:vAlign w:val="center"/>
          </w:tcPr>
          <w:p>
            <w:pPr>
              <w:pStyle w:val="14"/>
              <w:rPr>
                <w:rFonts w:hint="eastAsia" w:ascii="仿宋_GB2312" w:hAnsi="仿宋_GB2312" w:eastAsia="仿宋_GB2312" w:cs="仿宋_GB2312"/>
                <w:kern w:val="2"/>
                <w:szCs w:val="22"/>
                <w:lang w:eastAsia="zh-CN"/>
              </w:rPr>
            </w:pPr>
            <w:r>
              <w:rPr>
                <w:rFonts w:hint="eastAsia" w:ascii="仿宋_GB2312" w:hAnsi="仿宋_GB2312" w:eastAsia="仿宋_GB2312" w:cs="仿宋_GB2312"/>
                <w:kern w:val="2"/>
                <w:szCs w:val="22"/>
                <w:lang w:eastAsia="zh-CN"/>
              </w:rPr>
              <w:t>≥90%</w:t>
            </w:r>
          </w:p>
        </w:tc>
        <w:tc>
          <w:tcPr>
            <w:tcW w:w="2155" w:type="dxa"/>
            <w:noWrap w:val="0"/>
            <w:vAlign w:val="center"/>
          </w:tcPr>
          <w:p>
            <w:pPr>
              <w:pStyle w:val="14"/>
              <w:rPr>
                <w:rFonts w:hint="eastAsia" w:ascii="仿宋_GB2312" w:hAnsi="仿宋_GB2312" w:eastAsia="仿宋_GB2312" w:cs="仿宋_GB2312"/>
                <w:kern w:val="2"/>
                <w:szCs w:val="22"/>
                <w:lang w:eastAsia="zh-CN"/>
              </w:rPr>
            </w:pPr>
            <w:r>
              <w:rPr>
                <w:rFonts w:hint="eastAsia" w:ascii="仿宋_GB2312" w:hAnsi="仿宋_GB2312" w:eastAsia="仿宋_GB2312" w:cs="仿宋_GB2312"/>
                <w:kern w:val="2"/>
                <w:szCs w:val="22"/>
                <w:lang w:eastAsia="zh-CN"/>
              </w:rPr>
              <w:t>调查问卷</w:t>
            </w:r>
          </w:p>
        </w:tc>
      </w:tr>
    </w:tbl>
    <w:p>
      <w:pPr>
        <w:ind w:firstLine="560" w:firstLineChars="200"/>
        <w:jc w:val="left"/>
        <w:outlineLvl w:val="1"/>
        <w:rPr>
          <w:rFonts w:hint="eastAsia" w:ascii="仿宋_GB2312" w:hAnsi="仿宋_GB2312" w:eastAsia="仿宋_GB2312" w:cs="仿宋_GB2312"/>
          <w:sz w:val="28"/>
        </w:rPr>
      </w:pPr>
      <w:r>
        <w:rPr>
          <w:rFonts w:hint="eastAsia" w:ascii="仿宋_GB2312" w:hAnsi="仿宋_GB2312" w:eastAsia="仿宋_GB2312" w:cs="仿宋_GB2312"/>
          <w:sz w:val="28"/>
        </w:rPr>
        <w:t>2.</w:t>
      </w:r>
      <w:r>
        <w:rPr>
          <w:rFonts w:hint="eastAsia" w:ascii="仿宋_GB2312" w:hAnsi="仿宋_GB2312" w:eastAsia="仿宋_GB2312" w:cs="仿宋_GB2312"/>
          <w:color w:val="000000"/>
          <w:sz w:val="28"/>
        </w:rPr>
        <w:t xml:space="preserve"> 合同制教师人员经费绩效目标表</w:t>
      </w:r>
    </w:p>
    <w:p>
      <w:pPr>
        <w:spacing w:line="14" w:lineRule="exact"/>
        <w:ind w:firstLine="420" w:firstLineChars="200"/>
        <w:jc w:val="center"/>
        <w:rPr>
          <w:rFonts w:hint="eastAsia" w:ascii="仿宋_GB2312" w:hAnsi="仿宋_GB2312" w:eastAsia="仿宋_GB2312" w:cs="仿宋_GB2312"/>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noWrap w:val="0"/>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绩效目标</w:t>
            </w:r>
          </w:p>
        </w:tc>
        <w:tc>
          <w:tcPr>
            <w:tcW w:w="11653" w:type="dxa"/>
            <w:gridSpan w:val="5"/>
            <w:noWrap w:val="0"/>
            <w:vAlign w:val="center"/>
          </w:tcPr>
          <w:p>
            <w:pPr>
              <w:pStyle w:val="14"/>
              <w:rPr>
                <w:rFonts w:hint="eastAsia" w:ascii="仿宋_GB2312" w:hAnsi="仿宋_GB2312" w:eastAsia="仿宋_GB2312" w:cs="仿宋_GB2312"/>
                <w:kern w:val="2"/>
                <w:szCs w:val="22"/>
                <w:lang w:eastAsia="zh-CN"/>
              </w:rPr>
            </w:pPr>
            <w:r>
              <w:rPr>
                <w:rFonts w:hint="eastAsia" w:ascii="仿宋_GB2312" w:hAnsi="仿宋_GB2312" w:eastAsia="仿宋_GB2312" w:cs="仿宋_GB2312"/>
                <w:kern w:val="2"/>
                <w:szCs w:val="22"/>
                <w:lang w:eastAsia="zh-CN"/>
              </w:rPr>
              <w:t>1.缓解教师短缺，保障教育教学正常的进行</w:t>
            </w:r>
          </w:p>
          <w:p>
            <w:pPr>
              <w:pStyle w:val="14"/>
              <w:rPr>
                <w:rFonts w:hint="eastAsia" w:ascii="仿宋_GB2312" w:hAnsi="仿宋_GB2312" w:eastAsia="仿宋_GB2312" w:cs="仿宋_GB2312"/>
                <w:kern w:val="2"/>
                <w:szCs w:val="22"/>
                <w:lang w:eastAsia="zh-CN"/>
              </w:rPr>
            </w:pPr>
            <w:r>
              <w:rPr>
                <w:rFonts w:hint="eastAsia" w:ascii="仿宋_GB2312" w:hAnsi="仿宋_GB2312" w:eastAsia="仿宋_GB2312" w:cs="仿宋_GB2312"/>
                <w:kern w:val="2"/>
                <w:szCs w:val="22"/>
                <w:lang w:eastAsia="zh-CN"/>
              </w:rPr>
              <w:t>2.保障教学质量，提升教育水平</w:t>
            </w:r>
          </w:p>
          <w:p>
            <w:pPr>
              <w:pStyle w:val="14"/>
              <w:rPr>
                <w:rFonts w:hint="eastAsia" w:ascii="仿宋_GB2312" w:hAnsi="仿宋_GB2312" w:eastAsia="仿宋_GB2312" w:cs="仿宋_GB2312"/>
                <w:kern w:val="2"/>
                <w:szCs w:val="22"/>
                <w:lang w:eastAsia="zh-CN"/>
              </w:rPr>
            </w:pPr>
            <w:r>
              <w:rPr>
                <w:rFonts w:hint="eastAsia" w:ascii="仿宋_GB2312" w:hAnsi="仿宋_GB2312" w:eastAsia="仿宋_GB2312" w:cs="仿宋_GB2312"/>
                <w:kern w:val="2"/>
                <w:szCs w:val="22"/>
                <w:lang w:eastAsia="zh-CN"/>
              </w:rPr>
              <w:t>3.保障合同制教师工资福利待遇，并及时发放。</w:t>
            </w:r>
          </w:p>
          <w:p>
            <w:pPr>
              <w:spacing w:line="300" w:lineRule="exact"/>
              <w:rPr>
                <w:rFonts w:hint="eastAsia" w:ascii="仿宋_GB2312" w:hAnsi="仿宋_GB2312" w:eastAsia="仿宋_GB2312" w:cs="仿宋_GB2312"/>
              </w:rPr>
            </w:pPr>
            <w:r>
              <w:rPr>
                <w:rFonts w:hint="eastAsia" w:ascii="仿宋_GB2312" w:hAnsi="仿宋_GB2312" w:eastAsia="仿宋_GB2312" w:cs="仿宋_GB2312"/>
              </w:rPr>
              <w:t>4.学生、学校、家长对合同制教师的满意度达到95%以上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noWrap w:val="0"/>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一级指标</w:t>
            </w:r>
          </w:p>
        </w:tc>
        <w:tc>
          <w:tcPr>
            <w:tcW w:w="2268" w:type="dxa"/>
            <w:noWrap w:val="0"/>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二级指标</w:t>
            </w:r>
          </w:p>
        </w:tc>
        <w:tc>
          <w:tcPr>
            <w:tcW w:w="1985" w:type="dxa"/>
            <w:noWrap w:val="0"/>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三级指标</w:t>
            </w:r>
          </w:p>
        </w:tc>
        <w:tc>
          <w:tcPr>
            <w:tcW w:w="3402" w:type="dxa"/>
            <w:noWrap w:val="0"/>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绩效指标描述</w:t>
            </w:r>
          </w:p>
        </w:tc>
        <w:tc>
          <w:tcPr>
            <w:tcW w:w="1843" w:type="dxa"/>
            <w:noWrap w:val="0"/>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指标值</w:t>
            </w:r>
          </w:p>
        </w:tc>
        <w:tc>
          <w:tcPr>
            <w:tcW w:w="2155" w:type="dxa"/>
            <w:noWrap w:val="0"/>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noWrap w:val="0"/>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产出指标</w:t>
            </w:r>
          </w:p>
        </w:tc>
        <w:tc>
          <w:tcPr>
            <w:tcW w:w="2268" w:type="dxa"/>
            <w:noWrap w:val="0"/>
            <w:vAlign w:val="center"/>
          </w:tcPr>
          <w:p>
            <w:pPr>
              <w:pStyle w:val="14"/>
              <w:rPr>
                <w:rFonts w:hint="eastAsia" w:ascii="仿宋_GB2312" w:hAnsi="仿宋_GB2312" w:eastAsia="仿宋_GB2312" w:cs="仿宋_GB2312"/>
                <w:kern w:val="2"/>
                <w:szCs w:val="22"/>
                <w:lang w:eastAsia="zh-CN"/>
              </w:rPr>
            </w:pPr>
            <w:r>
              <w:rPr>
                <w:rFonts w:hint="eastAsia" w:ascii="仿宋_GB2312" w:hAnsi="仿宋_GB2312" w:eastAsia="仿宋_GB2312" w:cs="仿宋_GB2312"/>
                <w:kern w:val="2"/>
                <w:szCs w:val="22"/>
                <w:lang w:eastAsia="zh-CN"/>
              </w:rPr>
              <w:t>数量指标</w:t>
            </w:r>
          </w:p>
        </w:tc>
        <w:tc>
          <w:tcPr>
            <w:tcW w:w="1985" w:type="dxa"/>
            <w:noWrap w:val="0"/>
            <w:vAlign w:val="center"/>
          </w:tcPr>
          <w:p>
            <w:pPr>
              <w:pStyle w:val="14"/>
              <w:rPr>
                <w:rFonts w:hint="eastAsia" w:ascii="仿宋_GB2312" w:hAnsi="仿宋_GB2312" w:eastAsia="仿宋_GB2312" w:cs="仿宋_GB2312"/>
                <w:kern w:val="2"/>
                <w:szCs w:val="22"/>
                <w:lang w:eastAsia="zh-CN"/>
              </w:rPr>
            </w:pPr>
            <w:r>
              <w:rPr>
                <w:rFonts w:hint="eastAsia" w:ascii="仿宋_GB2312" w:hAnsi="仿宋_GB2312" w:eastAsia="仿宋_GB2312" w:cs="仿宋_GB2312"/>
                <w:kern w:val="2"/>
                <w:szCs w:val="22"/>
                <w:lang w:eastAsia="zh-CN"/>
              </w:rPr>
              <w:t>合同制教师在校人数</w:t>
            </w:r>
          </w:p>
        </w:tc>
        <w:tc>
          <w:tcPr>
            <w:tcW w:w="3402" w:type="dxa"/>
            <w:noWrap w:val="0"/>
            <w:vAlign w:val="center"/>
          </w:tcPr>
          <w:p>
            <w:pPr>
              <w:pStyle w:val="14"/>
              <w:rPr>
                <w:rFonts w:hint="eastAsia" w:ascii="仿宋_GB2312" w:hAnsi="仿宋_GB2312" w:eastAsia="仿宋_GB2312" w:cs="仿宋_GB2312"/>
                <w:kern w:val="2"/>
                <w:szCs w:val="22"/>
                <w:lang w:eastAsia="zh-CN"/>
              </w:rPr>
            </w:pPr>
            <w:r>
              <w:rPr>
                <w:rFonts w:hint="eastAsia" w:ascii="仿宋_GB2312" w:hAnsi="仿宋_GB2312" w:eastAsia="仿宋_GB2312" w:cs="仿宋_GB2312"/>
                <w:kern w:val="2"/>
                <w:szCs w:val="22"/>
                <w:lang w:eastAsia="zh-CN"/>
              </w:rPr>
              <w:t xml:space="preserve">保障2022合同制教师 </w:t>
            </w:r>
            <w:r>
              <w:rPr>
                <w:rFonts w:hint="eastAsia" w:ascii="仿宋_GB2312" w:hAnsi="仿宋_GB2312" w:eastAsia="仿宋_GB2312" w:cs="仿宋_GB2312"/>
                <w:kern w:val="2"/>
                <w:szCs w:val="22"/>
                <w:lang w:val="en-US" w:eastAsia="zh-CN"/>
              </w:rPr>
              <w:t>23</w:t>
            </w:r>
            <w:r>
              <w:rPr>
                <w:rFonts w:hint="eastAsia" w:ascii="仿宋_GB2312" w:hAnsi="仿宋_GB2312" w:eastAsia="仿宋_GB2312" w:cs="仿宋_GB2312"/>
                <w:kern w:val="2"/>
                <w:szCs w:val="22"/>
                <w:lang w:eastAsia="zh-CN"/>
              </w:rPr>
              <w:t>人工资福利</w:t>
            </w:r>
          </w:p>
        </w:tc>
        <w:tc>
          <w:tcPr>
            <w:tcW w:w="1843" w:type="dxa"/>
            <w:noWrap w:val="0"/>
            <w:vAlign w:val="center"/>
          </w:tcPr>
          <w:p>
            <w:pPr>
              <w:pStyle w:val="14"/>
              <w:rPr>
                <w:rFonts w:hint="eastAsia" w:ascii="仿宋_GB2312" w:hAnsi="仿宋_GB2312" w:eastAsia="仿宋_GB2312" w:cs="仿宋_GB2312"/>
                <w:kern w:val="2"/>
                <w:szCs w:val="22"/>
                <w:lang w:eastAsia="zh-CN"/>
              </w:rPr>
            </w:pPr>
            <w:r>
              <w:rPr>
                <w:rFonts w:hint="eastAsia" w:ascii="仿宋_GB2312" w:hAnsi="仿宋_GB2312" w:eastAsia="仿宋_GB2312" w:cs="仿宋_GB2312"/>
                <w:kern w:val="2"/>
                <w:szCs w:val="22"/>
                <w:lang w:val="en-US" w:eastAsia="zh-CN"/>
              </w:rPr>
              <w:t>23</w:t>
            </w:r>
            <w:r>
              <w:rPr>
                <w:rFonts w:hint="eastAsia" w:ascii="仿宋_GB2312" w:hAnsi="仿宋_GB2312" w:eastAsia="仿宋_GB2312" w:cs="仿宋_GB2312"/>
                <w:kern w:val="2"/>
                <w:szCs w:val="22"/>
                <w:lang w:eastAsia="zh-CN"/>
              </w:rPr>
              <w:t>人</w:t>
            </w:r>
          </w:p>
        </w:tc>
        <w:tc>
          <w:tcPr>
            <w:tcW w:w="2155" w:type="dxa"/>
            <w:noWrap w:val="0"/>
            <w:vAlign w:val="center"/>
          </w:tcPr>
          <w:p>
            <w:pPr>
              <w:pStyle w:val="14"/>
              <w:rPr>
                <w:rFonts w:hint="eastAsia" w:ascii="仿宋_GB2312" w:hAnsi="仿宋_GB2312" w:eastAsia="仿宋_GB2312" w:cs="仿宋_GB2312"/>
                <w:kern w:val="2"/>
                <w:szCs w:val="22"/>
                <w:lang w:eastAsia="zh-CN"/>
              </w:rPr>
            </w:pPr>
            <w:r>
              <w:rPr>
                <w:rFonts w:hint="eastAsia" w:ascii="仿宋_GB2312" w:hAnsi="仿宋_GB2312" w:eastAsia="仿宋_GB2312" w:cs="仿宋_GB2312"/>
                <w:kern w:val="2"/>
                <w:szCs w:val="22"/>
                <w:lang w:eastAsia="zh-CN"/>
              </w:rPr>
              <w:t>廊广传【2021】19号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noWrap w:val="0"/>
            <w:vAlign w:val="center"/>
          </w:tcPr>
          <w:p>
            <w:pPr>
              <w:rPr>
                <w:rFonts w:hint="eastAsia" w:ascii="仿宋_GB2312" w:hAnsi="仿宋_GB2312" w:eastAsia="仿宋_GB2312" w:cs="仿宋_GB2312"/>
              </w:rPr>
            </w:pPr>
          </w:p>
        </w:tc>
        <w:tc>
          <w:tcPr>
            <w:tcW w:w="2268" w:type="dxa"/>
            <w:noWrap w:val="0"/>
            <w:vAlign w:val="center"/>
          </w:tcPr>
          <w:p>
            <w:pPr>
              <w:pStyle w:val="14"/>
              <w:rPr>
                <w:rFonts w:hint="eastAsia" w:ascii="仿宋_GB2312" w:hAnsi="仿宋_GB2312" w:eastAsia="仿宋_GB2312" w:cs="仿宋_GB2312"/>
                <w:kern w:val="2"/>
                <w:szCs w:val="22"/>
                <w:lang w:eastAsia="zh-CN"/>
              </w:rPr>
            </w:pPr>
            <w:r>
              <w:rPr>
                <w:rFonts w:hint="eastAsia" w:ascii="仿宋_GB2312" w:hAnsi="仿宋_GB2312" w:eastAsia="仿宋_GB2312" w:cs="仿宋_GB2312"/>
                <w:kern w:val="2"/>
                <w:szCs w:val="22"/>
                <w:lang w:eastAsia="zh-CN"/>
              </w:rPr>
              <w:t>质量指标</w:t>
            </w:r>
          </w:p>
        </w:tc>
        <w:tc>
          <w:tcPr>
            <w:tcW w:w="1985" w:type="dxa"/>
            <w:noWrap w:val="0"/>
            <w:vAlign w:val="center"/>
          </w:tcPr>
          <w:p>
            <w:pPr>
              <w:pStyle w:val="14"/>
              <w:rPr>
                <w:rFonts w:hint="eastAsia" w:ascii="仿宋_GB2312" w:hAnsi="仿宋_GB2312" w:eastAsia="仿宋_GB2312" w:cs="仿宋_GB2312"/>
                <w:kern w:val="2"/>
                <w:szCs w:val="22"/>
                <w:lang w:eastAsia="zh-CN"/>
              </w:rPr>
            </w:pPr>
            <w:r>
              <w:rPr>
                <w:rFonts w:hint="eastAsia" w:ascii="仿宋_GB2312" w:hAnsi="仿宋_GB2312" w:eastAsia="仿宋_GB2312" w:cs="仿宋_GB2312"/>
                <w:kern w:val="2"/>
                <w:szCs w:val="22"/>
                <w:lang w:eastAsia="zh-CN"/>
              </w:rPr>
              <w:t>合同制教师完成岗位目标</w:t>
            </w:r>
          </w:p>
        </w:tc>
        <w:tc>
          <w:tcPr>
            <w:tcW w:w="3402" w:type="dxa"/>
            <w:noWrap w:val="0"/>
            <w:vAlign w:val="center"/>
          </w:tcPr>
          <w:p>
            <w:pPr>
              <w:pStyle w:val="14"/>
              <w:rPr>
                <w:rFonts w:hint="eastAsia" w:ascii="仿宋_GB2312" w:hAnsi="仿宋_GB2312" w:eastAsia="仿宋_GB2312" w:cs="仿宋_GB2312"/>
                <w:kern w:val="2"/>
                <w:szCs w:val="22"/>
                <w:lang w:eastAsia="zh-CN"/>
              </w:rPr>
            </w:pPr>
            <w:r>
              <w:rPr>
                <w:rFonts w:hint="eastAsia" w:ascii="仿宋_GB2312" w:hAnsi="仿宋_GB2312" w:eastAsia="仿宋_GB2312" w:cs="仿宋_GB2312"/>
                <w:kern w:val="2"/>
                <w:szCs w:val="22"/>
                <w:lang w:eastAsia="zh-CN"/>
              </w:rPr>
              <w:t>不同学科合同制教师岗位目标明确，并得以执行</w:t>
            </w:r>
          </w:p>
        </w:tc>
        <w:tc>
          <w:tcPr>
            <w:tcW w:w="1843" w:type="dxa"/>
            <w:noWrap w:val="0"/>
            <w:vAlign w:val="center"/>
          </w:tcPr>
          <w:p>
            <w:pPr>
              <w:pStyle w:val="14"/>
              <w:rPr>
                <w:rFonts w:hint="eastAsia" w:ascii="仿宋_GB2312" w:hAnsi="仿宋_GB2312" w:eastAsia="仿宋_GB2312" w:cs="仿宋_GB2312"/>
                <w:kern w:val="2"/>
                <w:szCs w:val="22"/>
                <w:lang w:eastAsia="zh-CN"/>
              </w:rPr>
            </w:pPr>
            <w:r>
              <w:rPr>
                <w:rFonts w:hint="eastAsia" w:ascii="仿宋_GB2312" w:hAnsi="仿宋_GB2312" w:eastAsia="仿宋_GB2312" w:cs="仿宋_GB2312"/>
                <w:kern w:val="2"/>
                <w:szCs w:val="22"/>
                <w:lang w:eastAsia="zh-CN"/>
              </w:rPr>
              <w:t>完成岗位目标职责</w:t>
            </w:r>
          </w:p>
          <w:p>
            <w:pPr>
              <w:pStyle w:val="14"/>
              <w:rPr>
                <w:rFonts w:hint="eastAsia" w:ascii="仿宋_GB2312" w:hAnsi="仿宋_GB2312" w:eastAsia="仿宋_GB2312" w:cs="仿宋_GB2312"/>
                <w:kern w:val="2"/>
                <w:szCs w:val="22"/>
                <w:lang w:eastAsia="zh-CN"/>
              </w:rPr>
            </w:pPr>
          </w:p>
        </w:tc>
        <w:tc>
          <w:tcPr>
            <w:tcW w:w="2155" w:type="dxa"/>
            <w:noWrap w:val="0"/>
            <w:vAlign w:val="center"/>
          </w:tcPr>
          <w:p>
            <w:pPr>
              <w:pStyle w:val="14"/>
              <w:rPr>
                <w:rFonts w:hint="eastAsia" w:ascii="仿宋_GB2312" w:hAnsi="仿宋_GB2312" w:eastAsia="仿宋_GB2312" w:cs="仿宋_GB2312"/>
                <w:kern w:val="2"/>
                <w:szCs w:val="22"/>
                <w:lang w:eastAsia="zh-CN"/>
              </w:rPr>
            </w:pPr>
            <w:r>
              <w:rPr>
                <w:rFonts w:hint="eastAsia" w:ascii="仿宋_GB2312" w:hAnsi="仿宋_GB2312" w:eastAsia="仿宋_GB2312" w:cs="仿宋_GB2312"/>
                <w:kern w:val="2"/>
                <w:szCs w:val="22"/>
                <w:lang w:eastAsia="zh-CN"/>
              </w:rPr>
              <w:t>区在职教师考核办法文件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noWrap w:val="0"/>
            <w:vAlign w:val="center"/>
          </w:tcPr>
          <w:p>
            <w:pPr>
              <w:rPr>
                <w:rFonts w:hint="eastAsia" w:ascii="仿宋_GB2312" w:hAnsi="仿宋_GB2312" w:eastAsia="仿宋_GB2312" w:cs="仿宋_GB2312"/>
              </w:rPr>
            </w:pPr>
          </w:p>
        </w:tc>
        <w:tc>
          <w:tcPr>
            <w:tcW w:w="2268" w:type="dxa"/>
            <w:noWrap w:val="0"/>
            <w:vAlign w:val="center"/>
          </w:tcPr>
          <w:p>
            <w:pPr>
              <w:pStyle w:val="14"/>
              <w:rPr>
                <w:rFonts w:hint="eastAsia" w:ascii="仿宋_GB2312" w:hAnsi="仿宋_GB2312" w:eastAsia="仿宋_GB2312" w:cs="仿宋_GB2312"/>
                <w:kern w:val="2"/>
                <w:szCs w:val="22"/>
                <w:lang w:eastAsia="zh-CN"/>
              </w:rPr>
            </w:pPr>
            <w:r>
              <w:rPr>
                <w:rFonts w:hint="eastAsia" w:ascii="仿宋_GB2312" w:hAnsi="仿宋_GB2312" w:eastAsia="仿宋_GB2312" w:cs="仿宋_GB2312"/>
                <w:kern w:val="2"/>
                <w:szCs w:val="22"/>
                <w:lang w:eastAsia="zh-CN"/>
              </w:rPr>
              <w:t>质量指标</w:t>
            </w:r>
          </w:p>
        </w:tc>
        <w:tc>
          <w:tcPr>
            <w:tcW w:w="1985" w:type="dxa"/>
            <w:noWrap w:val="0"/>
            <w:vAlign w:val="center"/>
          </w:tcPr>
          <w:p>
            <w:pPr>
              <w:pStyle w:val="14"/>
              <w:rPr>
                <w:rFonts w:hint="eastAsia" w:ascii="仿宋_GB2312" w:hAnsi="仿宋_GB2312" w:eastAsia="仿宋_GB2312" w:cs="仿宋_GB2312"/>
                <w:kern w:val="2"/>
                <w:szCs w:val="22"/>
                <w:lang w:eastAsia="zh-CN"/>
              </w:rPr>
            </w:pPr>
            <w:r>
              <w:rPr>
                <w:rFonts w:hint="eastAsia" w:ascii="仿宋_GB2312" w:hAnsi="仿宋_GB2312" w:eastAsia="仿宋_GB2312" w:cs="仿宋_GB2312"/>
                <w:kern w:val="2"/>
                <w:szCs w:val="22"/>
                <w:lang w:eastAsia="zh-CN"/>
              </w:rPr>
              <w:t>合同制教师的考核合格率</w:t>
            </w:r>
          </w:p>
        </w:tc>
        <w:tc>
          <w:tcPr>
            <w:tcW w:w="3402" w:type="dxa"/>
            <w:noWrap w:val="0"/>
            <w:vAlign w:val="center"/>
          </w:tcPr>
          <w:p>
            <w:pPr>
              <w:pStyle w:val="14"/>
              <w:rPr>
                <w:rFonts w:hint="eastAsia" w:ascii="仿宋_GB2312" w:hAnsi="仿宋_GB2312" w:eastAsia="仿宋_GB2312" w:cs="仿宋_GB2312"/>
                <w:kern w:val="2"/>
                <w:szCs w:val="22"/>
                <w:lang w:eastAsia="zh-CN"/>
              </w:rPr>
            </w:pPr>
            <w:r>
              <w:rPr>
                <w:rFonts w:hint="eastAsia" w:ascii="仿宋_GB2312" w:hAnsi="仿宋_GB2312" w:eastAsia="仿宋_GB2312" w:cs="仿宋_GB2312"/>
                <w:kern w:val="2"/>
                <w:szCs w:val="22"/>
                <w:lang w:eastAsia="zh-CN"/>
              </w:rPr>
              <w:t>合格率达到100%</w:t>
            </w:r>
          </w:p>
        </w:tc>
        <w:tc>
          <w:tcPr>
            <w:tcW w:w="1843" w:type="dxa"/>
            <w:noWrap w:val="0"/>
            <w:vAlign w:val="center"/>
          </w:tcPr>
          <w:p>
            <w:pPr>
              <w:pStyle w:val="14"/>
              <w:rPr>
                <w:rFonts w:hint="eastAsia" w:ascii="仿宋_GB2312" w:hAnsi="仿宋_GB2312" w:eastAsia="仿宋_GB2312" w:cs="仿宋_GB2312"/>
                <w:kern w:val="2"/>
                <w:szCs w:val="22"/>
                <w:lang w:eastAsia="zh-CN"/>
              </w:rPr>
            </w:pPr>
            <w:r>
              <w:rPr>
                <w:rFonts w:hint="eastAsia" w:ascii="仿宋_GB2312" w:hAnsi="仿宋_GB2312" w:eastAsia="仿宋_GB2312" w:cs="仿宋_GB2312"/>
                <w:kern w:val="2"/>
                <w:szCs w:val="22"/>
                <w:lang w:eastAsia="zh-CN"/>
              </w:rPr>
              <w:t>≥98%</w:t>
            </w:r>
          </w:p>
        </w:tc>
        <w:tc>
          <w:tcPr>
            <w:tcW w:w="2155" w:type="dxa"/>
            <w:noWrap w:val="0"/>
            <w:vAlign w:val="center"/>
          </w:tcPr>
          <w:p>
            <w:pPr>
              <w:pStyle w:val="14"/>
              <w:rPr>
                <w:rFonts w:hint="eastAsia" w:ascii="仿宋_GB2312" w:hAnsi="仿宋_GB2312" w:eastAsia="仿宋_GB2312" w:cs="仿宋_GB2312"/>
                <w:kern w:val="2"/>
                <w:szCs w:val="22"/>
                <w:lang w:eastAsia="zh-CN"/>
              </w:rPr>
            </w:pPr>
            <w:r>
              <w:rPr>
                <w:rFonts w:hint="eastAsia" w:ascii="仿宋_GB2312" w:hAnsi="仿宋_GB2312" w:eastAsia="仿宋_GB2312" w:cs="仿宋_GB2312"/>
                <w:kern w:val="2"/>
                <w:szCs w:val="22"/>
                <w:lang w:eastAsia="zh-CN"/>
              </w:rPr>
              <w:t>区考核办法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noWrap w:val="0"/>
            <w:vAlign w:val="center"/>
          </w:tcPr>
          <w:p>
            <w:pPr>
              <w:rPr>
                <w:rFonts w:hint="eastAsia" w:ascii="仿宋_GB2312" w:hAnsi="仿宋_GB2312" w:eastAsia="仿宋_GB2312" w:cs="仿宋_GB2312"/>
              </w:rPr>
            </w:pPr>
          </w:p>
        </w:tc>
        <w:tc>
          <w:tcPr>
            <w:tcW w:w="2268" w:type="dxa"/>
            <w:noWrap w:val="0"/>
            <w:vAlign w:val="center"/>
          </w:tcPr>
          <w:p>
            <w:pPr>
              <w:pStyle w:val="14"/>
              <w:rPr>
                <w:rFonts w:hint="eastAsia" w:ascii="仿宋_GB2312" w:hAnsi="仿宋_GB2312" w:eastAsia="仿宋_GB2312" w:cs="仿宋_GB2312"/>
                <w:kern w:val="2"/>
                <w:szCs w:val="22"/>
                <w:lang w:eastAsia="zh-CN"/>
              </w:rPr>
            </w:pPr>
            <w:r>
              <w:rPr>
                <w:rFonts w:hint="eastAsia" w:ascii="仿宋_GB2312" w:hAnsi="仿宋_GB2312" w:eastAsia="仿宋_GB2312" w:cs="仿宋_GB2312"/>
                <w:kern w:val="2"/>
                <w:szCs w:val="22"/>
                <w:lang w:eastAsia="zh-CN"/>
              </w:rPr>
              <w:t>时效指标</w:t>
            </w:r>
          </w:p>
        </w:tc>
        <w:tc>
          <w:tcPr>
            <w:tcW w:w="1985" w:type="dxa"/>
            <w:noWrap w:val="0"/>
            <w:vAlign w:val="center"/>
          </w:tcPr>
          <w:p>
            <w:pPr>
              <w:pStyle w:val="14"/>
              <w:rPr>
                <w:rFonts w:hint="eastAsia" w:ascii="仿宋_GB2312" w:hAnsi="仿宋_GB2312" w:eastAsia="仿宋_GB2312" w:cs="仿宋_GB2312"/>
                <w:kern w:val="2"/>
                <w:szCs w:val="22"/>
                <w:lang w:eastAsia="zh-CN"/>
              </w:rPr>
            </w:pPr>
            <w:r>
              <w:rPr>
                <w:rFonts w:hint="eastAsia" w:ascii="仿宋_GB2312" w:hAnsi="仿宋_GB2312" w:eastAsia="仿宋_GB2312" w:cs="仿宋_GB2312"/>
                <w:kern w:val="2"/>
                <w:szCs w:val="22"/>
                <w:lang w:eastAsia="zh-CN"/>
              </w:rPr>
              <w:t>资金支出率（%）</w:t>
            </w:r>
          </w:p>
        </w:tc>
        <w:tc>
          <w:tcPr>
            <w:tcW w:w="3402" w:type="dxa"/>
            <w:noWrap w:val="0"/>
            <w:vAlign w:val="center"/>
          </w:tcPr>
          <w:p>
            <w:pPr>
              <w:pStyle w:val="14"/>
              <w:rPr>
                <w:rFonts w:hint="eastAsia" w:ascii="仿宋_GB2312" w:hAnsi="仿宋_GB2312" w:eastAsia="仿宋_GB2312" w:cs="仿宋_GB2312"/>
                <w:kern w:val="2"/>
                <w:szCs w:val="22"/>
                <w:lang w:eastAsia="zh-CN"/>
              </w:rPr>
            </w:pPr>
            <w:r>
              <w:rPr>
                <w:rFonts w:hint="eastAsia" w:ascii="仿宋_GB2312" w:hAnsi="仿宋_GB2312" w:eastAsia="仿宋_GB2312" w:cs="仿宋_GB2312"/>
                <w:kern w:val="2"/>
                <w:szCs w:val="22"/>
                <w:lang w:eastAsia="zh-CN"/>
              </w:rPr>
              <w:t>按月支付合同制教师工资及缴纳社会保障及住房公积金</w:t>
            </w:r>
          </w:p>
        </w:tc>
        <w:tc>
          <w:tcPr>
            <w:tcW w:w="1843" w:type="dxa"/>
            <w:noWrap w:val="0"/>
            <w:vAlign w:val="center"/>
          </w:tcPr>
          <w:p>
            <w:pPr>
              <w:pStyle w:val="14"/>
              <w:rPr>
                <w:rFonts w:hint="eastAsia" w:ascii="仿宋_GB2312" w:hAnsi="仿宋_GB2312" w:eastAsia="仿宋_GB2312" w:cs="仿宋_GB2312"/>
                <w:kern w:val="2"/>
                <w:szCs w:val="22"/>
                <w:lang w:eastAsia="zh-CN"/>
              </w:rPr>
            </w:pPr>
            <w:r>
              <w:rPr>
                <w:rFonts w:hint="eastAsia" w:ascii="仿宋_GB2312" w:hAnsi="仿宋_GB2312" w:eastAsia="仿宋_GB2312" w:cs="仿宋_GB2312"/>
                <w:kern w:val="2"/>
                <w:szCs w:val="22"/>
                <w:lang w:eastAsia="zh-CN"/>
              </w:rPr>
              <w:t>≥95%</w:t>
            </w:r>
          </w:p>
        </w:tc>
        <w:tc>
          <w:tcPr>
            <w:tcW w:w="2155" w:type="dxa"/>
            <w:noWrap w:val="0"/>
            <w:vAlign w:val="center"/>
          </w:tcPr>
          <w:p>
            <w:pPr>
              <w:pStyle w:val="14"/>
              <w:rPr>
                <w:rFonts w:hint="eastAsia" w:ascii="仿宋_GB2312" w:hAnsi="仿宋_GB2312" w:eastAsia="仿宋_GB2312" w:cs="仿宋_GB2312"/>
                <w:kern w:val="2"/>
                <w:szCs w:val="22"/>
                <w:lang w:eastAsia="zh-CN"/>
              </w:rPr>
            </w:pPr>
            <w:r>
              <w:rPr>
                <w:rFonts w:hint="eastAsia" w:ascii="仿宋_GB2312" w:hAnsi="仿宋_GB2312" w:eastAsia="仿宋_GB2312" w:cs="仿宋_GB2312"/>
                <w:kern w:val="2"/>
                <w:szCs w:val="22"/>
                <w:lang w:eastAsia="zh-CN"/>
              </w:rPr>
              <w:t>廊广传【2021】19号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noWrap w:val="0"/>
            <w:vAlign w:val="center"/>
          </w:tcPr>
          <w:p>
            <w:pPr>
              <w:rPr>
                <w:rFonts w:hint="eastAsia" w:ascii="仿宋_GB2312" w:hAnsi="仿宋_GB2312" w:eastAsia="仿宋_GB2312" w:cs="仿宋_GB2312"/>
              </w:rPr>
            </w:pPr>
          </w:p>
        </w:tc>
        <w:tc>
          <w:tcPr>
            <w:tcW w:w="2268" w:type="dxa"/>
            <w:noWrap w:val="0"/>
            <w:vAlign w:val="center"/>
          </w:tcPr>
          <w:p>
            <w:pPr>
              <w:pStyle w:val="14"/>
              <w:rPr>
                <w:rFonts w:hint="eastAsia" w:ascii="仿宋_GB2312" w:hAnsi="仿宋_GB2312" w:eastAsia="仿宋_GB2312" w:cs="仿宋_GB2312"/>
                <w:kern w:val="2"/>
                <w:szCs w:val="22"/>
                <w:lang w:eastAsia="zh-CN"/>
              </w:rPr>
            </w:pPr>
            <w:r>
              <w:rPr>
                <w:rFonts w:hint="eastAsia" w:ascii="仿宋_GB2312" w:hAnsi="仿宋_GB2312" w:eastAsia="仿宋_GB2312" w:cs="仿宋_GB2312"/>
                <w:kern w:val="2"/>
                <w:szCs w:val="22"/>
                <w:lang w:eastAsia="zh-CN"/>
              </w:rPr>
              <w:t>成本指标</w:t>
            </w:r>
          </w:p>
        </w:tc>
        <w:tc>
          <w:tcPr>
            <w:tcW w:w="1985" w:type="dxa"/>
            <w:noWrap w:val="0"/>
            <w:vAlign w:val="center"/>
          </w:tcPr>
          <w:p>
            <w:pPr>
              <w:pStyle w:val="14"/>
              <w:rPr>
                <w:rFonts w:hint="eastAsia" w:ascii="仿宋_GB2312" w:hAnsi="仿宋_GB2312" w:eastAsia="仿宋_GB2312" w:cs="仿宋_GB2312"/>
                <w:kern w:val="2"/>
                <w:szCs w:val="22"/>
                <w:lang w:eastAsia="zh-CN"/>
              </w:rPr>
            </w:pPr>
            <w:r>
              <w:rPr>
                <w:rFonts w:hint="eastAsia" w:ascii="仿宋_GB2312" w:hAnsi="仿宋_GB2312" w:eastAsia="仿宋_GB2312" w:cs="仿宋_GB2312"/>
                <w:kern w:val="2"/>
                <w:szCs w:val="22"/>
                <w:lang w:eastAsia="zh-CN"/>
              </w:rPr>
              <w:t>保障项目正常运行</w:t>
            </w:r>
          </w:p>
        </w:tc>
        <w:tc>
          <w:tcPr>
            <w:tcW w:w="3402" w:type="dxa"/>
            <w:noWrap w:val="0"/>
            <w:vAlign w:val="center"/>
          </w:tcPr>
          <w:p>
            <w:pPr>
              <w:pStyle w:val="14"/>
              <w:rPr>
                <w:rFonts w:hint="eastAsia" w:ascii="仿宋_GB2312" w:hAnsi="仿宋_GB2312" w:eastAsia="仿宋_GB2312" w:cs="仿宋_GB2312"/>
                <w:kern w:val="2"/>
                <w:szCs w:val="22"/>
                <w:lang w:eastAsia="zh-CN"/>
              </w:rPr>
            </w:pPr>
            <w:r>
              <w:rPr>
                <w:rFonts w:hint="eastAsia" w:ascii="仿宋_GB2312" w:hAnsi="仿宋_GB2312" w:eastAsia="仿宋_GB2312" w:cs="仿宋_GB2312"/>
                <w:kern w:val="2"/>
                <w:szCs w:val="22"/>
                <w:lang w:eastAsia="zh-CN"/>
              </w:rPr>
              <w:t>合同制教师薪酬测算标准</w:t>
            </w:r>
          </w:p>
        </w:tc>
        <w:tc>
          <w:tcPr>
            <w:tcW w:w="1843" w:type="dxa"/>
            <w:noWrap w:val="0"/>
            <w:vAlign w:val="center"/>
          </w:tcPr>
          <w:p>
            <w:pPr>
              <w:pStyle w:val="14"/>
              <w:rPr>
                <w:rFonts w:hint="eastAsia" w:ascii="仿宋_GB2312" w:hAnsi="仿宋_GB2312" w:eastAsia="仿宋_GB2312" w:cs="仿宋_GB2312"/>
                <w:kern w:val="2"/>
                <w:szCs w:val="22"/>
                <w:lang w:eastAsia="zh-CN"/>
              </w:rPr>
            </w:pPr>
            <w:r>
              <w:rPr>
                <w:rFonts w:hint="eastAsia" w:ascii="仿宋_GB2312" w:hAnsi="仿宋_GB2312" w:eastAsia="仿宋_GB2312" w:cs="仿宋_GB2312"/>
                <w:kern w:val="2"/>
                <w:szCs w:val="22"/>
                <w:lang w:eastAsia="zh-CN"/>
              </w:rPr>
              <w:t>根据廊广传【2021】19号文件合同制教师与在职教师同工同酬</w:t>
            </w:r>
          </w:p>
        </w:tc>
        <w:tc>
          <w:tcPr>
            <w:tcW w:w="2155" w:type="dxa"/>
            <w:noWrap w:val="0"/>
            <w:vAlign w:val="center"/>
          </w:tcPr>
          <w:p>
            <w:pPr>
              <w:pStyle w:val="14"/>
              <w:rPr>
                <w:rFonts w:hint="eastAsia" w:ascii="仿宋_GB2312" w:hAnsi="仿宋_GB2312" w:eastAsia="仿宋_GB2312" w:cs="仿宋_GB2312"/>
                <w:kern w:val="2"/>
                <w:szCs w:val="22"/>
                <w:lang w:eastAsia="zh-CN"/>
              </w:rPr>
            </w:pPr>
            <w:r>
              <w:rPr>
                <w:rFonts w:hint="eastAsia" w:ascii="仿宋_GB2312" w:hAnsi="仿宋_GB2312" w:eastAsia="仿宋_GB2312" w:cs="仿宋_GB2312"/>
                <w:kern w:val="2"/>
                <w:szCs w:val="22"/>
                <w:lang w:eastAsia="zh-CN"/>
              </w:rPr>
              <w:t>廊广传【2021】19号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noWrap w:val="0"/>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效果指标</w:t>
            </w:r>
          </w:p>
        </w:tc>
        <w:tc>
          <w:tcPr>
            <w:tcW w:w="2268" w:type="dxa"/>
            <w:noWrap w:val="0"/>
            <w:vAlign w:val="center"/>
          </w:tcPr>
          <w:p>
            <w:pPr>
              <w:pStyle w:val="14"/>
              <w:rPr>
                <w:rFonts w:hint="eastAsia" w:ascii="仿宋_GB2312" w:hAnsi="仿宋_GB2312" w:eastAsia="仿宋_GB2312" w:cs="仿宋_GB2312"/>
                <w:kern w:val="2"/>
                <w:szCs w:val="22"/>
                <w:lang w:eastAsia="zh-CN"/>
              </w:rPr>
            </w:pPr>
            <w:r>
              <w:rPr>
                <w:rFonts w:hint="eastAsia" w:ascii="仿宋_GB2312" w:hAnsi="仿宋_GB2312" w:eastAsia="仿宋_GB2312" w:cs="仿宋_GB2312"/>
                <w:kern w:val="2"/>
                <w:szCs w:val="22"/>
                <w:lang w:eastAsia="zh-CN"/>
              </w:rPr>
              <w:t>社会效益指标</w:t>
            </w:r>
          </w:p>
        </w:tc>
        <w:tc>
          <w:tcPr>
            <w:tcW w:w="1985" w:type="dxa"/>
            <w:noWrap w:val="0"/>
            <w:vAlign w:val="center"/>
          </w:tcPr>
          <w:p>
            <w:pPr>
              <w:pStyle w:val="14"/>
              <w:rPr>
                <w:rFonts w:hint="eastAsia" w:ascii="仿宋_GB2312" w:hAnsi="仿宋_GB2312" w:eastAsia="仿宋_GB2312" w:cs="仿宋_GB2312"/>
                <w:kern w:val="2"/>
                <w:szCs w:val="22"/>
                <w:lang w:eastAsia="zh-CN"/>
              </w:rPr>
            </w:pPr>
            <w:r>
              <w:rPr>
                <w:rFonts w:hint="eastAsia" w:ascii="仿宋_GB2312" w:hAnsi="仿宋_GB2312" w:eastAsia="仿宋_GB2312" w:cs="仿宋_GB2312"/>
                <w:kern w:val="2"/>
                <w:szCs w:val="22"/>
                <w:lang w:eastAsia="zh-CN"/>
              </w:rPr>
              <w:t>缓解师资供需矛盾</w:t>
            </w:r>
          </w:p>
        </w:tc>
        <w:tc>
          <w:tcPr>
            <w:tcW w:w="3402" w:type="dxa"/>
            <w:noWrap w:val="0"/>
            <w:vAlign w:val="center"/>
          </w:tcPr>
          <w:p>
            <w:pPr>
              <w:pStyle w:val="14"/>
              <w:rPr>
                <w:rFonts w:hint="eastAsia" w:ascii="仿宋_GB2312" w:hAnsi="仿宋_GB2312" w:eastAsia="仿宋_GB2312" w:cs="仿宋_GB2312"/>
                <w:kern w:val="2"/>
                <w:szCs w:val="22"/>
                <w:lang w:eastAsia="zh-CN"/>
              </w:rPr>
            </w:pPr>
            <w:r>
              <w:rPr>
                <w:rFonts w:hint="eastAsia" w:ascii="仿宋_GB2312" w:hAnsi="仿宋_GB2312" w:eastAsia="仿宋_GB2312" w:cs="仿宋_GB2312"/>
                <w:kern w:val="2"/>
                <w:szCs w:val="22"/>
                <w:lang w:eastAsia="zh-CN"/>
              </w:rPr>
              <w:t>缓解教师短缺，保障教育教学正常的进行</w:t>
            </w:r>
          </w:p>
        </w:tc>
        <w:tc>
          <w:tcPr>
            <w:tcW w:w="1843" w:type="dxa"/>
            <w:noWrap w:val="0"/>
            <w:vAlign w:val="center"/>
          </w:tcPr>
          <w:p>
            <w:pPr>
              <w:pStyle w:val="14"/>
              <w:rPr>
                <w:rFonts w:hint="eastAsia" w:ascii="仿宋_GB2312" w:hAnsi="仿宋_GB2312" w:eastAsia="仿宋_GB2312" w:cs="仿宋_GB2312"/>
                <w:kern w:val="2"/>
                <w:szCs w:val="22"/>
                <w:lang w:eastAsia="zh-CN"/>
              </w:rPr>
            </w:pPr>
            <w:r>
              <w:rPr>
                <w:rFonts w:hint="eastAsia" w:ascii="仿宋_GB2312" w:hAnsi="仿宋_GB2312" w:eastAsia="仿宋_GB2312" w:cs="仿宋_GB2312"/>
                <w:kern w:val="2"/>
                <w:szCs w:val="22"/>
                <w:lang w:eastAsia="zh-CN"/>
              </w:rPr>
              <w:t>缓解</w:t>
            </w:r>
          </w:p>
        </w:tc>
        <w:tc>
          <w:tcPr>
            <w:tcW w:w="2155" w:type="dxa"/>
            <w:noWrap w:val="0"/>
            <w:vAlign w:val="center"/>
          </w:tcPr>
          <w:p>
            <w:pPr>
              <w:pStyle w:val="14"/>
              <w:rPr>
                <w:rFonts w:hint="eastAsia" w:ascii="仿宋_GB2312" w:hAnsi="仿宋_GB2312" w:eastAsia="仿宋_GB2312" w:cs="仿宋_GB2312"/>
                <w:kern w:val="2"/>
                <w:szCs w:val="22"/>
                <w:lang w:eastAsia="zh-CN"/>
              </w:rPr>
            </w:pPr>
            <w:r>
              <w:rPr>
                <w:rFonts w:hint="eastAsia" w:ascii="仿宋_GB2312" w:hAnsi="仿宋_GB2312" w:eastAsia="仿宋_GB2312" w:cs="仿宋_GB2312"/>
                <w:kern w:val="2"/>
                <w:szCs w:val="22"/>
                <w:lang w:eastAsia="zh-CN"/>
              </w:rPr>
              <w:t>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noWrap w:val="0"/>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满意度指标</w:t>
            </w:r>
          </w:p>
        </w:tc>
        <w:tc>
          <w:tcPr>
            <w:tcW w:w="2268" w:type="dxa"/>
            <w:noWrap w:val="0"/>
            <w:vAlign w:val="center"/>
          </w:tcPr>
          <w:p>
            <w:pPr>
              <w:pStyle w:val="14"/>
              <w:rPr>
                <w:rFonts w:hint="eastAsia" w:ascii="仿宋_GB2312" w:hAnsi="仿宋_GB2312" w:eastAsia="仿宋_GB2312" w:cs="仿宋_GB2312"/>
                <w:kern w:val="2"/>
                <w:szCs w:val="22"/>
                <w:lang w:eastAsia="zh-CN"/>
              </w:rPr>
            </w:pPr>
            <w:r>
              <w:rPr>
                <w:rFonts w:hint="eastAsia" w:ascii="仿宋_GB2312" w:hAnsi="仿宋_GB2312" w:eastAsia="仿宋_GB2312" w:cs="仿宋_GB2312"/>
                <w:kern w:val="2"/>
                <w:szCs w:val="22"/>
                <w:lang w:eastAsia="zh-CN"/>
              </w:rPr>
              <w:t>服务对象满意度指标</w:t>
            </w:r>
          </w:p>
        </w:tc>
        <w:tc>
          <w:tcPr>
            <w:tcW w:w="1985" w:type="dxa"/>
            <w:noWrap w:val="0"/>
            <w:vAlign w:val="center"/>
          </w:tcPr>
          <w:p>
            <w:pPr>
              <w:pStyle w:val="14"/>
              <w:rPr>
                <w:rFonts w:hint="eastAsia" w:ascii="仿宋_GB2312" w:hAnsi="仿宋_GB2312" w:eastAsia="仿宋_GB2312" w:cs="仿宋_GB2312"/>
                <w:kern w:val="2"/>
                <w:szCs w:val="22"/>
                <w:lang w:eastAsia="zh-CN"/>
              </w:rPr>
            </w:pPr>
            <w:r>
              <w:rPr>
                <w:rFonts w:hint="eastAsia" w:ascii="仿宋_GB2312" w:hAnsi="仿宋_GB2312" w:eastAsia="仿宋_GB2312" w:cs="仿宋_GB2312"/>
                <w:kern w:val="2"/>
                <w:szCs w:val="22"/>
                <w:lang w:eastAsia="zh-CN"/>
              </w:rPr>
              <w:t>学生满意度</w:t>
            </w:r>
          </w:p>
        </w:tc>
        <w:tc>
          <w:tcPr>
            <w:tcW w:w="3402" w:type="dxa"/>
            <w:noWrap w:val="0"/>
            <w:vAlign w:val="center"/>
          </w:tcPr>
          <w:p>
            <w:pPr>
              <w:pStyle w:val="14"/>
              <w:rPr>
                <w:rFonts w:hint="eastAsia" w:ascii="仿宋_GB2312" w:hAnsi="仿宋_GB2312" w:eastAsia="仿宋_GB2312" w:cs="仿宋_GB2312"/>
                <w:kern w:val="2"/>
                <w:szCs w:val="22"/>
                <w:lang w:eastAsia="zh-CN"/>
              </w:rPr>
            </w:pPr>
            <w:r>
              <w:rPr>
                <w:rFonts w:hint="eastAsia" w:ascii="仿宋_GB2312" w:hAnsi="仿宋_GB2312" w:eastAsia="仿宋_GB2312" w:cs="仿宋_GB2312"/>
                <w:kern w:val="2"/>
                <w:szCs w:val="22"/>
                <w:lang w:eastAsia="zh-CN"/>
              </w:rPr>
              <w:t>所教班级学生满意度</w:t>
            </w:r>
          </w:p>
        </w:tc>
        <w:tc>
          <w:tcPr>
            <w:tcW w:w="1843" w:type="dxa"/>
            <w:noWrap w:val="0"/>
            <w:vAlign w:val="center"/>
          </w:tcPr>
          <w:p>
            <w:pPr>
              <w:pStyle w:val="14"/>
              <w:rPr>
                <w:rFonts w:hint="eastAsia" w:ascii="仿宋_GB2312" w:hAnsi="仿宋_GB2312" w:eastAsia="仿宋_GB2312" w:cs="仿宋_GB2312"/>
                <w:kern w:val="2"/>
                <w:szCs w:val="22"/>
                <w:lang w:eastAsia="zh-CN"/>
              </w:rPr>
            </w:pPr>
            <w:r>
              <w:rPr>
                <w:rFonts w:hint="eastAsia" w:ascii="仿宋_GB2312" w:hAnsi="仿宋_GB2312" w:eastAsia="仿宋_GB2312" w:cs="仿宋_GB2312"/>
                <w:kern w:val="2"/>
                <w:szCs w:val="22"/>
                <w:lang w:eastAsia="zh-CN"/>
              </w:rPr>
              <w:t>≥95%</w:t>
            </w:r>
          </w:p>
        </w:tc>
        <w:tc>
          <w:tcPr>
            <w:tcW w:w="2155" w:type="dxa"/>
            <w:noWrap w:val="0"/>
            <w:vAlign w:val="center"/>
          </w:tcPr>
          <w:p>
            <w:pPr>
              <w:pStyle w:val="14"/>
              <w:rPr>
                <w:rFonts w:hint="eastAsia" w:ascii="仿宋_GB2312" w:hAnsi="仿宋_GB2312" w:eastAsia="仿宋_GB2312" w:cs="仿宋_GB2312"/>
                <w:kern w:val="2"/>
                <w:szCs w:val="22"/>
                <w:lang w:eastAsia="zh-CN"/>
              </w:rPr>
            </w:pPr>
            <w:r>
              <w:rPr>
                <w:rFonts w:hint="eastAsia" w:ascii="仿宋_GB2312" w:hAnsi="仿宋_GB2312" w:eastAsia="仿宋_GB2312" w:cs="仿宋_GB2312"/>
                <w:kern w:val="2"/>
                <w:szCs w:val="22"/>
                <w:lang w:eastAsia="zh-CN"/>
              </w:rPr>
              <w:t>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noWrap w:val="0"/>
            <w:vAlign w:val="center"/>
          </w:tcPr>
          <w:p>
            <w:pPr>
              <w:spacing w:line="300" w:lineRule="exact"/>
              <w:jc w:val="center"/>
              <w:rPr>
                <w:rFonts w:hint="eastAsia" w:ascii="仿宋_GB2312" w:hAnsi="仿宋_GB2312" w:eastAsia="仿宋_GB2312" w:cs="仿宋_GB2312"/>
              </w:rPr>
            </w:pPr>
          </w:p>
        </w:tc>
        <w:tc>
          <w:tcPr>
            <w:tcW w:w="2268" w:type="dxa"/>
            <w:noWrap w:val="0"/>
            <w:vAlign w:val="center"/>
          </w:tcPr>
          <w:p>
            <w:pPr>
              <w:pStyle w:val="14"/>
              <w:rPr>
                <w:rFonts w:hint="eastAsia" w:ascii="仿宋_GB2312" w:hAnsi="仿宋_GB2312" w:eastAsia="仿宋_GB2312" w:cs="仿宋_GB2312"/>
                <w:kern w:val="2"/>
                <w:szCs w:val="22"/>
                <w:lang w:eastAsia="zh-CN"/>
              </w:rPr>
            </w:pPr>
            <w:r>
              <w:rPr>
                <w:rFonts w:hint="eastAsia" w:ascii="仿宋_GB2312" w:hAnsi="仿宋_GB2312" w:eastAsia="仿宋_GB2312" w:cs="仿宋_GB2312"/>
                <w:kern w:val="2"/>
                <w:szCs w:val="22"/>
                <w:lang w:eastAsia="zh-CN"/>
              </w:rPr>
              <w:t>服务对象满意度指标</w:t>
            </w:r>
          </w:p>
        </w:tc>
        <w:tc>
          <w:tcPr>
            <w:tcW w:w="1985" w:type="dxa"/>
            <w:noWrap w:val="0"/>
            <w:vAlign w:val="center"/>
          </w:tcPr>
          <w:p>
            <w:pPr>
              <w:pStyle w:val="14"/>
              <w:rPr>
                <w:rFonts w:hint="eastAsia" w:ascii="仿宋_GB2312" w:hAnsi="仿宋_GB2312" w:eastAsia="仿宋_GB2312" w:cs="仿宋_GB2312"/>
                <w:kern w:val="2"/>
                <w:szCs w:val="22"/>
                <w:lang w:eastAsia="zh-CN"/>
              </w:rPr>
            </w:pPr>
            <w:r>
              <w:rPr>
                <w:rFonts w:hint="eastAsia" w:ascii="仿宋_GB2312" w:hAnsi="仿宋_GB2312" w:eastAsia="仿宋_GB2312" w:cs="仿宋_GB2312"/>
                <w:kern w:val="2"/>
                <w:szCs w:val="22"/>
                <w:lang w:eastAsia="zh-CN"/>
              </w:rPr>
              <w:t>学校满意度</w:t>
            </w:r>
          </w:p>
        </w:tc>
        <w:tc>
          <w:tcPr>
            <w:tcW w:w="3402" w:type="dxa"/>
            <w:noWrap w:val="0"/>
            <w:vAlign w:val="center"/>
          </w:tcPr>
          <w:p>
            <w:pPr>
              <w:pStyle w:val="14"/>
              <w:rPr>
                <w:rFonts w:hint="eastAsia" w:ascii="仿宋_GB2312" w:hAnsi="仿宋_GB2312" w:eastAsia="仿宋_GB2312" w:cs="仿宋_GB2312"/>
                <w:kern w:val="2"/>
                <w:szCs w:val="22"/>
                <w:lang w:eastAsia="zh-CN"/>
              </w:rPr>
            </w:pPr>
            <w:r>
              <w:rPr>
                <w:rFonts w:hint="eastAsia" w:ascii="仿宋_GB2312" w:hAnsi="仿宋_GB2312" w:eastAsia="仿宋_GB2312" w:cs="仿宋_GB2312"/>
                <w:kern w:val="2"/>
                <w:szCs w:val="22"/>
                <w:lang w:eastAsia="zh-CN"/>
              </w:rPr>
              <w:t>在校教师满意度</w:t>
            </w:r>
          </w:p>
        </w:tc>
        <w:tc>
          <w:tcPr>
            <w:tcW w:w="1843" w:type="dxa"/>
            <w:noWrap w:val="0"/>
            <w:vAlign w:val="center"/>
          </w:tcPr>
          <w:p>
            <w:pPr>
              <w:pStyle w:val="14"/>
              <w:rPr>
                <w:rFonts w:hint="eastAsia" w:ascii="仿宋_GB2312" w:hAnsi="仿宋_GB2312" w:eastAsia="仿宋_GB2312" w:cs="仿宋_GB2312"/>
                <w:kern w:val="2"/>
                <w:szCs w:val="22"/>
                <w:lang w:eastAsia="zh-CN"/>
              </w:rPr>
            </w:pPr>
            <w:r>
              <w:rPr>
                <w:rFonts w:hint="eastAsia" w:ascii="仿宋_GB2312" w:hAnsi="仿宋_GB2312" w:eastAsia="仿宋_GB2312" w:cs="仿宋_GB2312"/>
                <w:kern w:val="2"/>
                <w:szCs w:val="22"/>
                <w:lang w:eastAsia="zh-CN"/>
              </w:rPr>
              <w:t>≥95%</w:t>
            </w:r>
          </w:p>
        </w:tc>
        <w:tc>
          <w:tcPr>
            <w:tcW w:w="2155" w:type="dxa"/>
            <w:noWrap w:val="0"/>
            <w:vAlign w:val="center"/>
          </w:tcPr>
          <w:p>
            <w:pPr>
              <w:pStyle w:val="14"/>
              <w:rPr>
                <w:rFonts w:hint="eastAsia" w:ascii="仿宋_GB2312" w:hAnsi="仿宋_GB2312" w:eastAsia="仿宋_GB2312" w:cs="仿宋_GB2312"/>
                <w:kern w:val="2"/>
                <w:szCs w:val="22"/>
                <w:lang w:eastAsia="zh-CN"/>
              </w:rPr>
            </w:pPr>
            <w:r>
              <w:rPr>
                <w:rFonts w:hint="eastAsia" w:ascii="仿宋_GB2312" w:hAnsi="仿宋_GB2312" w:eastAsia="仿宋_GB2312" w:cs="仿宋_GB2312"/>
                <w:kern w:val="2"/>
                <w:szCs w:val="22"/>
                <w:lang w:eastAsia="zh-CN"/>
              </w:rPr>
              <w:t>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noWrap w:val="0"/>
            <w:vAlign w:val="center"/>
          </w:tcPr>
          <w:p>
            <w:pPr>
              <w:spacing w:line="300" w:lineRule="exact"/>
              <w:jc w:val="center"/>
              <w:rPr>
                <w:rFonts w:ascii="Times New Roman" w:hAnsi="Times New Roman" w:eastAsia="仿宋_GB2312" w:cs="Times New Roman"/>
              </w:rPr>
            </w:pPr>
          </w:p>
        </w:tc>
        <w:tc>
          <w:tcPr>
            <w:tcW w:w="2268" w:type="dxa"/>
            <w:noWrap w:val="0"/>
            <w:vAlign w:val="center"/>
          </w:tcPr>
          <w:p>
            <w:pPr>
              <w:pStyle w:val="14"/>
              <w:rPr>
                <w:rFonts w:hint="eastAsia" w:ascii="仿宋_GB2312" w:hAnsi="仿宋_GB2312" w:eastAsia="仿宋_GB2312" w:cs="仿宋_GB2312"/>
                <w:kern w:val="2"/>
                <w:szCs w:val="22"/>
                <w:lang w:eastAsia="zh-CN"/>
              </w:rPr>
            </w:pPr>
            <w:r>
              <w:rPr>
                <w:rFonts w:hint="eastAsia" w:ascii="仿宋_GB2312" w:hAnsi="仿宋_GB2312" w:eastAsia="仿宋_GB2312" w:cs="仿宋_GB2312"/>
                <w:kern w:val="2"/>
                <w:szCs w:val="22"/>
                <w:lang w:eastAsia="zh-CN"/>
              </w:rPr>
              <w:t>服务对象满意度指标</w:t>
            </w:r>
          </w:p>
        </w:tc>
        <w:tc>
          <w:tcPr>
            <w:tcW w:w="1985" w:type="dxa"/>
            <w:noWrap w:val="0"/>
            <w:vAlign w:val="center"/>
          </w:tcPr>
          <w:p>
            <w:pPr>
              <w:pStyle w:val="14"/>
              <w:rPr>
                <w:rFonts w:hint="eastAsia" w:ascii="仿宋_GB2312" w:hAnsi="仿宋_GB2312" w:eastAsia="仿宋_GB2312" w:cs="仿宋_GB2312"/>
                <w:kern w:val="2"/>
                <w:szCs w:val="22"/>
                <w:lang w:eastAsia="zh-CN"/>
              </w:rPr>
            </w:pPr>
            <w:r>
              <w:rPr>
                <w:rFonts w:hint="eastAsia" w:ascii="仿宋_GB2312" w:hAnsi="仿宋_GB2312" w:eastAsia="仿宋_GB2312" w:cs="仿宋_GB2312"/>
                <w:kern w:val="2"/>
                <w:szCs w:val="22"/>
                <w:lang w:eastAsia="zh-CN"/>
              </w:rPr>
              <w:t>家长满意度</w:t>
            </w:r>
          </w:p>
        </w:tc>
        <w:tc>
          <w:tcPr>
            <w:tcW w:w="3402" w:type="dxa"/>
            <w:noWrap w:val="0"/>
            <w:vAlign w:val="center"/>
          </w:tcPr>
          <w:p>
            <w:pPr>
              <w:pStyle w:val="14"/>
              <w:rPr>
                <w:rFonts w:hint="eastAsia" w:ascii="仿宋_GB2312" w:hAnsi="仿宋_GB2312" w:eastAsia="仿宋_GB2312" w:cs="仿宋_GB2312"/>
                <w:kern w:val="2"/>
                <w:szCs w:val="22"/>
                <w:lang w:eastAsia="zh-CN"/>
              </w:rPr>
            </w:pPr>
            <w:r>
              <w:rPr>
                <w:rFonts w:hint="eastAsia" w:ascii="仿宋_GB2312" w:hAnsi="仿宋_GB2312" w:eastAsia="仿宋_GB2312" w:cs="仿宋_GB2312"/>
                <w:kern w:val="2"/>
                <w:szCs w:val="22"/>
                <w:lang w:eastAsia="zh-CN"/>
              </w:rPr>
              <w:t>所教班级家长满意度</w:t>
            </w:r>
          </w:p>
        </w:tc>
        <w:tc>
          <w:tcPr>
            <w:tcW w:w="1843" w:type="dxa"/>
            <w:noWrap w:val="0"/>
            <w:vAlign w:val="center"/>
          </w:tcPr>
          <w:p>
            <w:pPr>
              <w:pStyle w:val="14"/>
              <w:rPr>
                <w:rFonts w:hint="eastAsia" w:ascii="仿宋_GB2312" w:hAnsi="仿宋_GB2312" w:eastAsia="仿宋_GB2312" w:cs="仿宋_GB2312"/>
                <w:kern w:val="2"/>
                <w:szCs w:val="22"/>
                <w:lang w:eastAsia="zh-CN"/>
              </w:rPr>
            </w:pPr>
            <w:r>
              <w:rPr>
                <w:rFonts w:hint="eastAsia" w:ascii="仿宋_GB2312" w:hAnsi="仿宋_GB2312" w:eastAsia="仿宋_GB2312" w:cs="仿宋_GB2312"/>
                <w:kern w:val="2"/>
                <w:szCs w:val="22"/>
                <w:lang w:eastAsia="zh-CN"/>
              </w:rPr>
              <w:t>≥95%</w:t>
            </w:r>
          </w:p>
        </w:tc>
        <w:tc>
          <w:tcPr>
            <w:tcW w:w="2155" w:type="dxa"/>
            <w:noWrap w:val="0"/>
            <w:vAlign w:val="center"/>
          </w:tcPr>
          <w:p>
            <w:pPr>
              <w:pStyle w:val="14"/>
              <w:rPr>
                <w:rFonts w:hint="eastAsia" w:ascii="仿宋_GB2312" w:hAnsi="仿宋_GB2312" w:eastAsia="仿宋_GB2312" w:cs="仿宋_GB2312"/>
                <w:kern w:val="2"/>
                <w:szCs w:val="22"/>
                <w:lang w:eastAsia="zh-CN"/>
              </w:rPr>
            </w:pPr>
            <w:r>
              <w:rPr>
                <w:rFonts w:hint="eastAsia" w:ascii="仿宋_GB2312" w:hAnsi="仿宋_GB2312" w:eastAsia="仿宋_GB2312" w:cs="仿宋_GB2312"/>
                <w:kern w:val="2"/>
                <w:szCs w:val="22"/>
                <w:lang w:eastAsia="zh-CN"/>
              </w:rPr>
              <w:t>调查问卷</w:t>
            </w:r>
          </w:p>
        </w:tc>
      </w:tr>
    </w:tbl>
    <w:p>
      <w:pPr>
        <w:spacing w:line="14" w:lineRule="exact"/>
        <w:ind w:firstLine="420" w:firstLineChars="200"/>
        <w:jc w:val="center"/>
        <w:rPr>
          <w:rFonts w:ascii="Times New Roman" w:hAnsi="Times New Roman" w:eastAsia="仿宋_GB2312" w:cs="Times New Roman"/>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六、政府采购预算情况</w:t>
      </w:r>
    </w:p>
    <w:p>
      <w:pPr>
        <w:spacing w:line="584" w:lineRule="exact"/>
        <w:ind w:firstLine="640" w:firstLineChars="200"/>
        <w:outlineLvl w:val="0"/>
        <w:rPr>
          <w:rFonts w:ascii="Times New Roman" w:hAnsi="Times New Roman" w:eastAsia="仿宋_GB2312" w:cs="Times New Roman"/>
          <w:sz w:val="32"/>
          <w:szCs w:val="24"/>
        </w:rPr>
      </w:pPr>
      <w:bookmarkStart w:id="1" w:name="_Toc471398468"/>
      <w:r>
        <w:rPr>
          <w:rFonts w:ascii="Times New Roman" w:hAnsi="Times New Roman" w:eastAsia="仿宋_GB2312" w:cs="Times New Roman"/>
          <w:sz w:val="32"/>
          <w:szCs w:val="24"/>
        </w:rPr>
        <w:t>20</w:t>
      </w:r>
      <w:r>
        <w:rPr>
          <w:rFonts w:hint="eastAsia" w:ascii="Times New Roman" w:hAnsi="Times New Roman" w:eastAsia="仿宋_GB2312" w:cs="Times New Roman"/>
          <w:sz w:val="32"/>
          <w:szCs w:val="24"/>
        </w:rPr>
        <w:t>2</w:t>
      </w:r>
      <w:r>
        <w:rPr>
          <w:rFonts w:ascii="Times New Roman" w:hAnsi="Times New Roman" w:eastAsia="仿宋_GB2312" w:cs="Times New Roman"/>
          <w:sz w:val="32"/>
          <w:szCs w:val="24"/>
        </w:rPr>
        <w:t>2年，我</w:t>
      </w:r>
      <w:r>
        <w:rPr>
          <w:rFonts w:hint="eastAsia" w:ascii="Times New Roman" w:hAnsi="Times New Roman" w:eastAsia="仿宋_GB2312" w:cs="Times New Roman"/>
          <w:sz w:val="32"/>
          <w:szCs w:val="24"/>
        </w:rPr>
        <w:t>单位未</w:t>
      </w:r>
      <w:r>
        <w:rPr>
          <w:rFonts w:ascii="Times New Roman" w:hAnsi="Times New Roman" w:eastAsia="仿宋_GB2312" w:cs="Times New Roman"/>
          <w:sz w:val="32"/>
          <w:szCs w:val="24"/>
        </w:rPr>
        <w:t>安排政府采购预算。</w:t>
      </w:r>
    </w:p>
    <w:bookmarkEnd w:id="1"/>
    <w:p>
      <w:pPr>
        <w:jc w:val="center"/>
        <w:outlineLvl w:val="1"/>
        <w:rPr>
          <w:rFonts w:ascii="方正小标宋_GBK" w:eastAsia="方正小标宋_GBK" w:cs="Times New Roman"/>
          <w:sz w:val="32"/>
        </w:rPr>
      </w:pPr>
      <w:bookmarkStart w:id="2" w:name="_Toc64920910"/>
      <w:r>
        <w:rPr>
          <w:rFonts w:hint="eastAsia" w:ascii="方正小标宋_GBK" w:eastAsia="方正小标宋_GBK" w:cs="Times New Roman"/>
          <w:sz w:val="32"/>
        </w:rPr>
        <w:t>部门政府采购预算</w:t>
      </w:r>
      <w:bookmarkEnd w:id="2"/>
    </w:p>
    <w:p>
      <w:pPr>
        <w:outlineLvl w:val="1"/>
        <w:rPr>
          <w:rFonts w:ascii="方正小标宋_GBK" w:eastAsia="方正小标宋_GBK" w:cs="Times New Roman"/>
          <w:sz w:val="32"/>
        </w:rPr>
      </w:pPr>
      <w:r>
        <w:rPr>
          <w:rFonts w:hint="eastAsia"/>
        </w:rPr>
        <w:t>廊坊市广阳区第二幼儿园</w:t>
      </w:r>
      <w:r>
        <w:t xml:space="preserve">                                                                                                     单位：万元</w:t>
      </w:r>
    </w:p>
    <w:tbl>
      <w:tblPr>
        <w:tblStyle w:val="8"/>
        <w:tblW w:w="1541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97"/>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061" w:type="dxa"/>
            <w:gridSpan w:val="2"/>
            <w:noWrap w:val="0"/>
            <w:vAlign w:val="center"/>
          </w:tcPr>
          <w:p>
            <w:pPr>
              <w:pStyle w:val="12"/>
              <w:spacing w:line="240" w:lineRule="exact"/>
            </w:pPr>
            <w:r>
              <w:t>政府采购项目来源</w:t>
            </w:r>
          </w:p>
        </w:tc>
        <w:tc>
          <w:tcPr>
            <w:tcW w:w="1134" w:type="dxa"/>
            <w:vMerge w:val="restart"/>
            <w:noWrap w:val="0"/>
            <w:vAlign w:val="center"/>
          </w:tcPr>
          <w:p>
            <w:pPr>
              <w:pStyle w:val="12"/>
              <w:spacing w:line="240" w:lineRule="exact"/>
            </w:pPr>
            <w:r>
              <w:t>采购物品名称</w:t>
            </w:r>
          </w:p>
        </w:tc>
        <w:tc>
          <w:tcPr>
            <w:tcW w:w="1134" w:type="dxa"/>
            <w:vMerge w:val="restart"/>
            <w:noWrap w:val="0"/>
            <w:vAlign w:val="center"/>
          </w:tcPr>
          <w:p>
            <w:pPr>
              <w:pStyle w:val="12"/>
              <w:spacing w:line="240" w:lineRule="exact"/>
            </w:pPr>
            <w:r>
              <w:t>政府采购目录序号</w:t>
            </w:r>
          </w:p>
        </w:tc>
        <w:tc>
          <w:tcPr>
            <w:tcW w:w="709" w:type="dxa"/>
            <w:vMerge w:val="restart"/>
            <w:noWrap w:val="0"/>
            <w:vAlign w:val="center"/>
          </w:tcPr>
          <w:p>
            <w:pPr>
              <w:pStyle w:val="12"/>
              <w:spacing w:line="240" w:lineRule="exact"/>
            </w:pPr>
            <w:r>
              <w:t>计量  单位</w:t>
            </w:r>
          </w:p>
        </w:tc>
        <w:tc>
          <w:tcPr>
            <w:tcW w:w="850" w:type="dxa"/>
            <w:vMerge w:val="restart"/>
            <w:noWrap w:val="0"/>
            <w:vAlign w:val="center"/>
          </w:tcPr>
          <w:p>
            <w:pPr>
              <w:pStyle w:val="12"/>
              <w:spacing w:line="240" w:lineRule="exact"/>
            </w:pPr>
            <w:r>
              <w:t>数量</w:t>
            </w:r>
          </w:p>
        </w:tc>
        <w:tc>
          <w:tcPr>
            <w:tcW w:w="850" w:type="dxa"/>
            <w:vMerge w:val="restart"/>
            <w:noWrap w:val="0"/>
            <w:vAlign w:val="center"/>
          </w:tcPr>
          <w:p>
            <w:pPr>
              <w:pStyle w:val="12"/>
              <w:spacing w:line="240" w:lineRule="exact"/>
            </w:pPr>
            <w:r>
              <w:t>单价</w:t>
            </w:r>
          </w:p>
        </w:tc>
        <w:tc>
          <w:tcPr>
            <w:tcW w:w="7712" w:type="dxa"/>
            <w:gridSpan w:val="8"/>
            <w:noWrap w:val="0"/>
            <w:vAlign w:val="center"/>
          </w:tcPr>
          <w:p>
            <w:pPr>
              <w:pStyle w:val="12"/>
              <w:spacing w:line="240" w:lineRule="exact"/>
            </w:pPr>
            <w:r>
              <w:t>政府采购金额（当年部门预算安排资金）</w:t>
            </w:r>
          </w:p>
        </w:tc>
        <w:tc>
          <w:tcPr>
            <w:tcW w:w="964" w:type="dxa"/>
            <w:vMerge w:val="restart"/>
            <w:noWrap w:val="0"/>
            <w:vAlign w:val="center"/>
          </w:tcPr>
          <w:p>
            <w:pPr>
              <w:pStyle w:val="12"/>
              <w:spacing w:line="240" w:lineRule="exact"/>
            </w:pPr>
            <w:r>
              <w:t>2022年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097" w:type="dxa"/>
            <w:noWrap w:val="0"/>
            <w:vAlign w:val="center"/>
          </w:tcPr>
          <w:p>
            <w:pPr>
              <w:pStyle w:val="12"/>
              <w:spacing w:line="240" w:lineRule="exact"/>
            </w:pPr>
            <w:r>
              <w:t>项目名称</w:t>
            </w:r>
          </w:p>
        </w:tc>
        <w:tc>
          <w:tcPr>
            <w:tcW w:w="964" w:type="dxa"/>
            <w:noWrap w:val="0"/>
            <w:vAlign w:val="center"/>
          </w:tcPr>
          <w:p>
            <w:pPr>
              <w:pStyle w:val="12"/>
              <w:spacing w:line="240" w:lineRule="exact"/>
            </w:pPr>
            <w:r>
              <w:t>预算    资金</w:t>
            </w:r>
          </w:p>
        </w:tc>
        <w:tc>
          <w:tcPr>
            <w:tcW w:w="1134" w:type="dxa"/>
            <w:vMerge w:val="continue"/>
            <w:noWrap w:val="0"/>
            <w:vAlign w:val="top"/>
          </w:tcPr>
          <w:p>
            <w:pPr>
              <w:spacing w:line="240" w:lineRule="exact"/>
            </w:pPr>
          </w:p>
        </w:tc>
        <w:tc>
          <w:tcPr>
            <w:tcW w:w="1134" w:type="dxa"/>
            <w:vMerge w:val="continue"/>
            <w:noWrap w:val="0"/>
            <w:vAlign w:val="top"/>
          </w:tcPr>
          <w:p>
            <w:pPr>
              <w:spacing w:line="240" w:lineRule="exact"/>
            </w:pPr>
          </w:p>
        </w:tc>
        <w:tc>
          <w:tcPr>
            <w:tcW w:w="709" w:type="dxa"/>
            <w:vMerge w:val="continue"/>
            <w:noWrap w:val="0"/>
            <w:vAlign w:val="top"/>
          </w:tcPr>
          <w:p>
            <w:pPr>
              <w:spacing w:line="240" w:lineRule="exact"/>
            </w:pPr>
          </w:p>
        </w:tc>
        <w:tc>
          <w:tcPr>
            <w:tcW w:w="850" w:type="dxa"/>
            <w:vMerge w:val="continue"/>
            <w:noWrap w:val="0"/>
            <w:vAlign w:val="top"/>
          </w:tcPr>
          <w:p>
            <w:pPr>
              <w:spacing w:line="240" w:lineRule="exact"/>
            </w:pPr>
          </w:p>
        </w:tc>
        <w:tc>
          <w:tcPr>
            <w:tcW w:w="850" w:type="dxa"/>
            <w:vMerge w:val="continue"/>
            <w:noWrap w:val="0"/>
            <w:vAlign w:val="top"/>
          </w:tcPr>
          <w:p>
            <w:pPr>
              <w:spacing w:line="240" w:lineRule="exact"/>
            </w:pPr>
          </w:p>
        </w:tc>
        <w:tc>
          <w:tcPr>
            <w:tcW w:w="964" w:type="dxa"/>
            <w:noWrap w:val="0"/>
            <w:vAlign w:val="center"/>
          </w:tcPr>
          <w:p>
            <w:pPr>
              <w:pStyle w:val="12"/>
              <w:spacing w:line="240" w:lineRule="exact"/>
            </w:pPr>
            <w:r>
              <w:t>合计</w:t>
            </w:r>
          </w:p>
        </w:tc>
        <w:tc>
          <w:tcPr>
            <w:tcW w:w="964" w:type="dxa"/>
            <w:noWrap w:val="0"/>
            <w:vAlign w:val="center"/>
          </w:tcPr>
          <w:p>
            <w:pPr>
              <w:pStyle w:val="12"/>
              <w:spacing w:line="240" w:lineRule="exact"/>
            </w:pPr>
            <w:r>
              <w:t>一般公共预算拨款</w:t>
            </w:r>
          </w:p>
        </w:tc>
        <w:tc>
          <w:tcPr>
            <w:tcW w:w="964" w:type="dxa"/>
            <w:noWrap w:val="0"/>
            <w:vAlign w:val="center"/>
          </w:tcPr>
          <w:p>
            <w:pPr>
              <w:pStyle w:val="12"/>
              <w:spacing w:line="240" w:lineRule="exact"/>
            </w:pPr>
            <w:r>
              <w:t>基金预算拨款</w:t>
            </w:r>
          </w:p>
        </w:tc>
        <w:tc>
          <w:tcPr>
            <w:tcW w:w="964" w:type="dxa"/>
            <w:noWrap w:val="0"/>
            <w:vAlign w:val="center"/>
          </w:tcPr>
          <w:p>
            <w:pPr>
              <w:pStyle w:val="12"/>
              <w:spacing w:line="240" w:lineRule="exact"/>
            </w:pPr>
            <w:r>
              <w:t>国有资本经营预算拨款</w:t>
            </w:r>
          </w:p>
        </w:tc>
        <w:tc>
          <w:tcPr>
            <w:tcW w:w="964" w:type="dxa"/>
            <w:noWrap w:val="0"/>
            <w:vAlign w:val="center"/>
          </w:tcPr>
          <w:p>
            <w:pPr>
              <w:pStyle w:val="12"/>
              <w:spacing w:line="240" w:lineRule="exact"/>
            </w:pPr>
            <w:r>
              <w:t>财政专户核拨</w:t>
            </w:r>
          </w:p>
        </w:tc>
        <w:tc>
          <w:tcPr>
            <w:tcW w:w="964" w:type="dxa"/>
            <w:noWrap w:val="0"/>
            <w:vAlign w:val="center"/>
          </w:tcPr>
          <w:p>
            <w:pPr>
              <w:pStyle w:val="12"/>
              <w:spacing w:line="240" w:lineRule="exact"/>
            </w:pPr>
            <w:r>
              <w:t>单位    资金</w:t>
            </w:r>
          </w:p>
        </w:tc>
        <w:tc>
          <w:tcPr>
            <w:tcW w:w="964" w:type="dxa"/>
            <w:noWrap w:val="0"/>
            <w:vAlign w:val="center"/>
          </w:tcPr>
          <w:p>
            <w:pPr>
              <w:pStyle w:val="12"/>
              <w:spacing w:line="240" w:lineRule="exact"/>
            </w:pPr>
            <w:r>
              <w:t>财政拨    款结转</w:t>
            </w:r>
          </w:p>
        </w:tc>
        <w:tc>
          <w:tcPr>
            <w:tcW w:w="964" w:type="dxa"/>
            <w:noWrap w:val="0"/>
            <w:vAlign w:val="center"/>
          </w:tcPr>
          <w:p>
            <w:pPr>
              <w:pStyle w:val="12"/>
              <w:spacing w:line="240" w:lineRule="exact"/>
            </w:pPr>
            <w:r>
              <w:t>非财政    拨款结    转结余</w:t>
            </w:r>
          </w:p>
        </w:tc>
        <w:tc>
          <w:tcPr>
            <w:tcW w:w="964" w:type="dxa"/>
            <w:vMerge w:val="continue"/>
            <w:noWrap w:val="0"/>
            <w:vAlign w:val="top"/>
          </w:tcPr>
          <w:p>
            <w:pPr>
              <w:spacing w:line="240" w:lineRule="exac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24" w:hRule="atLeast"/>
          <w:jc w:val="center"/>
        </w:trPr>
        <w:tc>
          <w:tcPr>
            <w:tcW w:w="1097" w:type="dxa"/>
            <w:noWrap w:val="0"/>
            <w:vAlign w:val="center"/>
          </w:tcPr>
          <w:p>
            <w:pPr>
              <w:pStyle w:val="16"/>
              <w:spacing w:line="240" w:lineRule="exact"/>
            </w:pPr>
            <w:r>
              <w:t>合  计</w:t>
            </w:r>
          </w:p>
        </w:tc>
        <w:tc>
          <w:tcPr>
            <w:tcW w:w="964" w:type="dxa"/>
            <w:noWrap w:val="0"/>
            <w:vAlign w:val="center"/>
          </w:tcPr>
          <w:p>
            <w:pPr>
              <w:pStyle w:val="17"/>
              <w:spacing w:line="240" w:lineRule="exact"/>
              <w:rPr>
                <w:rFonts w:hint="eastAsia" w:eastAsia="宋体"/>
                <w:lang w:eastAsia="zh-CN"/>
              </w:rPr>
            </w:pPr>
            <w:r>
              <w:rPr>
                <w:rFonts w:hint="eastAsia" w:eastAsia="宋体"/>
                <w:lang w:eastAsia="zh-CN"/>
              </w:rPr>
              <w:t>0</w:t>
            </w:r>
          </w:p>
        </w:tc>
        <w:tc>
          <w:tcPr>
            <w:tcW w:w="1134" w:type="dxa"/>
            <w:noWrap w:val="0"/>
            <w:vAlign w:val="center"/>
          </w:tcPr>
          <w:p>
            <w:pPr>
              <w:pStyle w:val="18"/>
              <w:spacing w:line="240" w:lineRule="exact"/>
            </w:pPr>
          </w:p>
        </w:tc>
        <w:tc>
          <w:tcPr>
            <w:tcW w:w="1134" w:type="dxa"/>
            <w:noWrap w:val="0"/>
            <w:vAlign w:val="center"/>
          </w:tcPr>
          <w:p>
            <w:pPr>
              <w:pStyle w:val="18"/>
              <w:spacing w:line="240" w:lineRule="exact"/>
            </w:pPr>
          </w:p>
        </w:tc>
        <w:tc>
          <w:tcPr>
            <w:tcW w:w="709" w:type="dxa"/>
            <w:noWrap w:val="0"/>
            <w:vAlign w:val="center"/>
          </w:tcPr>
          <w:p>
            <w:pPr>
              <w:pStyle w:val="16"/>
              <w:spacing w:line="240" w:lineRule="exact"/>
            </w:pPr>
          </w:p>
        </w:tc>
        <w:tc>
          <w:tcPr>
            <w:tcW w:w="850" w:type="dxa"/>
            <w:noWrap w:val="0"/>
            <w:vAlign w:val="center"/>
          </w:tcPr>
          <w:p>
            <w:pPr>
              <w:pStyle w:val="17"/>
              <w:spacing w:line="240" w:lineRule="exact"/>
            </w:pPr>
          </w:p>
        </w:tc>
        <w:tc>
          <w:tcPr>
            <w:tcW w:w="850" w:type="dxa"/>
            <w:noWrap w:val="0"/>
            <w:vAlign w:val="center"/>
          </w:tcPr>
          <w:p>
            <w:pPr>
              <w:pStyle w:val="17"/>
              <w:spacing w:line="240" w:lineRule="exact"/>
            </w:pPr>
          </w:p>
        </w:tc>
        <w:tc>
          <w:tcPr>
            <w:tcW w:w="964" w:type="dxa"/>
            <w:noWrap w:val="0"/>
            <w:vAlign w:val="center"/>
          </w:tcPr>
          <w:p>
            <w:pPr>
              <w:pStyle w:val="17"/>
              <w:spacing w:line="240" w:lineRule="exact"/>
            </w:pPr>
          </w:p>
        </w:tc>
        <w:tc>
          <w:tcPr>
            <w:tcW w:w="964" w:type="dxa"/>
            <w:noWrap w:val="0"/>
            <w:vAlign w:val="center"/>
          </w:tcPr>
          <w:p>
            <w:pPr>
              <w:pStyle w:val="17"/>
              <w:spacing w:line="240" w:lineRule="exact"/>
            </w:pPr>
          </w:p>
        </w:tc>
        <w:tc>
          <w:tcPr>
            <w:tcW w:w="964" w:type="dxa"/>
            <w:noWrap w:val="0"/>
            <w:vAlign w:val="center"/>
          </w:tcPr>
          <w:p>
            <w:pPr>
              <w:pStyle w:val="17"/>
              <w:spacing w:line="240" w:lineRule="exact"/>
            </w:pPr>
          </w:p>
        </w:tc>
        <w:tc>
          <w:tcPr>
            <w:tcW w:w="964" w:type="dxa"/>
            <w:noWrap w:val="0"/>
            <w:vAlign w:val="center"/>
          </w:tcPr>
          <w:p>
            <w:pPr>
              <w:pStyle w:val="17"/>
              <w:spacing w:line="240" w:lineRule="exact"/>
            </w:pPr>
          </w:p>
        </w:tc>
        <w:tc>
          <w:tcPr>
            <w:tcW w:w="964" w:type="dxa"/>
            <w:noWrap w:val="0"/>
            <w:vAlign w:val="center"/>
          </w:tcPr>
          <w:p>
            <w:pPr>
              <w:pStyle w:val="17"/>
              <w:spacing w:line="240" w:lineRule="exact"/>
            </w:pPr>
          </w:p>
        </w:tc>
        <w:tc>
          <w:tcPr>
            <w:tcW w:w="964" w:type="dxa"/>
            <w:noWrap w:val="0"/>
            <w:vAlign w:val="center"/>
          </w:tcPr>
          <w:p>
            <w:pPr>
              <w:pStyle w:val="17"/>
              <w:spacing w:line="240" w:lineRule="exact"/>
            </w:pPr>
          </w:p>
        </w:tc>
        <w:tc>
          <w:tcPr>
            <w:tcW w:w="964" w:type="dxa"/>
            <w:noWrap w:val="0"/>
            <w:vAlign w:val="center"/>
          </w:tcPr>
          <w:p>
            <w:pPr>
              <w:pStyle w:val="17"/>
              <w:spacing w:line="240" w:lineRule="exact"/>
            </w:pPr>
          </w:p>
        </w:tc>
        <w:tc>
          <w:tcPr>
            <w:tcW w:w="964" w:type="dxa"/>
            <w:noWrap w:val="0"/>
            <w:vAlign w:val="center"/>
          </w:tcPr>
          <w:p>
            <w:pPr>
              <w:pStyle w:val="17"/>
              <w:spacing w:line="240" w:lineRule="exact"/>
            </w:pPr>
          </w:p>
        </w:tc>
        <w:tc>
          <w:tcPr>
            <w:tcW w:w="964" w:type="dxa"/>
            <w:noWrap w:val="0"/>
            <w:vAlign w:val="center"/>
          </w:tcPr>
          <w:p>
            <w:pPr>
              <w:pStyle w:val="17"/>
              <w:spacing w:line="240" w:lineRule="exac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24" w:hRule="atLeast"/>
          <w:jc w:val="center"/>
        </w:trPr>
        <w:tc>
          <w:tcPr>
            <w:tcW w:w="1097" w:type="dxa"/>
            <w:noWrap w:val="0"/>
            <w:vAlign w:val="center"/>
          </w:tcPr>
          <w:p>
            <w:pPr>
              <w:pStyle w:val="16"/>
            </w:pPr>
          </w:p>
        </w:tc>
        <w:tc>
          <w:tcPr>
            <w:tcW w:w="964" w:type="dxa"/>
            <w:noWrap w:val="0"/>
            <w:vAlign w:val="center"/>
          </w:tcPr>
          <w:p>
            <w:pPr>
              <w:pStyle w:val="17"/>
            </w:pPr>
          </w:p>
        </w:tc>
        <w:tc>
          <w:tcPr>
            <w:tcW w:w="1134" w:type="dxa"/>
            <w:noWrap w:val="0"/>
            <w:vAlign w:val="center"/>
          </w:tcPr>
          <w:p>
            <w:pPr>
              <w:pStyle w:val="18"/>
            </w:pPr>
          </w:p>
        </w:tc>
        <w:tc>
          <w:tcPr>
            <w:tcW w:w="1134" w:type="dxa"/>
            <w:noWrap w:val="0"/>
            <w:vAlign w:val="center"/>
          </w:tcPr>
          <w:p>
            <w:pPr>
              <w:pStyle w:val="18"/>
            </w:pPr>
          </w:p>
        </w:tc>
        <w:tc>
          <w:tcPr>
            <w:tcW w:w="709" w:type="dxa"/>
            <w:noWrap w:val="0"/>
            <w:vAlign w:val="center"/>
          </w:tcPr>
          <w:p>
            <w:pPr>
              <w:pStyle w:val="16"/>
            </w:pPr>
          </w:p>
        </w:tc>
        <w:tc>
          <w:tcPr>
            <w:tcW w:w="850" w:type="dxa"/>
            <w:noWrap w:val="0"/>
            <w:vAlign w:val="center"/>
          </w:tcPr>
          <w:p>
            <w:pPr>
              <w:pStyle w:val="17"/>
            </w:pPr>
          </w:p>
        </w:tc>
        <w:tc>
          <w:tcPr>
            <w:tcW w:w="850" w:type="dxa"/>
            <w:noWrap w:val="0"/>
            <w:vAlign w:val="center"/>
          </w:tcPr>
          <w:p>
            <w:pPr>
              <w:pStyle w:val="17"/>
            </w:pPr>
          </w:p>
        </w:tc>
        <w:tc>
          <w:tcPr>
            <w:tcW w:w="964" w:type="dxa"/>
            <w:noWrap w:val="0"/>
            <w:vAlign w:val="center"/>
          </w:tcPr>
          <w:p>
            <w:pPr>
              <w:pStyle w:val="17"/>
            </w:pPr>
          </w:p>
        </w:tc>
        <w:tc>
          <w:tcPr>
            <w:tcW w:w="964" w:type="dxa"/>
            <w:noWrap w:val="0"/>
            <w:vAlign w:val="center"/>
          </w:tcPr>
          <w:p>
            <w:pPr>
              <w:pStyle w:val="17"/>
            </w:pPr>
          </w:p>
        </w:tc>
        <w:tc>
          <w:tcPr>
            <w:tcW w:w="964" w:type="dxa"/>
            <w:noWrap w:val="0"/>
            <w:vAlign w:val="center"/>
          </w:tcPr>
          <w:p>
            <w:pPr>
              <w:pStyle w:val="17"/>
            </w:pPr>
          </w:p>
        </w:tc>
        <w:tc>
          <w:tcPr>
            <w:tcW w:w="964" w:type="dxa"/>
            <w:noWrap w:val="0"/>
            <w:vAlign w:val="center"/>
          </w:tcPr>
          <w:p>
            <w:pPr>
              <w:pStyle w:val="17"/>
            </w:pPr>
          </w:p>
        </w:tc>
        <w:tc>
          <w:tcPr>
            <w:tcW w:w="964" w:type="dxa"/>
            <w:noWrap w:val="0"/>
            <w:vAlign w:val="center"/>
          </w:tcPr>
          <w:p>
            <w:pPr>
              <w:pStyle w:val="17"/>
            </w:pPr>
          </w:p>
        </w:tc>
        <w:tc>
          <w:tcPr>
            <w:tcW w:w="964" w:type="dxa"/>
            <w:noWrap w:val="0"/>
            <w:vAlign w:val="center"/>
          </w:tcPr>
          <w:p>
            <w:pPr>
              <w:pStyle w:val="17"/>
            </w:pPr>
          </w:p>
        </w:tc>
        <w:tc>
          <w:tcPr>
            <w:tcW w:w="964" w:type="dxa"/>
            <w:noWrap w:val="0"/>
            <w:vAlign w:val="center"/>
          </w:tcPr>
          <w:p>
            <w:pPr>
              <w:pStyle w:val="17"/>
            </w:pPr>
          </w:p>
        </w:tc>
        <w:tc>
          <w:tcPr>
            <w:tcW w:w="964" w:type="dxa"/>
            <w:noWrap w:val="0"/>
            <w:vAlign w:val="center"/>
          </w:tcPr>
          <w:p>
            <w:pPr>
              <w:pStyle w:val="17"/>
            </w:pPr>
          </w:p>
        </w:tc>
        <w:tc>
          <w:tcPr>
            <w:tcW w:w="964" w:type="dxa"/>
            <w:noWrap w:val="0"/>
            <w:vAlign w:val="center"/>
          </w:tcPr>
          <w:p>
            <w:pPr>
              <w:pStyle w:val="17"/>
            </w:pPr>
          </w:p>
        </w:tc>
      </w:tr>
    </w:tbl>
    <w:p>
      <w:pPr>
        <w:spacing w:line="500" w:lineRule="exact"/>
        <w:ind w:firstLine="420"/>
        <w:rPr>
          <w:rFonts w:ascii="方正仿宋_GBK" w:hAnsi="方正仿宋_GBK" w:eastAsia="方正仿宋_GBK" w:cs="方正仿宋_GBK"/>
          <w:color w:val="000000"/>
        </w:rPr>
      </w:pPr>
      <w:r>
        <w:rPr>
          <w:rFonts w:ascii="方正仿宋_GBK" w:hAnsi="方正仿宋_GBK" w:eastAsia="方正仿宋_GBK" w:cs="方正仿宋_GBK"/>
          <w:color w:val="000000"/>
        </w:rPr>
        <w:t>注：同一采购目录序号的物品，其单价会因配置规格不同而变动，均符合资产配置标准。涉密采购事项按照相关规定执行。</w:t>
      </w:r>
    </w:p>
    <w:p>
      <w:pPr>
        <w:spacing w:line="500" w:lineRule="exact"/>
        <w:ind w:firstLine="420"/>
        <w:rPr>
          <w:rFonts w:hint="eastAsia" w:ascii="Times New Roman" w:hAnsi="Times New Roman" w:eastAsia="黑体" w:cs="Times New Roman"/>
          <w:sz w:val="32"/>
          <w:szCs w:val="32"/>
        </w:rPr>
      </w:pPr>
    </w:p>
    <w:p>
      <w:pPr>
        <w:spacing w:line="500" w:lineRule="exact"/>
        <w:ind w:firstLine="420"/>
        <w:rPr>
          <w:rFonts w:hint="eastAsia" w:ascii="Times New Roman" w:hAnsi="Times New Roman" w:eastAsia="黑体" w:cs="Times New Roman"/>
          <w:sz w:val="32"/>
          <w:szCs w:val="32"/>
        </w:rPr>
      </w:pPr>
    </w:p>
    <w:p>
      <w:pPr>
        <w:spacing w:line="500" w:lineRule="exact"/>
        <w:ind w:firstLine="420"/>
        <w:rPr>
          <w:rFonts w:hint="eastAsia" w:ascii="Times New Roman" w:hAnsi="Times New Roman" w:eastAsia="黑体" w:cs="Times New Roman"/>
          <w:sz w:val="32"/>
          <w:szCs w:val="32"/>
        </w:rPr>
      </w:pPr>
    </w:p>
    <w:p>
      <w:pPr>
        <w:spacing w:line="500" w:lineRule="exact"/>
        <w:ind w:firstLine="420"/>
        <w:rPr>
          <w:rFonts w:ascii="Times New Roman" w:hAnsi="Times New Roman" w:eastAsia="黑体" w:cs="Times New Roman"/>
          <w:sz w:val="32"/>
          <w:szCs w:val="32"/>
        </w:rPr>
      </w:pPr>
      <w:r>
        <w:rPr>
          <w:rFonts w:ascii="Times New Roman" w:hAnsi="Times New Roman" w:eastAsia="黑体" w:cs="Times New Roman"/>
          <w:sz w:val="32"/>
          <w:szCs w:val="32"/>
        </w:rPr>
        <w:t>七、国有资产信息</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廊坊市</w:t>
      </w:r>
      <w:r>
        <w:rPr>
          <w:rFonts w:hint="eastAsia" w:ascii="Times New Roman" w:hAnsi="Times New Roman" w:eastAsia="仿宋_GB2312" w:cs="Times New Roman"/>
          <w:sz w:val="32"/>
          <w:szCs w:val="32"/>
        </w:rPr>
        <w:t>广阳区第二幼儿园</w:t>
      </w:r>
      <w:r>
        <w:rPr>
          <w:rFonts w:ascii="Times New Roman" w:hAnsi="Times New Roman" w:eastAsia="仿宋_GB2312" w:cs="Times New Roman"/>
          <w:sz w:val="32"/>
          <w:szCs w:val="32"/>
        </w:rPr>
        <w:t>上年末固定资产金额为</w:t>
      </w:r>
      <w:r>
        <w:rPr>
          <w:rFonts w:hint="eastAsia" w:ascii="Times New Roman" w:hAnsi="Times New Roman" w:eastAsia="仿宋_GB2312" w:cs="Times New Roman"/>
          <w:sz w:val="32"/>
          <w:szCs w:val="32"/>
        </w:rPr>
        <w:t>643.536927</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（详见下表）</w:t>
      </w:r>
      <w:r>
        <w:rPr>
          <w:rFonts w:ascii="Times New Roman" w:hAnsi="Times New Roman" w:eastAsia="仿宋_GB2312" w:cs="Times New Roman"/>
          <w:sz w:val="32"/>
          <w:szCs w:val="32"/>
        </w:rPr>
        <w:t>。</w:t>
      </w:r>
    </w:p>
    <w:tbl>
      <w:tblPr>
        <w:tblStyle w:val="8"/>
        <w:tblW w:w="13325" w:type="dxa"/>
        <w:tblInd w:w="93" w:type="dxa"/>
        <w:tblLayout w:type="autofit"/>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noWrap/>
            <w:vAlign w:val="center"/>
          </w:tcPr>
          <w:p>
            <w:pPr>
              <w:widowControl/>
              <w:spacing w:line="584" w:lineRule="exact"/>
              <w:jc w:val="center"/>
              <w:rPr>
                <w:rFonts w:ascii="Times New Roman" w:hAnsi="Times New Roman" w:eastAsia="仿宋_GB2312" w:cs="Times New Roman"/>
                <w:b/>
                <w:bCs/>
                <w:kern w:val="0"/>
                <w:sz w:val="32"/>
                <w:szCs w:val="32"/>
              </w:rPr>
            </w:pPr>
            <w:r>
              <w:rPr>
                <w:rFonts w:ascii="Times New Roman" w:hAnsi="Times New Roman" w:eastAsia="仿宋_GB2312" w:cs="Times New Roman"/>
                <w:b/>
                <w:bCs/>
                <w:kern w:val="0"/>
                <w:sz w:val="32"/>
                <w:szCs w:val="32"/>
              </w:rPr>
              <w:t>廊坊市</w:t>
            </w:r>
            <w:r>
              <w:rPr>
                <w:rFonts w:hint="eastAsia" w:ascii="Times New Roman" w:hAnsi="Times New Roman" w:eastAsia="仿宋_GB2312" w:cs="Times New Roman"/>
                <w:b/>
                <w:bCs/>
                <w:kern w:val="0"/>
                <w:sz w:val="32"/>
                <w:szCs w:val="32"/>
              </w:rPr>
              <w:t>广阳区区</w:t>
            </w:r>
            <w:r>
              <w:rPr>
                <w:rFonts w:ascii="Times New Roman" w:hAnsi="Times New Roman" w:eastAsia="仿宋_GB2312" w:cs="Times New Roman"/>
                <w:b/>
                <w:bCs/>
                <w:kern w:val="0"/>
                <w:sz w:val="32"/>
                <w:szCs w:val="32"/>
              </w:rPr>
              <w:t>直部门固定资产占用情况表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编制部门：廊坊市</w:t>
            </w:r>
            <w:r>
              <w:rPr>
                <w:rFonts w:hint="eastAsia" w:ascii="Times New Roman" w:hAnsi="Times New Roman" w:eastAsia="仿宋_GB2312" w:cs="Times New Roman"/>
                <w:kern w:val="0"/>
                <w:sz w:val="22"/>
              </w:rPr>
              <w:t>广阳区第二幼儿园</w:t>
            </w:r>
          </w:p>
        </w:tc>
        <w:tc>
          <w:tcPr>
            <w:tcW w:w="5103" w:type="dxa"/>
            <w:tcBorders>
              <w:top w:val="nil"/>
              <w:left w:val="nil"/>
              <w:bottom w:val="nil"/>
              <w:right w:val="nil"/>
            </w:tcBorders>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截止时间：20</w:t>
            </w:r>
            <w:r>
              <w:rPr>
                <w:rFonts w:hint="eastAsia" w:ascii="Times New Roman" w:hAnsi="Times New Roman" w:eastAsia="仿宋_GB2312" w:cs="Times New Roman"/>
                <w:kern w:val="0"/>
                <w:sz w:val="22"/>
              </w:rPr>
              <w:t>2</w:t>
            </w:r>
            <w:r>
              <w:rPr>
                <w:rFonts w:ascii="Times New Roman" w:hAnsi="Times New Roman" w:eastAsia="仿宋_GB2312" w:cs="Times New Roman"/>
                <w:kern w:val="0"/>
                <w:sz w:val="22"/>
              </w:rPr>
              <w:t xml:space="preserve">1年12月31日  </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   目</w:t>
            </w:r>
          </w:p>
        </w:tc>
        <w:tc>
          <w:tcPr>
            <w:tcW w:w="3155" w:type="dxa"/>
            <w:tcBorders>
              <w:top w:val="single" w:color="auto" w:sz="4" w:space="0"/>
              <w:left w:val="nil"/>
              <w:bottom w:val="single" w:color="auto" w:sz="4" w:space="0"/>
              <w:right w:val="single" w:color="auto" w:sz="4" w:space="0"/>
            </w:tcBorders>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noWrap/>
            <w:vAlign w:val="center"/>
          </w:tcPr>
          <w:p>
            <w:pPr>
              <w:spacing w:line="584" w:lineRule="exact"/>
              <w:jc w:val="center"/>
              <w:rPr>
                <w:rFonts w:ascii="Times New Roman" w:hAnsi="Times New Roman" w:eastAsia="仿宋_GB2312" w:cs="Times New Roman"/>
                <w:sz w:val="22"/>
                <w:highlight w:val="yellow"/>
              </w:rPr>
            </w:pPr>
            <w:r>
              <w:rPr>
                <w:rFonts w:hint="eastAsia" w:ascii="Times New Roman" w:hAnsi="Times New Roman" w:eastAsia="仿宋_GB2312" w:cs="Times New Roman"/>
                <w:sz w:val="22"/>
              </w:rPr>
              <w:t>643.536927</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3067</w:t>
            </w:r>
          </w:p>
        </w:tc>
        <w:tc>
          <w:tcPr>
            <w:tcW w:w="5103" w:type="dxa"/>
            <w:tcBorders>
              <w:top w:val="nil"/>
              <w:left w:val="nil"/>
              <w:bottom w:val="single" w:color="auto" w:sz="4" w:space="0"/>
              <w:right w:val="single" w:color="auto" w:sz="4" w:space="0"/>
            </w:tcBorders>
            <w:noWrap/>
            <w:vAlign w:val="center"/>
          </w:tcPr>
          <w:p>
            <w:pPr>
              <w:spacing w:line="584" w:lineRule="exact"/>
              <w:jc w:val="center"/>
              <w:rPr>
                <w:rFonts w:ascii="Times New Roman" w:hAnsi="Times New Roman" w:eastAsia="仿宋_GB2312" w:cs="Times New Roman"/>
                <w:sz w:val="22"/>
                <w:highlight w:val="yellow"/>
              </w:rPr>
            </w:pPr>
            <w:r>
              <w:rPr>
                <w:rFonts w:hint="eastAsia" w:ascii="Times New Roman" w:hAnsi="Times New Roman" w:eastAsia="仿宋_GB2312" w:cs="Times New Roman"/>
                <w:sz w:val="22"/>
              </w:rPr>
              <w:t>385.9393</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noWrap/>
            <w:vAlign w:val="center"/>
          </w:tcPr>
          <w:p>
            <w:pPr>
              <w:spacing w:line="584" w:lineRule="exact"/>
              <w:jc w:val="center"/>
              <w:rPr>
                <w:rFonts w:ascii="Times New Roman" w:hAnsi="Times New Roman" w:eastAsia="仿宋_GB2312" w:cs="Times New Roman"/>
                <w:sz w:val="22"/>
                <w:highlight w:val="yellow"/>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noWrap w:val="0"/>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639.677534</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w:t>
      </w:r>
      <w:r>
        <w:rPr>
          <w:rFonts w:hint="eastAsia" w:ascii="Times New Roman" w:hAnsi="Times New Roman" w:eastAsia="仿宋_GB2312" w:cs="Times New Roman"/>
          <w:sz w:val="32"/>
          <w:szCs w:val="32"/>
          <w:lang w:eastAsia="zh-CN"/>
        </w:rPr>
        <w:t>区</w:t>
      </w:r>
      <w:r>
        <w:rPr>
          <w:rFonts w:ascii="Times New Roman" w:hAnsi="Times New Roman" w:eastAsia="仿宋_GB2312" w:cs="Times New Roman"/>
          <w:sz w:val="32"/>
          <w:szCs w:val="32"/>
        </w:rPr>
        <w:t>级财政当年拨付的资金。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w:t>
      </w:r>
      <w:r>
        <w:rPr>
          <w:rFonts w:hint="eastAsia" w:ascii="Times New Roman" w:hAnsi="Times New Roman" w:eastAsia="仿宋_GB2312" w:cs="Times New Roman"/>
          <w:sz w:val="32"/>
          <w:szCs w:val="32"/>
          <w:lang w:eastAsia="zh-CN"/>
        </w:rPr>
        <w:t>区</w:t>
      </w:r>
      <w:r>
        <w:rPr>
          <w:rFonts w:ascii="Times New Roman" w:hAnsi="Times New Roman" w:eastAsia="仿宋_GB2312" w:cs="Times New Roman"/>
          <w:sz w:val="32"/>
          <w:szCs w:val="32"/>
        </w:rPr>
        <w:t>级财政预算管理的“三公”经费，是指</w:t>
      </w:r>
      <w:r>
        <w:rPr>
          <w:rFonts w:hint="eastAsia" w:ascii="Times New Roman" w:hAnsi="Times New Roman" w:eastAsia="仿宋_GB2312" w:cs="Times New Roman"/>
          <w:sz w:val="32"/>
          <w:szCs w:val="32"/>
          <w:lang w:eastAsia="zh-CN"/>
        </w:rPr>
        <w:t>区</w:t>
      </w:r>
      <w:r>
        <w:rPr>
          <w:rFonts w:ascii="Times New Roman" w:hAnsi="Times New Roman" w:eastAsia="仿宋_GB2312" w:cs="Times New Roman"/>
          <w:sz w:val="32"/>
          <w:szCs w:val="32"/>
        </w:rPr>
        <w:t>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我部门无其他需要说明的事项。</w:t>
      </w:r>
    </w:p>
    <w:sectPr>
      <w:footerReference r:id="rId3" w:type="default"/>
      <w:pgSz w:w="16838" w:h="11906" w:orient="landscape"/>
      <w:pgMar w:top="1800" w:right="1440" w:bottom="1800" w:left="144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书宋_GBK">
    <w:altName w:val="微软雅黑"/>
    <w:panose1 w:val="00000000000000000000"/>
    <w:charset w:val="86"/>
    <w:family w:val="roman"/>
    <w:pitch w:val="default"/>
    <w:sig w:usb0="00000000" w:usb1="00000000" w:usb2="00000000" w:usb3="00000000" w:csb0="00040001" w:csb1="00000000"/>
  </w:font>
  <w:font w:name="微软雅黑">
    <w:panose1 w:val="020B0503020204020204"/>
    <w:charset w:val="86"/>
    <w:family w:val="auto"/>
    <w:pitch w:val="default"/>
    <w:sig w:usb0="80000287" w:usb1="280F3C52"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方正仿宋_GBK">
    <w:altName w:val="微软雅黑"/>
    <w:panose1 w:val="00000000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rPr>
      <w:t>-</w:t>
    </w:r>
    <w:r>
      <w:fldChar w:fldCharType="begin"/>
    </w:r>
    <w:r>
      <w:instrText xml:space="preserve">PAGE   \* MERGEFORMAT</w:instrText>
    </w:r>
    <w:r>
      <w:fldChar w:fldCharType="separate"/>
    </w:r>
    <w:r>
      <w:rPr>
        <w:lang w:val="zh-CN"/>
      </w:rPr>
      <w:t>2</w:t>
    </w:r>
    <w:r>
      <w:rPr>
        <w:lang w:val="zh-CN"/>
      </w:rPr>
      <w:fldChar w:fldCharType="end"/>
    </w:r>
    <w:r>
      <w:rPr>
        <w:rFonts w:hint="eastAsia"/>
      </w:rPr>
      <w:t>-</w:t>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doNotDisplayPageBoundaries w:val="1"/>
  <w:bordersDoNotSurroundHeader w:val="1"/>
  <w:bordersDoNotSurroundFooter w:val="1"/>
  <w:documentProtection w:enforcement="0"/>
  <w:defaultTabStop w:val="420"/>
  <w:hyphenationZone w:val="36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7CC"/>
    <w:rsid w:val="000230E6"/>
    <w:rsid w:val="000B627B"/>
    <w:rsid w:val="000F6018"/>
    <w:rsid w:val="00175E64"/>
    <w:rsid w:val="001E69F9"/>
    <w:rsid w:val="0025632D"/>
    <w:rsid w:val="00296279"/>
    <w:rsid w:val="003059E0"/>
    <w:rsid w:val="004A54AA"/>
    <w:rsid w:val="004C38D9"/>
    <w:rsid w:val="004C5C83"/>
    <w:rsid w:val="004E462A"/>
    <w:rsid w:val="0053272B"/>
    <w:rsid w:val="005E403C"/>
    <w:rsid w:val="00782C1D"/>
    <w:rsid w:val="008D0C9A"/>
    <w:rsid w:val="00932548"/>
    <w:rsid w:val="00944233"/>
    <w:rsid w:val="00A22B79"/>
    <w:rsid w:val="00B40732"/>
    <w:rsid w:val="00B772A9"/>
    <w:rsid w:val="00B80935"/>
    <w:rsid w:val="00B94930"/>
    <w:rsid w:val="00CD246F"/>
    <w:rsid w:val="00D10433"/>
    <w:rsid w:val="00D347CC"/>
    <w:rsid w:val="00DA42E2"/>
    <w:rsid w:val="00DC72B4"/>
    <w:rsid w:val="00F66A73"/>
    <w:rsid w:val="00FD5BF3"/>
    <w:rsid w:val="0CEC1180"/>
    <w:rsid w:val="103B4960"/>
    <w:rsid w:val="2E6F65BC"/>
    <w:rsid w:val="35782E82"/>
    <w:rsid w:val="3F511BB4"/>
    <w:rsid w:val="4A74265B"/>
    <w:rsid w:val="4C69159E"/>
    <w:rsid w:val="4E6530EB"/>
    <w:rsid w:val="4E7F1461"/>
    <w:rsid w:val="565B4326"/>
    <w:rsid w:val="603B13E0"/>
    <w:rsid w:val="62734691"/>
    <w:rsid w:val="676941D1"/>
    <w:rsid w:val="6E9772DF"/>
    <w:rsid w:val="73693C55"/>
    <w:rsid w:val="75906D5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2"/>
      <w:lang w:val="en-US" w:eastAsia="zh-CN" w:bidi="ar-SA"/>
    </w:rPr>
  </w:style>
  <w:style w:type="character" w:default="1" w:styleId="9">
    <w:name w:val="Default Paragraph Font"/>
    <w:unhideWhenUsed/>
    <w:qFormat/>
    <w:uiPriority w:val="1"/>
  </w:style>
  <w:style w:type="table" w:default="1" w:styleId="8">
    <w:name w:val="Normal Table"/>
    <w:unhideWhenUsed/>
    <w:qFormat/>
    <w:uiPriority w:val="99"/>
    <w:tblPr>
      <w:tblCellMar>
        <w:top w:w="0" w:type="dxa"/>
        <w:left w:w="108" w:type="dxa"/>
        <w:bottom w:w="0" w:type="dxa"/>
        <w:right w:w="108" w:type="dxa"/>
      </w:tblCellMar>
    </w:tblPr>
  </w:style>
  <w:style w:type="paragraph" w:styleId="2">
    <w:name w:val="Balloon Text"/>
    <w:basedOn w:val="1"/>
    <w:qFormat/>
    <w:uiPriority w:val="0"/>
    <w:rPr>
      <w:sz w:val="18"/>
      <w:szCs w:val="18"/>
    </w:rPr>
  </w:style>
  <w:style w:type="paragraph" w:styleId="3">
    <w:name w:val="footer"/>
    <w:basedOn w:val="1"/>
    <w:qFormat/>
    <w:uiPriority w:val="0"/>
    <w:pPr>
      <w:tabs>
        <w:tab w:val="center" w:pos="4153"/>
        <w:tab w:val="right" w:pos="8306"/>
      </w:tabs>
      <w:snapToGrid w:val="0"/>
      <w:jc w:val="left"/>
    </w:pPr>
    <w:rPr>
      <w:rFonts w:ascii="Times New Roman" w:hAnsi="Times New Roman" w:cs="Times New Roman"/>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rFonts w:ascii="Times New Roman" w:hAnsi="Times New Roman" w:cs="Times New Roman"/>
      <w:sz w:val="18"/>
      <w:szCs w:val="18"/>
    </w:rPr>
  </w:style>
  <w:style w:type="paragraph" w:styleId="5">
    <w:name w:val="toc 1"/>
    <w:basedOn w:val="1"/>
    <w:next w:val="1"/>
    <w:qFormat/>
    <w:uiPriority w:val="0"/>
    <w:rPr>
      <w:rFonts w:ascii="Times New Roman" w:hAnsi="Times New Roman" w:cs="Times New Roman"/>
      <w:szCs w:val="24"/>
    </w:rPr>
  </w:style>
  <w:style w:type="paragraph" w:styleId="6">
    <w:name w:val="footnote text"/>
    <w:basedOn w:val="1"/>
    <w:qFormat/>
    <w:uiPriority w:val="0"/>
    <w:pPr>
      <w:snapToGrid w:val="0"/>
      <w:jc w:val="left"/>
    </w:pPr>
    <w:rPr>
      <w:rFonts w:cs="Times New Roman"/>
      <w:sz w:val="18"/>
      <w:szCs w:val="18"/>
    </w:rPr>
  </w:style>
  <w:style w:type="paragraph" w:styleId="7">
    <w:name w:val="toc 2"/>
    <w:basedOn w:val="1"/>
    <w:next w:val="1"/>
    <w:qFormat/>
    <w:uiPriority w:val="0"/>
    <w:pPr>
      <w:ind w:left="200" w:leftChars="200"/>
    </w:pPr>
    <w:rPr>
      <w:rFonts w:ascii="Times New Roman" w:hAnsi="Times New Roman" w:cs="Times New Roman"/>
      <w:szCs w:val="24"/>
    </w:rPr>
  </w:style>
  <w:style w:type="character" w:styleId="10">
    <w:name w:val="footnote reference"/>
    <w:qFormat/>
    <w:uiPriority w:val="0"/>
    <w:rPr>
      <w:vertAlign w:val="superscript"/>
    </w:rPr>
  </w:style>
  <w:style w:type="paragraph" w:customStyle="1" w:styleId="11">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12">
    <w:name w:val="单元格样式1"/>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13">
    <w:name w:val="单元格样式4"/>
    <w:basedOn w:val="1"/>
    <w:qFormat/>
    <w:uiPriority w:val="0"/>
    <w:pPr>
      <w:widowControl/>
      <w:jc w:val="right"/>
    </w:pPr>
    <w:rPr>
      <w:rFonts w:ascii="方正书宋_GBK" w:hAnsi="方正书宋_GBK" w:eastAsia="方正书宋_GBK" w:cs="方正书宋_GBK"/>
      <w:kern w:val="0"/>
      <w:szCs w:val="24"/>
      <w:lang w:eastAsia="uk-UA"/>
    </w:rPr>
  </w:style>
  <w:style w:type="paragraph" w:customStyle="1" w:styleId="14">
    <w:name w:val="单元格样式2"/>
    <w:basedOn w:val="1"/>
    <w:qFormat/>
    <w:uiPriority w:val="0"/>
    <w:pPr>
      <w:widowControl/>
      <w:jc w:val="left"/>
    </w:pPr>
    <w:rPr>
      <w:rFonts w:ascii="方正书宋_GBK" w:hAnsi="方正书宋_GBK" w:eastAsia="方正书宋_GBK" w:cs="方正书宋_GBK"/>
      <w:kern w:val="0"/>
      <w:szCs w:val="24"/>
      <w:lang w:eastAsia="uk-UA"/>
    </w:rPr>
  </w:style>
  <w:style w:type="paragraph" w:customStyle="1" w:styleId="15">
    <w:name w:val="单元格样式3"/>
    <w:basedOn w:val="1"/>
    <w:qFormat/>
    <w:uiPriority w:val="0"/>
    <w:pPr>
      <w:widowControl/>
      <w:jc w:val="center"/>
    </w:pPr>
    <w:rPr>
      <w:rFonts w:ascii="方正书宋_GBK" w:hAnsi="方正书宋_GBK" w:eastAsia="方正书宋_GBK" w:cs="方正书宋_GBK"/>
      <w:kern w:val="0"/>
      <w:szCs w:val="24"/>
      <w:lang w:eastAsia="uk-UA"/>
    </w:rPr>
  </w:style>
  <w:style w:type="paragraph" w:customStyle="1" w:styleId="16">
    <w:name w:val="单元格样式6"/>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17">
    <w:name w:val="单元格样式7"/>
    <w:basedOn w:val="1"/>
    <w:qFormat/>
    <w:uiPriority w:val="0"/>
    <w:pPr>
      <w:widowControl/>
      <w:jc w:val="right"/>
    </w:pPr>
    <w:rPr>
      <w:rFonts w:ascii="方正书宋_GBK" w:hAnsi="方正书宋_GBK" w:eastAsia="方正书宋_GBK" w:cs="方正书宋_GBK"/>
      <w:b/>
      <w:kern w:val="0"/>
      <w:szCs w:val="24"/>
      <w:lang w:eastAsia="uk-UA"/>
    </w:rPr>
  </w:style>
  <w:style w:type="paragraph" w:customStyle="1" w:styleId="18">
    <w:name w:val="单元格样式5"/>
    <w:basedOn w:val="1"/>
    <w:qFormat/>
    <w:uiPriority w:val="0"/>
    <w:pPr>
      <w:widowControl/>
      <w:jc w:val="left"/>
    </w:pPr>
    <w:rPr>
      <w:rFonts w:ascii="方正书宋_GBK" w:hAnsi="方正书宋_GBK" w:eastAsia="方正书宋_GBK" w:cs="方正书宋_GBK"/>
      <w:b/>
      <w:kern w:val="0"/>
      <w:szCs w:val="24"/>
      <w:lang w:eastAsia="uk-U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10</Pages>
  <Words>572</Words>
  <Characters>3265</Characters>
  <Lines>27</Lines>
  <Paragraphs>7</Paragraphs>
  <TotalTime>0</TotalTime>
  <ScaleCrop>false</ScaleCrop>
  <LinksUpToDate>false</LinksUpToDate>
  <CharactersWithSpaces>3830</CharactersWithSpaces>
  <Application>WPS Office_11.1.0.11339_F1E327BC-269C-435d-A152-05C5408002CA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2020-01-13T03:27:00Z</dcterms:created>
  <dc:creator>guest</dc:creator>
  <cp:lastModifiedBy>lenovo</cp:lastModifiedBy>
  <cp:lastPrinted>2018-01-30T06:12:00Z</cp:lastPrinted>
  <dcterms:modified xsi:type="dcterms:W3CDTF">2022-07-07T02:15:01Z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2052-11.1.0.11339</vt:lpwstr>
  </property>
  <property fmtid="{D5CDD505-2E9C-101B-9397-08002B2CF9AE}" pid="3" name="ICV">
    <vt:lpwstr>BDCC480868DB486BB12AF0044C9766E4</vt:lpwstr>
  </property>
</Properties>
</file>