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4" w:name="_GoBack"/>
      <w:r>
        <w:rPr>
          <w:rFonts w:hint="eastAsia" w:ascii="Times New Roman" w:hAnsi="Times New Roman" w:eastAsia="方正小标宋简体" w:cs="Times New Roman"/>
          <w:sz w:val="44"/>
          <w:szCs w:val="44"/>
        </w:rPr>
        <w:t>第四幼儿园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广阳区第四幼儿园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9" w:lineRule="exact"/>
        <w:ind w:firstLine="660"/>
        <w:rPr>
          <w:rFonts w:ascii="Times New Roman" w:hAnsi="Times New Roman" w:eastAsia="仿宋_GB2312" w:cs="Times New Roman"/>
          <w:sz w:val="32"/>
          <w:szCs w:val="32"/>
        </w:rPr>
      </w:pPr>
      <w:r>
        <w:rPr>
          <w:rFonts w:hint="eastAsia" w:ascii="仿宋_GB2312" w:eastAsia="仿宋_GB2312"/>
          <w:sz w:val="32"/>
          <w:szCs w:val="32"/>
        </w:rPr>
        <w:t>贯彻执行党和国家的教育方针、政策、法律法规，对3周岁以上幼儿进行保育和教育。</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79" w:lineRule="exact"/>
            </w:pPr>
          </w:p>
        </w:tc>
        <w:tc>
          <w:tcPr>
            <w:tcW w:w="1134"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2902"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spacing w:line="579" w:lineRule="exact"/>
            </w:pPr>
            <w:r>
              <w:rPr>
                <w:rFonts w:hint="eastAsia"/>
              </w:rPr>
              <w:t>廊坊市广阳区第四幼儿园</w:t>
            </w:r>
          </w:p>
        </w:tc>
        <w:tc>
          <w:tcPr>
            <w:tcW w:w="1134" w:type="dxa"/>
            <w:shd w:val="clear" w:color="auto" w:fill="auto"/>
          </w:tcPr>
          <w:p>
            <w:pPr>
              <w:spacing w:line="579" w:lineRule="exact"/>
            </w:pPr>
            <w:r>
              <w:rPr>
                <w:rFonts w:hint="eastAsia"/>
              </w:rPr>
              <w:t>全额事业</w:t>
            </w:r>
          </w:p>
        </w:tc>
        <w:tc>
          <w:tcPr>
            <w:tcW w:w="1276" w:type="dxa"/>
            <w:shd w:val="clear" w:color="auto" w:fill="auto"/>
          </w:tcPr>
          <w:p>
            <w:pPr>
              <w:spacing w:line="579" w:lineRule="exact"/>
            </w:pPr>
          </w:p>
        </w:tc>
        <w:tc>
          <w:tcPr>
            <w:tcW w:w="2902" w:type="dxa"/>
            <w:shd w:val="clear" w:color="auto" w:fill="auto"/>
          </w:tcPr>
          <w:p>
            <w:pPr>
              <w:spacing w:line="579" w:lineRule="exact"/>
            </w:pPr>
            <w:r>
              <w:rPr>
                <w:rFonts w:hint="eastAsia"/>
              </w:rPr>
              <w:t>财政性资金基本保证</w:t>
            </w:r>
          </w:p>
        </w:tc>
      </w:tr>
    </w:tbl>
    <w:p>
      <w:pPr>
        <w:spacing w:line="579" w:lineRule="exact"/>
        <w:rPr>
          <w:rFonts w:ascii="Times New Roman" w:hAnsi="Times New Roman" w:eastAsia="仿宋" w:cs="Times New Roman"/>
          <w:color w:val="FF0000"/>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广阳区第四幼儿园</w:t>
      </w:r>
      <w:r>
        <w:rPr>
          <w:rFonts w:ascii="Times New Roman" w:hAnsi="Times New Roman" w:eastAsia="仿宋_GB2312" w:cs="Times New Roman"/>
          <w:sz w:val="32"/>
          <w:szCs w:val="32"/>
        </w:rPr>
        <w:t>的收支包含在部门预算中。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2年预算收入289.93万元，其中：一般公共预算收入</w:t>
      </w:r>
      <w:r>
        <w:rPr>
          <w:rFonts w:hint="eastAsia" w:ascii="Times New Roman" w:hAnsi="Times New Roman" w:eastAsia="仿宋_GB2312" w:cs="Times New Roman"/>
          <w:sz w:val="32"/>
          <w:szCs w:val="32"/>
        </w:rPr>
        <w:t>275.53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14.4</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广阳区第四幼儿园2022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2年支出预算289.93万元，其中基本支出289.93万元，包括人员类项目经费275.53万元和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全部是</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w:t>
      </w:r>
      <w:r>
        <w:rPr>
          <w:rFonts w:ascii="Times New Roman" w:hAnsi="Times New Roman" w:eastAsia="仿宋_GB2312" w:cs="Times New Roman"/>
          <w:sz w:val="32"/>
          <w:szCs w:val="32"/>
        </w:rPr>
        <w:t>等。</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2年预算收支安排289.93万元，较20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140.13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140.13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办公区的日常维修、办公用房水电费、办公用房取暖费、办公用房物业管理费等日常运行支出。</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我单位无</w:t>
      </w:r>
      <w:r>
        <w:rPr>
          <w:rFonts w:ascii="Times New Roman" w:hAnsi="Times New Roman" w:eastAsia="仿宋_GB2312" w:cs="Times New Roman"/>
          <w:sz w:val="32"/>
          <w:szCs w:val="32"/>
        </w:rPr>
        <w:t xml:space="preserve"> “三公”经费预算安排</w:t>
      </w:r>
      <w:r>
        <w:rPr>
          <w:rFonts w:hint="eastAsia" w:ascii="Times New Roman" w:hAnsi="Times New Roman" w:eastAsia="仿宋_GB2312" w:cs="Times New Roman"/>
          <w:sz w:val="32"/>
          <w:szCs w:val="32"/>
        </w:rPr>
        <w:t>。（与2021年相比持平，无增减变化）</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1.改善办公条件，提升教育环境，开展教师培训，提高教师队伍水平</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2.降低幼儿辍学率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3.改善办园条件，促进学前教育健康发展，办好人民满意的教育</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1.正常开展教育教学活动</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rPr>
        <w:t xml:space="preserve"> </w:t>
      </w:r>
      <w:r>
        <w:rPr>
          <w:rFonts w:hint="eastAsia" w:ascii="仿宋_GB2312" w:eastAsia="仿宋_GB2312" w:cs="Times New Roman"/>
          <w:sz w:val="32"/>
          <w:szCs w:val="32"/>
        </w:rPr>
        <w:t>购买的物资、玩教具符合国家质检标准</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3.降低辍学幼儿占幼儿总数的比例</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4.提升幼儿和家长对学校教育保育活动的满意度</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成立园领导班子、教研组长、后勤人员的规划领导小组，负责规划的制定和实施，保障资金依法依规使用。</w:t>
      </w: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1092"/>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二级</w:t>
            </w:r>
          </w:p>
          <w:p>
            <w:pPr>
              <w:widowControl/>
              <w:adjustRightInd w:val="0"/>
              <w:snapToGrid w:val="0"/>
              <w:spacing w:line="240" w:lineRule="auto"/>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三级</w:t>
            </w:r>
          </w:p>
          <w:p>
            <w:pPr>
              <w:widowControl/>
              <w:adjustRightInd w:val="0"/>
              <w:snapToGrid w:val="0"/>
              <w:spacing w:line="240" w:lineRule="auto"/>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绩效指标</w:t>
            </w:r>
          </w:p>
          <w:p>
            <w:pPr>
              <w:widowControl/>
              <w:adjustRightInd w:val="0"/>
              <w:snapToGrid w:val="0"/>
              <w:spacing w:line="240" w:lineRule="auto"/>
              <w:jc w:val="center"/>
              <w:rPr>
                <w:rFonts w:ascii="方正书宋_GBK" w:eastAsia="方正书宋_GBK"/>
                <w:b/>
              </w:rPr>
            </w:pPr>
            <w:r>
              <w:rPr>
                <w:rFonts w:ascii="方正书宋_GBK" w:eastAsia="方正书宋_GBK"/>
                <w:b/>
              </w:rPr>
              <w:t>描述</w:t>
            </w:r>
          </w:p>
        </w:tc>
        <w:tc>
          <w:tcPr>
            <w:tcW w:w="2123" w:type="dxa"/>
            <w:gridSpan w:val="3"/>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指标值</w:t>
            </w:r>
          </w:p>
        </w:tc>
        <w:tc>
          <w:tcPr>
            <w:tcW w:w="1951"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指标值</w:t>
            </w:r>
          </w:p>
          <w:p>
            <w:pPr>
              <w:widowControl/>
              <w:adjustRightInd w:val="0"/>
              <w:snapToGrid w:val="0"/>
              <w:spacing w:line="240" w:lineRule="auto"/>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240" w:lineRule="auto"/>
            </w:pPr>
          </w:p>
        </w:tc>
        <w:tc>
          <w:tcPr>
            <w:tcW w:w="825" w:type="dxa"/>
            <w:vMerge w:val="continue"/>
            <w:tcBorders>
              <w:tl2br w:val="nil"/>
              <w:tr2bl w:val="nil"/>
            </w:tcBorders>
            <w:vAlign w:val="center"/>
          </w:tcPr>
          <w:p>
            <w:pPr>
              <w:spacing w:line="240" w:lineRule="auto"/>
            </w:pPr>
          </w:p>
        </w:tc>
        <w:tc>
          <w:tcPr>
            <w:tcW w:w="897" w:type="dxa"/>
            <w:vMerge w:val="continue"/>
            <w:tcBorders>
              <w:tl2br w:val="nil"/>
              <w:tr2bl w:val="nil"/>
            </w:tcBorders>
            <w:vAlign w:val="center"/>
          </w:tcPr>
          <w:p>
            <w:pPr>
              <w:spacing w:line="240" w:lineRule="auto"/>
            </w:pPr>
          </w:p>
        </w:tc>
        <w:tc>
          <w:tcPr>
            <w:tcW w:w="2172" w:type="dxa"/>
            <w:vMerge w:val="continue"/>
            <w:tcBorders>
              <w:tl2br w:val="nil"/>
              <w:tr2bl w:val="nil"/>
            </w:tcBorders>
            <w:vAlign w:val="center"/>
          </w:tcPr>
          <w:p>
            <w:pPr>
              <w:spacing w:line="240" w:lineRule="auto"/>
            </w:pPr>
          </w:p>
        </w:tc>
        <w:tc>
          <w:tcPr>
            <w:tcW w:w="1483" w:type="dxa"/>
            <w:vMerge w:val="continue"/>
            <w:tcBorders>
              <w:tl2br w:val="nil"/>
              <w:tr2bl w:val="nil"/>
            </w:tcBorders>
            <w:vAlign w:val="center"/>
          </w:tcPr>
          <w:p>
            <w:pPr>
              <w:spacing w:line="240" w:lineRule="auto"/>
            </w:pPr>
          </w:p>
        </w:tc>
        <w:tc>
          <w:tcPr>
            <w:tcW w:w="543"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值</w:t>
            </w:r>
          </w:p>
        </w:tc>
        <w:tc>
          <w:tcPr>
            <w:tcW w:w="1092"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单位</w:t>
            </w:r>
          </w:p>
        </w:tc>
        <w:tc>
          <w:tcPr>
            <w:tcW w:w="1951" w:type="dxa"/>
            <w:vMerge w:val="continue"/>
            <w:tcBorders>
              <w:tl2br w:val="nil"/>
              <w:tr2bl w:val="nil"/>
            </w:tcBorders>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幼儿园毕业生生合格率</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00</w:t>
            </w: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951"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hint="eastAsia" w:ascii="方正书宋_GBK" w:eastAsia="方正书宋_GBK"/>
                <w:lang w:eastAsia="zh-CN"/>
              </w:rPr>
              <w:t>数</w:t>
            </w:r>
            <w:r>
              <w:rPr>
                <w:rFonts w:ascii="方正书宋_GBK" w:eastAsia="方正书宋_GBK"/>
              </w:rPr>
              <w:t>量</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10分不低于95%得满分，否则不得分</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95</w:t>
            </w: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widowControl/>
              <w:adjustRightInd w:val="0"/>
              <w:snapToGrid w:val="0"/>
              <w:spacing w:line="240" w:lineRule="auto"/>
              <w:jc w:val="center"/>
              <w:rPr>
                <w:rFonts w:hint="eastAsia" w:ascii="方正书宋_GBK" w:eastAsia="方正书宋_GBK"/>
                <w:lang w:eastAsia="zh-CN"/>
              </w:rPr>
            </w:pPr>
            <w:r>
              <w:rPr>
                <w:rFonts w:hint="eastAsia" w:ascii="方正书宋_GBK" w:eastAsia="方正书宋_GBK"/>
                <w:lang w:eastAsia="zh-CN"/>
              </w:rPr>
              <w:t>质量</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widowControl/>
              <w:adjustRightInd w:val="0"/>
              <w:snapToGrid w:val="0"/>
              <w:spacing w:line="240" w:lineRule="auto"/>
              <w:jc w:val="center"/>
              <w:rPr>
                <w:rFonts w:hint="eastAsia" w:ascii="方正书宋_GBK" w:eastAsia="方正书宋_GBK"/>
                <w:lang w:eastAsia="zh-CN"/>
              </w:rPr>
            </w:pPr>
            <w:r>
              <w:rPr>
                <w:rFonts w:hint="eastAsia" w:ascii="方正书宋_GBK" w:eastAsia="方正书宋_GBK"/>
                <w:lang w:eastAsia="zh-CN"/>
              </w:rPr>
              <w:t>时效</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240" w:lineRule="auto"/>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社会</w:t>
            </w:r>
          </w:p>
          <w:p>
            <w:pPr>
              <w:widowControl/>
              <w:adjustRightInd w:val="0"/>
              <w:snapToGrid w:val="0"/>
              <w:spacing w:line="240" w:lineRule="auto"/>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学前教育教育高质量发展</w:t>
            </w:r>
          </w:p>
        </w:tc>
        <w:tc>
          <w:tcPr>
            <w:tcW w:w="217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148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推动学前教育从数量扩张向质量提高转变</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adjustRightInd w:val="0"/>
              <w:snapToGrid w:val="0"/>
              <w:spacing w:line="240" w:lineRule="auto"/>
              <w:jc w:val="center"/>
              <w:rPr>
                <w:rFonts w:hint="eastAsia" w:ascii="方正书宋_GBK" w:eastAsia="方正书宋_GBK"/>
                <w:lang w:eastAsia="zh-CN"/>
              </w:rPr>
            </w:pPr>
            <w:r>
              <w:rPr>
                <w:rFonts w:hint="eastAsia" w:ascii="方正书宋_GBK" w:eastAsia="方正书宋_GBK"/>
                <w:lang w:eastAsia="zh-CN"/>
              </w:rPr>
              <w:t>满意度</w:t>
            </w:r>
          </w:p>
        </w:tc>
        <w:tc>
          <w:tcPr>
            <w:tcW w:w="897"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172"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10分在校师生的满意度达到95%得满分，每降低1%扣1分，扣完为止。</w:t>
            </w:r>
          </w:p>
        </w:tc>
        <w:tc>
          <w:tcPr>
            <w:tcW w:w="1483"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54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092"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240" w:lineRule="auto"/>
            </w:pPr>
          </w:p>
        </w:tc>
        <w:tc>
          <w:tcPr>
            <w:tcW w:w="825"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172"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1483"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54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95</w:t>
            </w:r>
          </w:p>
        </w:tc>
        <w:tc>
          <w:tcPr>
            <w:tcW w:w="109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19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79" w:lineRule="exact"/>
        <w:rPr>
          <w:rFonts w:ascii="仿宋_GB2312" w:eastAsia="仿宋_GB2312"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1.合同制教师人员经费绩效目标表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0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0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596"/>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9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16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26人工资福利</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27人</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5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2.幼儿园生均经费绩效目标表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3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3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1.按项目实施方案及时、准确的统计在校学生人数，按照绩效管理的要求及时上报汇总申请资金，按照文件要求合理、合规保障学校运转及事业发展。</w:t>
            </w:r>
          </w:p>
          <w:p>
            <w:pPr>
              <w:pStyle w:val="14"/>
              <w:rPr>
                <w:rFonts w:hint="eastAsia" w:ascii="仿宋_GB2312" w:hAnsi="仿宋_GB2312" w:eastAsia="仿宋_GB2312" w:cs="仿宋_GB2312"/>
              </w:rPr>
            </w:pPr>
            <w:r>
              <w:rPr>
                <w:rFonts w:hint="eastAsia" w:ascii="仿宋_GB2312" w:hAnsi="仿宋_GB2312" w:eastAsia="仿宋_GB2312" w:cs="仿宋_GB2312"/>
              </w:rPr>
              <w:t>2.保障义务教育学校运转，改善学校基本办学条件，促进义务教育均衡发展及学生素质提高。</w:t>
            </w:r>
          </w:p>
          <w:p>
            <w:pPr>
              <w:pStyle w:val="14"/>
              <w:rPr>
                <w:rFonts w:hint="eastAsia" w:ascii="仿宋_GB2312" w:hAnsi="仿宋_GB2312" w:eastAsia="仿宋_GB2312" w:cs="仿宋_GB2312"/>
              </w:rPr>
            </w:pPr>
            <w:r>
              <w:rPr>
                <w:rFonts w:hint="eastAsia" w:ascii="仿宋_GB2312" w:hAnsi="仿宋_GB2312" w:eastAsia="仿宋_GB2312" w:cs="仿宋_GB2312"/>
              </w:rPr>
              <w:t>3.广阳四幼对2022年在校学生360人，按照义务教育生均公用经费标准申请财政预算资金，通过合理、合规使用资金达到保证学校正常运转，改善办学条件，促进义务教育发展。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80"/>
        <w:gridCol w:w="1474"/>
        <w:gridCol w:w="2654"/>
        <w:gridCol w:w="1327"/>
        <w:gridCol w:w="3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18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47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68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360人</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400元</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6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79" w:lineRule="exact"/>
        <w:ind w:firstLine="420" w:firstLineChars="200"/>
        <w:jc w:val="center"/>
        <w:rPr>
          <w:rFonts w:ascii="Times New Roman" w:hAnsi="Times New Roman" w:eastAsia="仿宋_GB2312" w:cs="Times New Roman"/>
        </w:rPr>
      </w:pPr>
    </w:p>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单位未</w:t>
      </w:r>
      <w:r>
        <w:rPr>
          <w:rFonts w:ascii="Times New Roman" w:hAnsi="Times New Roman" w:eastAsia="仿宋_GB2312" w:cs="Times New Roman"/>
          <w:sz w:val="32"/>
          <w:szCs w:val="24"/>
        </w:rPr>
        <w:t>安排政府采购预算。</w:t>
      </w:r>
    </w:p>
    <w:bookmarkEnd w:id="2"/>
    <w:p>
      <w:pPr>
        <w:spacing w:line="579" w:lineRule="exact"/>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spacing w:line="579" w:lineRule="exact"/>
        <w:outlineLvl w:val="1"/>
        <w:rPr>
          <w:rFonts w:ascii="方正小标宋_GBK" w:eastAsia="方正小标宋_GBK" w:cs="Times New Roman"/>
          <w:sz w:val="32"/>
        </w:rPr>
      </w:pPr>
      <w:r>
        <w:t>***廊坊市</w:t>
      </w:r>
      <w:r>
        <w:rPr>
          <w:rFonts w:hint="eastAsia"/>
        </w:rPr>
        <w:t>广阳区第五幼儿园*</w:t>
      </w:r>
      <w:r>
        <w:t xml:space="preserve">**                                                  </w:t>
      </w:r>
      <w:r>
        <w:rPr>
          <w:rFonts w:hint="eastAsia"/>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政府采购金额（当年部门预算安排资金）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rPr>
                <w:rFonts w:hint="eastAsia" w:eastAsiaTheme="minorEastAsia"/>
                <w:lang w:eastAsia="zh-CN"/>
              </w:rPr>
            </w:pPr>
            <w:r>
              <w:rPr>
                <w:rFonts w:hint="eastAsia" w:eastAsiaTheme="minorEastAsia"/>
                <w:lang w:eastAsia="zh-CN"/>
              </w:rPr>
              <w:t>0</w:t>
            </w: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广阳区第四幼儿园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2.812827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广阳区第四幼儿园</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2.812827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2.812827</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86444"/>
    <w:rsid w:val="000B627B"/>
    <w:rsid w:val="000F6018"/>
    <w:rsid w:val="001E69F9"/>
    <w:rsid w:val="0025632D"/>
    <w:rsid w:val="00296279"/>
    <w:rsid w:val="003059E0"/>
    <w:rsid w:val="004A54AA"/>
    <w:rsid w:val="004C38D9"/>
    <w:rsid w:val="004E462A"/>
    <w:rsid w:val="0053272B"/>
    <w:rsid w:val="007672E2"/>
    <w:rsid w:val="007D2444"/>
    <w:rsid w:val="008D0C9A"/>
    <w:rsid w:val="00911A61"/>
    <w:rsid w:val="00944233"/>
    <w:rsid w:val="009C773E"/>
    <w:rsid w:val="00A22B79"/>
    <w:rsid w:val="00B40732"/>
    <w:rsid w:val="00B80935"/>
    <w:rsid w:val="00C16BBD"/>
    <w:rsid w:val="00CD246F"/>
    <w:rsid w:val="00D347CC"/>
    <w:rsid w:val="00D4788E"/>
    <w:rsid w:val="00D50CEF"/>
    <w:rsid w:val="00DA42E2"/>
    <w:rsid w:val="00DA6C0E"/>
    <w:rsid w:val="00DC72B4"/>
    <w:rsid w:val="00F66A73"/>
    <w:rsid w:val="00FD5BF3"/>
    <w:rsid w:val="0CEC1180"/>
    <w:rsid w:val="1B21678F"/>
    <w:rsid w:val="317E1648"/>
    <w:rsid w:val="73693C55"/>
    <w:rsid w:val="7E635ECC"/>
    <w:rsid w:val="7F3D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503</Words>
  <Characters>2869</Characters>
  <Lines>23</Lines>
  <Paragraphs>6</Paragraphs>
  <TotalTime>4</TotalTime>
  <ScaleCrop>false</ScaleCrop>
  <LinksUpToDate>false</LinksUpToDate>
  <CharactersWithSpaces>3366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2022-07-07T02:11:01Z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0940B0ACE7BD46A58D796A34AE52058C</vt:lpwstr>
  </property>
</Properties>
</file>