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廊坊市</w:t>
      </w:r>
      <w:r>
        <w:rPr>
          <w:rFonts w:hint="eastAsia" w:ascii="Times New Roman" w:hAnsi="Times New Roman" w:eastAsia="方正小标宋简体" w:cs="Times New Roman"/>
          <w:sz w:val="44"/>
          <w:szCs w:val="44"/>
          <w:lang w:eastAsia="zh-CN"/>
        </w:rPr>
        <w:t>广阳区</w:t>
      </w:r>
      <w:bookmarkStart w:id="4" w:name="_GoBack"/>
      <w:r>
        <w:rPr>
          <w:rFonts w:hint="eastAsia" w:ascii="Times New Roman" w:hAnsi="Times New Roman" w:eastAsia="方正小标宋简体" w:cs="Times New Roman"/>
          <w:sz w:val="44"/>
          <w:szCs w:val="44"/>
          <w:lang w:val="en-US" w:eastAsia="zh-CN"/>
        </w:rPr>
        <w:t>第七幼儿园</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ascii="Times New Roman" w:hAnsi="Times New Roman" w:eastAsia="方正小标宋简体" w:cs="Times New Roman"/>
          <w:sz w:val="44"/>
          <w:szCs w:val="44"/>
        </w:rPr>
        <w:t>2年部门预算信息公开</w:t>
      </w:r>
      <w:r>
        <w:rPr>
          <w:rFonts w:hint="eastAsia" w:ascii="Times New Roman" w:hAnsi="Times New Roman" w:eastAsia="方正小标宋简体" w:cs="Times New Roman"/>
          <w:sz w:val="44"/>
          <w:szCs w:val="44"/>
        </w:rPr>
        <w:t>情况说明</w:t>
      </w:r>
      <w:bookmarkEnd w:id="4"/>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按照《中华人民共和国预算法》、《中华人民共和国预算法实施条例》、《地方预决算公开操作规程》和《河北省省级预算公开办法》规定，现将廊坊市</w:t>
      </w:r>
      <w:r>
        <w:rPr>
          <w:rFonts w:hint="eastAsia" w:ascii="Times New Roman" w:hAnsi="Times New Roman" w:eastAsia="仿宋_GB2312" w:cs="Times New Roman"/>
          <w:sz w:val="32"/>
          <w:szCs w:val="32"/>
          <w:lang w:eastAsia="zh-CN"/>
        </w:rPr>
        <w:t>广阳区</w:t>
      </w:r>
      <w:r>
        <w:rPr>
          <w:rFonts w:hint="eastAsia" w:ascii="Times New Roman" w:hAnsi="Times New Roman" w:eastAsia="仿宋_GB2312" w:cs="Times New Roman"/>
          <w:sz w:val="32"/>
          <w:szCs w:val="32"/>
          <w:lang w:val="en-US" w:eastAsia="zh-CN"/>
        </w:rPr>
        <w:t>第七幼儿园</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584" w:lineRule="exact"/>
        <w:ind w:firstLine="640" w:firstLineChars="200"/>
        <w:rPr>
          <w:rFonts w:ascii="Times New Roman" w:hAnsi="Times New Roman" w:eastAsia="楷体_GB2312" w:cs="Times New Roman"/>
          <w:b/>
          <w:sz w:val="32"/>
          <w:szCs w:val="32"/>
        </w:rPr>
      </w:pPr>
      <w:r>
        <w:rPr>
          <w:rFonts w:hint="eastAsia" w:ascii="仿宋_GB2312" w:eastAsia="仿宋_GB2312" w:cs="ArialUnicodeMS"/>
          <w:color w:val="000000"/>
          <w:kern w:val="0"/>
          <w:sz w:val="32"/>
          <w:szCs w:val="32"/>
          <w:highlight w:val="none"/>
          <w:lang w:val="en-US" w:eastAsia="zh-CN"/>
        </w:rPr>
        <w:t>廊坊市广阳区第七幼儿园</w:t>
      </w:r>
      <w:r>
        <w:rPr>
          <w:rFonts w:hint="eastAsia" w:ascii="仿宋" w:hAnsi="仿宋" w:eastAsia="仿宋" w:cs="仿宋"/>
          <w:sz w:val="32"/>
          <w:szCs w:val="32"/>
        </w:rPr>
        <w:t>成立于</w:t>
      </w:r>
      <w:r>
        <w:rPr>
          <w:rFonts w:hint="eastAsia" w:ascii="仿宋" w:hAnsi="仿宋" w:eastAsia="仿宋" w:cs="仿宋"/>
          <w:sz w:val="32"/>
          <w:szCs w:val="32"/>
          <w:lang w:val="en-US" w:eastAsia="zh-CN"/>
        </w:rPr>
        <w:t>2020</w:t>
      </w:r>
      <w:r>
        <w:rPr>
          <w:rFonts w:hint="eastAsia" w:ascii="仿宋" w:hAnsi="仿宋" w:eastAsia="仿宋" w:cs="仿宋"/>
          <w:sz w:val="32"/>
          <w:szCs w:val="32"/>
        </w:rPr>
        <w:t>年</w:t>
      </w:r>
      <w:r>
        <w:rPr>
          <w:rFonts w:hint="eastAsia" w:ascii="仿宋" w:hAnsi="仿宋" w:eastAsia="仿宋" w:cs="仿宋"/>
          <w:sz w:val="32"/>
          <w:szCs w:val="32"/>
          <w:lang w:eastAsia="zh-CN"/>
        </w:rPr>
        <w:t>，</w:t>
      </w:r>
      <w:r>
        <w:rPr>
          <w:rFonts w:hint="eastAsia" w:ascii="Times New Roman" w:hAnsi="Times New Roman" w:eastAsia="仿宋_GB2312" w:cs="Times New Roman"/>
          <w:sz w:val="32"/>
          <w:szCs w:val="32"/>
          <w:lang w:val="en-US" w:eastAsia="zh-CN"/>
        </w:rPr>
        <w:t>2021年9月投入使用，</w:t>
      </w:r>
      <w:r>
        <w:rPr>
          <w:rFonts w:hint="eastAsia" w:ascii="仿宋" w:hAnsi="仿宋" w:eastAsia="仿宋" w:cs="仿宋"/>
          <w:sz w:val="32"/>
          <w:szCs w:val="32"/>
          <w:lang w:eastAsia="zh-CN"/>
        </w:rPr>
        <w:t>现有</w:t>
      </w:r>
      <w:r>
        <w:rPr>
          <w:rFonts w:hint="eastAsia" w:ascii="仿宋" w:hAnsi="仿宋" w:eastAsia="仿宋" w:cs="仿宋"/>
          <w:sz w:val="32"/>
          <w:szCs w:val="32"/>
        </w:rPr>
        <w:t>教师职工共</w:t>
      </w:r>
      <w:r>
        <w:rPr>
          <w:rFonts w:hint="eastAsia" w:ascii="仿宋" w:hAnsi="仿宋" w:eastAsia="仿宋" w:cs="仿宋"/>
          <w:sz w:val="32"/>
          <w:szCs w:val="32"/>
          <w:lang w:val="en-US" w:eastAsia="zh-CN"/>
        </w:rPr>
        <w:t>50</w:t>
      </w:r>
      <w:r>
        <w:rPr>
          <w:rFonts w:hint="eastAsia" w:ascii="仿宋" w:hAnsi="仿宋" w:eastAsia="仿宋" w:cs="仿宋"/>
          <w:sz w:val="32"/>
          <w:szCs w:val="32"/>
        </w:rPr>
        <w:t>人，在园</w:t>
      </w:r>
      <w:r>
        <w:rPr>
          <w:rFonts w:hint="eastAsia" w:ascii="仿宋" w:hAnsi="仿宋" w:eastAsia="仿宋" w:cs="仿宋"/>
          <w:sz w:val="32"/>
          <w:szCs w:val="32"/>
          <w:lang w:eastAsia="zh-CN"/>
        </w:rPr>
        <w:t>幼儿</w:t>
      </w:r>
      <w:r>
        <w:rPr>
          <w:rFonts w:hint="eastAsia" w:ascii="仿宋" w:hAnsi="仿宋" w:eastAsia="仿宋" w:cs="仿宋"/>
          <w:sz w:val="32"/>
          <w:szCs w:val="32"/>
        </w:rPr>
        <w:t>数为</w:t>
      </w:r>
      <w:r>
        <w:rPr>
          <w:rFonts w:hint="eastAsia" w:ascii="仿宋" w:hAnsi="仿宋" w:eastAsia="仿宋" w:cs="仿宋"/>
          <w:sz w:val="32"/>
          <w:szCs w:val="32"/>
          <w:lang w:val="en-US" w:eastAsia="zh-CN"/>
        </w:rPr>
        <w:t>201</w:t>
      </w:r>
      <w:r>
        <w:rPr>
          <w:rFonts w:hint="eastAsia" w:ascii="仿宋" w:hAnsi="仿宋" w:eastAsia="仿宋" w:cs="仿宋"/>
          <w:sz w:val="32"/>
          <w:szCs w:val="32"/>
        </w:rPr>
        <w:t>人</w:t>
      </w:r>
      <w:r>
        <w:rPr>
          <w:rFonts w:hint="eastAsia" w:ascii="仿宋" w:hAnsi="仿宋" w:eastAsia="仿宋" w:cs="仿宋"/>
          <w:sz w:val="32"/>
          <w:szCs w:val="32"/>
          <w:lang w:eastAsia="zh-CN"/>
        </w:rPr>
        <w:t>，共</w:t>
      </w:r>
      <w:r>
        <w:rPr>
          <w:rFonts w:hint="eastAsia" w:ascii="仿宋" w:hAnsi="仿宋" w:eastAsia="仿宋" w:cs="仿宋"/>
          <w:sz w:val="32"/>
          <w:szCs w:val="32"/>
          <w:lang w:val="en-US" w:eastAsia="zh-CN"/>
        </w:rPr>
        <w:t>12个教学班，主要职责是对3周岁以上幼儿进行保育和教育。</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4443" w:type="dxa"/>
            <w:shd w:val="clear" w:color="auto" w:fill="auto"/>
            <w:vAlign w:val="center"/>
          </w:tcPr>
          <w:p>
            <w:pPr>
              <w:spacing w:line="584" w:lineRule="exact"/>
              <w:jc w:val="center"/>
              <w:rPr>
                <w:rFonts w:hint="default"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廊坊市广阳区第七幼儿园</w:t>
            </w:r>
          </w:p>
        </w:tc>
        <w:tc>
          <w:tcPr>
            <w:tcW w:w="1134" w:type="dxa"/>
            <w:shd w:val="clear" w:color="auto" w:fill="auto"/>
            <w:vAlign w:val="center"/>
          </w:tcPr>
          <w:p>
            <w:pPr>
              <w:spacing w:line="584" w:lineRule="exact"/>
              <w:jc w:val="center"/>
              <w:rPr>
                <w:rFonts w:hint="eastAsia"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事业</w:t>
            </w:r>
          </w:p>
        </w:tc>
        <w:tc>
          <w:tcPr>
            <w:tcW w:w="1276" w:type="dxa"/>
            <w:shd w:val="clear" w:color="auto" w:fill="auto"/>
            <w:vAlign w:val="center"/>
          </w:tcPr>
          <w:p>
            <w:pPr>
              <w:spacing w:line="584" w:lineRule="exact"/>
              <w:jc w:val="center"/>
              <w:rPr>
                <w:rFonts w:hint="eastAsia"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科级以下</w:t>
            </w:r>
          </w:p>
        </w:tc>
        <w:tc>
          <w:tcPr>
            <w:tcW w:w="29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color w:val="auto"/>
              </w:rPr>
              <w:t>财政性资金基本保证</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部门预算的编制实行综合预算制度，即全部收入和支出都反映在预算中。廊坊市</w:t>
      </w:r>
      <w:r>
        <w:rPr>
          <w:rFonts w:hint="eastAsia" w:ascii="Times New Roman" w:hAnsi="Times New Roman" w:eastAsia="仿宋_GB2312" w:cs="Times New Roman"/>
          <w:sz w:val="32"/>
          <w:szCs w:val="32"/>
          <w:lang w:eastAsia="zh-CN"/>
        </w:rPr>
        <w:t>广阳区</w:t>
      </w:r>
      <w:r>
        <w:rPr>
          <w:rFonts w:hint="eastAsia" w:ascii="Times New Roman" w:hAnsi="Times New Roman" w:eastAsia="仿宋_GB2312" w:cs="Times New Roman"/>
          <w:sz w:val="32"/>
          <w:szCs w:val="32"/>
          <w:lang w:val="en-US" w:eastAsia="zh-CN"/>
        </w:rPr>
        <w:t>第七幼儿园</w:t>
      </w:r>
      <w:r>
        <w:rPr>
          <w:rFonts w:ascii="Times New Roman" w:hAnsi="Times New Roman" w:eastAsia="仿宋_GB2312" w:cs="Times New Roman"/>
          <w:sz w:val="32"/>
          <w:szCs w:val="32"/>
        </w:rPr>
        <w:t>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hint="eastAsia" w:ascii="Times New Roman" w:hAnsi="Times New Roman" w:eastAsia="仿宋_GB2312" w:cs="Times New Roman"/>
          <w:sz w:val="32"/>
          <w:szCs w:val="32"/>
          <w:lang w:val="en-US" w:eastAsia="zh-CN"/>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2年预算收入</w:t>
      </w:r>
      <w:r>
        <w:rPr>
          <w:rFonts w:hint="eastAsia" w:ascii="Times New Roman" w:hAnsi="Times New Roman" w:eastAsia="仿宋_GB2312" w:cs="Times New Roman"/>
          <w:sz w:val="32"/>
          <w:szCs w:val="32"/>
          <w:lang w:val="en-US" w:eastAsia="zh-CN"/>
        </w:rPr>
        <w:t>516.64</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516.64</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收支预算总表支出栏、基本支出表、项目支出表按经济分类和支出功能分类科目编制，反映廊坊市</w:t>
      </w:r>
      <w:r>
        <w:rPr>
          <w:rFonts w:hint="eastAsia" w:ascii="Times New Roman" w:hAnsi="Times New Roman" w:eastAsia="仿宋_GB2312" w:cs="Times New Roman"/>
          <w:sz w:val="32"/>
          <w:szCs w:val="32"/>
          <w:lang w:eastAsia="zh-CN"/>
        </w:rPr>
        <w:t>广阳区</w:t>
      </w:r>
      <w:r>
        <w:rPr>
          <w:rFonts w:hint="eastAsia" w:ascii="Times New Roman" w:hAnsi="Times New Roman" w:eastAsia="仿宋_GB2312" w:cs="Times New Roman"/>
          <w:sz w:val="32"/>
          <w:szCs w:val="32"/>
          <w:lang w:val="en-US" w:eastAsia="zh-CN"/>
        </w:rPr>
        <w:t>第七幼儿园2022</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2年支出预算</w:t>
      </w:r>
      <w:r>
        <w:rPr>
          <w:rFonts w:hint="eastAsia" w:ascii="Times New Roman" w:hAnsi="Times New Roman" w:eastAsia="仿宋_GB2312" w:cs="Times New Roman"/>
          <w:sz w:val="32"/>
          <w:szCs w:val="32"/>
          <w:lang w:val="en-US" w:eastAsia="zh-CN"/>
        </w:rPr>
        <w:t>516.64</w:t>
      </w:r>
      <w:r>
        <w:rPr>
          <w:rFonts w:ascii="Times New Roman" w:hAnsi="Times New Roman" w:eastAsia="仿宋_GB2312" w:cs="Times New Roman"/>
          <w:sz w:val="32"/>
          <w:szCs w:val="32"/>
        </w:rPr>
        <w:t>万元，其中</w:t>
      </w:r>
      <w:r>
        <w:rPr>
          <w:rFonts w:hint="eastAsia" w:ascii="Times New Roman" w:hAnsi="Times New Roman" w:eastAsia="仿宋_GB2312" w:cs="Times New Roman"/>
          <w:sz w:val="32"/>
          <w:szCs w:val="32"/>
          <w:lang w:val="en-US" w:eastAsia="zh-CN"/>
        </w:rPr>
        <w:t>项目</w:t>
      </w:r>
      <w:r>
        <w:rPr>
          <w:rFonts w:ascii="Times New Roman" w:hAnsi="Times New Roman" w:eastAsia="仿宋_GB2312" w:cs="Times New Roman"/>
          <w:sz w:val="32"/>
          <w:szCs w:val="32"/>
        </w:rPr>
        <w:t>支出</w:t>
      </w:r>
      <w:r>
        <w:rPr>
          <w:rFonts w:hint="eastAsia" w:ascii="Times New Roman" w:hAnsi="Times New Roman" w:eastAsia="仿宋_GB2312" w:cs="Times New Roman"/>
          <w:sz w:val="32"/>
          <w:szCs w:val="32"/>
          <w:lang w:val="en-US" w:eastAsia="zh-CN"/>
        </w:rPr>
        <w:t>516.64</w:t>
      </w:r>
      <w:r>
        <w:rPr>
          <w:rFonts w:ascii="Times New Roman" w:hAnsi="Times New Roman" w:eastAsia="仿宋_GB2312" w:cs="Times New Roman"/>
          <w:sz w:val="32"/>
          <w:szCs w:val="32"/>
        </w:rPr>
        <w:t>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2年预算收支安排</w:t>
      </w:r>
      <w:r>
        <w:rPr>
          <w:rFonts w:hint="eastAsia" w:ascii="Times New Roman" w:hAnsi="Times New Roman" w:eastAsia="仿宋_GB2312" w:cs="Times New Roman"/>
          <w:sz w:val="32"/>
          <w:szCs w:val="32"/>
          <w:lang w:val="en-US" w:eastAsia="zh-CN"/>
        </w:rPr>
        <w:t>516.64</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1年预算增加</w:t>
      </w:r>
      <w:r>
        <w:rPr>
          <w:rFonts w:hint="eastAsia" w:ascii="Times New Roman" w:hAnsi="Times New Roman" w:eastAsia="仿宋_GB2312" w:cs="Times New Roman"/>
          <w:sz w:val="32"/>
          <w:szCs w:val="32"/>
          <w:lang w:val="en-US" w:eastAsia="zh-CN"/>
        </w:rPr>
        <w:t>516.64</w:t>
      </w:r>
      <w:r>
        <w:rPr>
          <w:rFonts w:ascii="Times New Roman" w:hAnsi="Times New Roman" w:eastAsia="仿宋_GB2312" w:cs="Times New Roman"/>
          <w:sz w:val="32"/>
          <w:szCs w:val="32"/>
        </w:rPr>
        <w:t>万元，其中：项目支出增加</w:t>
      </w:r>
      <w:r>
        <w:rPr>
          <w:rFonts w:hint="eastAsia" w:ascii="Times New Roman" w:hAnsi="Times New Roman" w:eastAsia="仿宋_GB2312" w:cs="Times New Roman"/>
          <w:sz w:val="32"/>
          <w:szCs w:val="32"/>
          <w:lang w:val="en-US" w:eastAsia="zh-CN"/>
        </w:rPr>
        <w:t>516.64</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合同制教师人员经费</w:t>
      </w:r>
      <w:r>
        <w:rPr>
          <w:rFonts w:hint="eastAsia" w:ascii="Times New Roman" w:hAnsi="Times New Roman" w:eastAsia="仿宋_GB2312" w:cs="Times New Roman"/>
          <w:sz w:val="32"/>
          <w:szCs w:val="32"/>
          <w:lang w:val="en-US" w:eastAsia="zh-CN"/>
        </w:rPr>
        <w:t>项目</w:t>
      </w:r>
      <w:r>
        <w:rPr>
          <w:rFonts w:ascii="Times New Roman" w:hAnsi="Times New Roman" w:eastAsia="仿宋_GB2312" w:cs="Times New Roman"/>
          <w:sz w:val="32"/>
          <w:szCs w:val="32"/>
        </w:rPr>
        <w:t>支出。</w:t>
      </w:r>
    </w:p>
    <w:p>
      <w:pPr>
        <w:keepNext w:val="0"/>
        <w:keepLines w:val="0"/>
        <w:pageBreakBefore w:val="0"/>
        <w:widowControl w:val="0"/>
        <w:kinsoku/>
        <w:wordWrap/>
        <w:overflowPunct/>
        <w:topLinePunct w:val="0"/>
        <w:autoSpaceDE w:val="0"/>
        <w:autoSpaceDN w:val="0"/>
        <w:bidi w:val="0"/>
        <w:adjustRightInd w:val="0"/>
        <w:snapToGrid/>
        <w:spacing w:line="584" w:lineRule="exact"/>
        <w:ind w:left="0" w:leftChars="0" w:firstLine="640" w:firstLineChars="200"/>
        <w:jc w:val="left"/>
        <w:textAlignment w:val="auto"/>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keepNext w:val="0"/>
        <w:keepLines w:val="0"/>
        <w:pageBreakBefore w:val="0"/>
        <w:widowControl w:val="0"/>
        <w:kinsoku/>
        <w:wordWrap/>
        <w:overflowPunct/>
        <w:topLinePunct w:val="0"/>
        <w:autoSpaceDE w:val="0"/>
        <w:autoSpaceDN w:val="0"/>
        <w:bidi w:val="0"/>
        <w:adjustRightInd w:val="0"/>
        <w:snapToGrid/>
        <w:spacing w:line="584" w:lineRule="exact"/>
        <w:ind w:left="0" w:leftChars="0"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w:t>
      </w:r>
      <w:r>
        <w:rPr>
          <w:rFonts w:hint="eastAsia" w:ascii="Times New Roman" w:hAnsi="Times New Roman" w:eastAsia="仿宋_GB2312" w:cs="Times New Roman"/>
          <w:sz w:val="32"/>
          <w:szCs w:val="32"/>
          <w:lang w:val="en-US" w:eastAsia="zh-CN"/>
        </w:rPr>
        <w:t>单位</w:t>
      </w:r>
      <w:r>
        <w:rPr>
          <w:rFonts w:ascii="Times New Roman" w:hAnsi="Times New Roman" w:eastAsia="仿宋_GB2312" w:cs="Times New Roman"/>
          <w:sz w:val="32"/>
          <w:szCs w:val="32"/>
        </w:rPr>
        <w:t>运行经费共计安排</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spacing w:line="584" w:lineRule="exact"/>
        <w:ind w:left="0" w:leftChars="0" w:firstLine="640" w:firstLineChars="200"/>
        <w:jc w:val="left"/>
        <w:textAlignment w:val="auto"/>
        <w:rPr>
          <w:rFonts w:ascii="Times New Roman" w:hAnsi="Times New Roman" w:eastAsia="黑体" w:cs="Times New Roman"/>
          <w:sz w:val="32"/>
          <w:szCs w:val="32"/>
        </w:rPr>
      </w:pPr>
      <w:r>
        <w:rPr>
          <w:rFonts w:ascii="Times New Roman" w:hAnsi="Times New Roman" w:eastAsia="黑体" w:cs="Times New Roman"/>
          <w:sz w:val="32"/>
          <w:szCs w:val="32"/>
        </w:rPr>
        <w:t>四、财政拨款“三公”经费预算情况及增减变化原因</w:t>
      </w:r>
    </w:p>
    <w:p>
      <w:pPr>
        <w:keepNext w:val="0"/>
        <w:keepLines w:val="0"/>
        <w:pageBreakBefore w:val="0"/>
        <w:widowControl w:val="0"/>
        <w:kinsoku/>
        <w:wordWrap/>
        <w:overflowPunct/>
        <w:topLinePunct w:val="0"/>
        <w:autoSpaceDE w:val="0"/>
        <w:autoSpaceDN w:val="0"/>
        <w:bidi w:val="0"/>
        <w:adjustRightInd w:val="0"/>
        <w:snapToGrid/>
        <w:spacing w:line="584" w:lineRule="exact"/>
        <w:ind w:left="0" w:leftChars="0"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w:t>
      </w:r>
      <w:r>
        <w:rPr>
          <w:rFonts w:hint="eastAsia" w:ascii="Times New Roman" w:hAnsi="Times New Roman" w:eastAsia="仿宋_GB2312" w:cs="Times New Roman"/>
          <w:sz w:val="32"/>
          <w:szCs w:val="32"/>
          <w:lang w:val="en-US" w:eastAsia="zh-CN"/>
        </w:rPr>
        <w:t>单位无</w:t>
      </w:r>
      <w:r>
        <w:rPr>
          <w:rFonts w:ascii="Times New Roman" w:hAnsi="Times New Roman" w:eastAsia="仿宋_GB2312" w:cs="Times New Roman"/>
          <w:sz w:val="32"/>
          <w:szCs w:val="32"/>
        </w:rPr>
        <w:t>财政拨款“三公”经费预算</w:t>
      </w:r>
      <w:r>
        <w:rPr>
          <w:rFonts w:hint="eastAsia" w:ascii="Times New Roman" w:hAnsi="Times New Roman" w:eastAsia="仿宋_GB2312" w:cs="Times New Roman"/>
          <w:sz w:val="32"/>
          <w:szCs w:val="32"/>
          <w:lang w:val="en-US" w:eastAsia="zh-CN"/>
        </w:rPr>
        <w:t>安排。</w:t>
      </w:r>
      <w:r>
        <w:rPr>
          <w:rFonts w:ascii="Times New Roman" w:hAnsi="Times New Roman" w:eastAsia="仿宋_GB2312" w:cs="Times New Roman"/>
          <w:color w:val="auto"/>
          <w:sz w:val="32"/>
          <w:szCs w:val="32"/>
        </w:rPr>
        <w:t>与20</w:t>
      </w:r>
      <w:r>
        <w:rPr>
          <w:rFonts w:hint="eastAsia" w:ascii="Times New Roman" w:hAnsi="Times New Roman" w:eastAsia="仿宋_GB2312" w:cs="Times New Roman"/>
          <w:color w:val="auto"/>
          <w:sz w:val="32"/>
          <w:szCs w:val="32"/>
        </w:rPr>
        <w:t>2</w:t>
      </w:r>
      <w:r>
        <w:rPr>
          <w:rFonts w:ascii="Times New Roman" w:hAnsi="Times New Roman" w:eastAsia="仿宋_GB2312" w:cs="Times New Roman"/>
          <w:color w:val="auto"/>
          <w:sz w:val="32"/>
          <w:szCs w:val="32"/>
        </w:rPr>
        <w:t>1年相比持平，无增减变化。</w:t>
      </w:r>
    </w:p>
    <w:p>
      <w:pPr>
        <w:keepNext w:val="0"/>
        <w:keepLines w:val="0"/>
        <w:pageBreakBefore w:val="0"/>
        <w:widowControl w:val="0"/>
        <w:kinsoku/>
        <w:wordWrap/>
        <w:overflowPunct/>
        <w:topLinePunct w:val="0"/>
        <w:bidi w:val="0"/>
        <w:snapToGrid/>
        <w:spacing w:line="584" w:lineRule="exact"/>
        <w:ind w:left="0" w:leftChars="0"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五、预算绩效信息</w:t>
      </w:r>
      <w:r>
        <w:rPr>
          <w:rFonts w:hint="eastAsia" w:ascii="仿宋_GB2312" w:eastAsia="仿宋_GB2312" w:cs="Times New Roman"/>
          <w:sz w:val="32"/>
          <w:szCs w:val="32"/>
        </w:rPr>
        <w:t>（</w:t>
      </w:r>
    </w:p>
    <w:p>
      <w:pPr>
        <w:keepNext w:val="0"/>
        <w:keepLines w:val="0"/>
        <w:pageBreakBefore w:val="0"/>
        <w:widowControl w:val="0"/>
        <w:kinsoku/>
        <w:wordWrap/>
        <w:overflowPunct/>
        <w:topLinePunct w:val="0"/>
        <w:bidi w:val="0"/>
        <w:snapToGrid/>
        <w:spacing w:line="584" w:lineRule="exact"/>
        <w:ind w:left="0" w:leftChars="0" w:firstLine="640" w:firstLineChars="200"/>
        <w:textAlignment w:val="auto"/>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pStyle w:val="19"/>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提高学前教育公用经费保障水平，继续完善教育基础设施，推进学校建设，加快提升装备水平，改善办学条件。打造一流教师队伍，补充师资力量，提高专业素质，完善考核机制；优化教育教学管理；提高素质教育水平，开展丰富多彩的教学活动。促进社会文化素质提高。全面加强党的建设，进一步落实从严管党治党要求，以习近平新时代中国特色社会主义思想统领教育系统党建工作，强化主体责任，在提升党建工作质量上下真功、用实劲、求实效。</w:t>
      </w:r>
    </w:p>
    <w:p>
      <w:pPr>
        <w:numPr>
          <w:ilvl w:val="0"/>
          <w:numId w:val="1"/>
        </w:numPr>
        <w:spacing w:line="584" w:lineRule="exact"/>
        <w:ind w:firstLine="643" w:firstLineChars="200"/>
        <w:rPr>
          <w:rFonts w:hint="default" w:ascii="楷体_GB2312" w:eastAsia="楷体_GB2312" w:cs="Times New Roman"/>
          <w:b/>
          <w:sz w:val="32"/>
          <w:szCs w:val="32"/>
          <w:lang w:val="en-US" w:eastAsia="zh-CN"/>
        </w:rPr>
      </w:pPr>
      <w:r>
        <w:rPr>
          <w:rFonts w:hint="eastAsia" w:ascii="楷体_GB2312" w:eastAsia="楷体_GB2312" w:cs="Times New Roman"/>
          <w:b/>
          <w:sz w:val="32"/>
          <w:szCs w:val="32"/>
        </w:rPr>
        <w:t>分项绩效目标</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提高学前教育公用经费保障水平，改善办学条件，均衡配置基础教育资源，推进标准化学校建设，实施数字化校园建设，加强学校文化建设，落实学生资助政策。促进学前教育均衡发展，提高素质教育水平，开展丰富多彩的教学活动。促进社会文化素质提高。</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1、提高学前教育水平，提供免费教科书，解决大班额问题及入学难问题。</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2、按质按量完成教育教学方面的各项任务，稳步提升学校的教育教学质量，学生综合素质评价优秀率达到85%,合格率达到100%。</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3、幼儿园公用经费水平逐年提高，改善学校办学条件，保障学前教育阶段学校基本教学条件，使学前教育学校教学设施和生活设施满足基本教学需要，保障后勤社会化服务资金充足，使学校能够正常运转，超大班额现象消除，教师数量、素质、结构基本适应教学需要。</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4、提升学校基础设施设备的整体水平。加强学校基础设施设备的维护,确保校园安全,落实校园防火及其他安全隐患的预防工作。确保校园各设施设备的正常运行。</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5、开展各类课题研究、园本研究，加强教师培训和教学交流，提高教师教学水平，调动教师积极性，培养专家型教师人才，加强德育培训与研究，举办各类教育教学、学生社会实践活动，建立学生实践教育基地活动。提高学生的综合素质。</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6、学校的文化宣传整体布局,建成学校校史馆,完成各班级、各科室及教师办公室的文化宣传布置。加大学校办学理念、目标的宣传,形成具有特色的校园文化氛围。</w:t>
      </w:r>
    </w:p>
    <w:p>
      <w:pPr>
        <w:spacing w:line="584" w:lineRule="exact"/>
        <w:ind w:firstLine="640"/>
        <w:rPr>
          <w:rFonts w:hint="default" w:ascii="Times New Roman" w:hAnsi="Times New Roman" w:eastAsia="仿宋_GB2312" w:cs="Times New Roman"/>
          <w:sz w:val="32"/>
          <w:szCs w:val="32"/>
          <w:lang w:val="en-US" w:eastAsia="zh-CN"/>
        </w:rPr>
      </w:pPr>
      <w:r>
        <w:rPr>
          <w:rFonts w:ascii="Times New Roman" w:hAnsi="Times New Roman" w:eastAsia="仿宋_GB2312" w:cs="Times New Roman"/>
          <w:sz w:val="32"/>
          <w:szCs w:val="32"/>
        </w:rPr>
        <w:t>7、办人民满意的学校,教师、学生、家长整体满意度达到90%以上。</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1、成立学校监督小组，监督学校工作，强化工作落实。</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做好工会工作。贯彻落实中央和省、市、区委关于重大节日开展对离退休干部进行走访慰问的指示精神，做好困难党员、群众、老教师、优抚对象、劳动模范的关心帮扶工作，充分体现党和政府对教育工作者的关怀。</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3、树立为教育教学提供优质服务的意识。基本实现规范化、标准化，为教育教学提供全方位的后勤保障。完善各项管理制度，强化人员思想教育和技能培训，实现服务的精细化。做好三重一大工作，大额资金项目进行公开招投标，定期进行项目巡查、召开工作会，完善监督职责。</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4、学校体育、卫生工作。根据《幼儿园健康体检管理办法》要求，对在校学生每年进行1次常规健康体检。</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5、完善拓展德育队伍建设，树立全员育人观念，并取得一定成绩，形成学校、家庭、社会三位一体的教育格局。完善强化德育评比体制。如班主任绩效考核，做好各级各类优秀集体和个人的评选工作。完善心理咨询室的建设，寓心理健康教育于教育教学工作中，开展好理论学习和个案分析。</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6</w:t>
      </w:r>
      <w:r>
        <w:rPr>
          <w:rFonts w:ascii="Times New Roman" w:hAnsi="Times New Roman" w:eastAsia="仿宋_GB2312" w:cs="Times New Roman"/>
          <w:sz w:val="32"/>
          <w:szCs w:val="32"/>
        </w:rPr>
        <w:t>、加强政治理论学习，强化党风廉政建设。做好师德传承活动，落实老中青传帮带。弘扬办学精神。加强师德宣传与学习活动。开展形式多样、扎实有效的师德教育活动。</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逐步制订、完善相关制度，规范教师师德。加强校本培训和继续教育工作，提升教师能力。落实教师评价工作，完善考核机制。搭建教师发展平台。</w:t>
      </w:r>
    </w:p>
    <w:p>
      <w:pPr>
        <w:keepNext w:val="0"/>
        <w:keepLines w:val="0"/>
        <w:pageBreakBefore w:val="0"/>
        <w:numPr>
          <w:ilvl w:val="0"/>
          <w:numId w:val="0"/>
        </w:numPr>
        <w:kinsoku/>
        <w:wordWrap/>
        <w:overflowPunct w:val="0"/>
        <w:topLinePunct w:val="0"/>
        <w:autoSpaceDE/>
        <w:autoSpaceDN/>
        <w:bidi w:val="0"/>
        <w:adjustRightInd w:val="0"/>
        <w:snapToGrid w:val="0"/>
        <w:spacing w:line="240" w:lineRule="auto"/>
        <w:ind w:leftChars="200"/>
        <w:jc w:val="left"/>
        <w:rPr>
          <w:rFonts w:hint="eastAsia" w:ascii="楷体_GB2312" w:eastAsia="楷体_GB2312" w:cs="Times New Roman"/>
          <w:b/>
          <w:sz w:val="32"/>
          <w:szCs w:val="32"/>
          <w:lang w:eastAsia="zh-CN"/>
        </w:rPr>
      </w:pPr>
    </w:p>
    <w:p>
      <w:pPr>
        <w:keepNext w:val="0"/>
        <w:keepLines w:val="0"/>
        <w:pageBreakBefore w:val="0"/>
        <w:numPr>
          <w:ilvl w:val="0"/>
          <w:numId w:val="0"/>
        </w:numPr>
        <w:kinsoku/>
        <w:wordWrap/>
        <w:overflowPunct w:val="0"/>
        <w:topLinePunct w:val="0"/>
        <w:autoSpaceDE/>
        <w:autoSpaceDN/>
        <w:bidi w:val="0"/>
        <w:adjustRightInd w:val="0"/>
        <w:snapToGrid w:val="0"/>
        <w:spacing w:line="240" w:lineRule="auto"/>
        <w:ind w:leftChars="200"/>
        <w:jc w:val="left"/>
        <w:rPr>
          <w:rFonts w:hint="eastAsia" w:ascii="楷体_GB2312" w:eastAsia="楷体_GB2312" w:cs="Times New Roman"/>
          <w:b/>
          <w:sz w:val="32"/>
          <w:szCs w:val="32"/>
          <w:lang w:eastAsia="zh-CN"/>
        </w:rPr>
      </w:pPr>
    </w:p>
    <w:p>
      <w:pPr>
        <w:keepNext w:val="0"/>
        <w:keepLines w:val="0"/>
        <w:pageBreakBefore w:val="0"/>
        <w:numPr>
          <w:ilvl w:val="0"/>
          <w:numId w:val="0"/>
        </w:numPr>
        <w:kinsoku/>
        <w:wordWrap/>
        <w:overflowPunct w:val="0"/>
        <w:topLinePunct w:val="0"/>
        <w:autoSpaceDE/>
        <w:autoSpaceDN/>
        <w:bidi w:val="0"/>
        <w:adjustRightInd w:val="0"/>
        <w:snapToGrid w:val="0"/>
        <w:spacing w:line="240" w:lineRule="auto"/>
        <w:ind w:leftChars="200"/>
        <w:jc w:val="left"/>
        <w:rPr>
          <w:rFonts w:hint="eastAsia" w:ascii="楷体_GB2312" w:eastAsia="楷体_GB2312" w:cs="Times New Roman"/>
          <w:b/>
          <w:sz w:val="32"/>
          <w:szCs w:val="32"/>
          <w:lang w:eastAsia="zh-CN"/>
        </w:rPr>
      </w:pPr>
    </w:p>
    <w:p>
      <w:pPr>
        <w:keepNext w:val="0"/>
        <w:keepLines w:val="0"/>
        <w:pageBreakBefore w:val="0"/>
        <w:numPr>
          <w:ilvl w:val="0"/>
          <w:numId w:val="0"/>
        </w:numPr>
        <w:kinsoku/>
        <w:wordWrap/>
        <w:overflowPunct w:val="0"/>
        <w:topLinePunct w:val="0"/>
        <w:autoSpaceDE/>
        <w:autoSpaceDN/>
        <w:bidi w:val="0"/>
        <w:adjustRightInd w:val="0"/>
        <w:snapToGrid w:val="0"/>
        <w:spacing w:line="240" w:lineRule="auto"/>
        <w:ind w:leftChars="200"/>
        <w:jc w:val="left"/>
        <w:rPr>
          <w:rFonts w:hint="eastAsia" w:ascii="楷体_GB2312" w:eastAsia="楷体_GB2312" w:cs="Times New Roman"/>
          <w:b/>
          <w:sz w:val="32"/>
          <w:szCs w:val="32"/>
          <w:lang w:eastAsia="zh-CN"/>
        </w:rPr>
      </w:pPr>
    </w:p>
    <w:p>
      <w:pPr>
        <w:keepNext w:val="0"/>
        <w:keepLines w:val="0"/>
        <w:pageBreakBefore w:val="0"/>
        <w:numPr>
          <w:ilvl w:val="0"/>
          <w:numId w:val="0"/>
        </w:numPr>
        <w:kinsoku/>
        <w:wordWrap/>
        <w:overflowPunct w:val="0"/>
        <w:topLinePunct w:val="0"/>
        <w:autoSpaceDE/>
        <w:autoSpaceDN/>
        <w:bidi w:val="0"/>
        <w:adjustRightInd w:val="0"/>
        <w:snapToGrid w:val="0"/>
        <w:spacing w:line="240" w:lineRule="auto"/>
        <w:ind w:leftChars="200"/>
        <w:jc w:val="left"/>
        <w:rPr>
          <w:rFonts w:hint="eastAsia" w:ascii="楷体_GB2312" w:eastAsia="楷体_GB2312" w:cs="Times New Roman"/>
          <w:b/>
          <w:sz w:val="32"/>
          <w:szCs w:val="32"/>
          <w:lang w:eastAsia="zh-CN"/>
        </w:rPr>
      </w:pPr>
    </w:p>
    <w:p>
      <w:pPr>
        <w:keepNext w:val="0"/>
        <w:keepLines w:val="0"/>
        <w:pageBreakBefore w:val="0"/>
        <w:numPr>
          <w:ilvl w:val="0"/>
          <w:numId w:val="0"/>
        </w:numPr>
        <w:kinsoku/>
        <w:wordWrap/>
        <w:overflowPunct w:val="0"/>
        <w:topLinePunct w:val="0"/>
        <w:autoSpaceDE/>
        <w:autoSpaceDN/>
        <w:bidi w:val="0"/>
        <w:adjustRightInd w:val="0"/>
        <w:snapToGrid w:val="0"/>
        <w:spacing w:line="240" w:lineRule="auto"/>
        <w:ind w:leftChars="200"/>
        <w:jc w:val="left"/>
        <w:rPr>
          <w:rFonts w:hint="eastAsia" w:ascii="楷体_GB2312" w:eastAsia="楷体_GB2312" w:cs="Times New Roman"/>
          <w:b/>
          <w:sz w:val="32"/>
          <w:szCs w:val="32"/>
          <w:lang w:eastAsia="zh-CN"/>
        </w:rPr>
      </w:pPr>
    </w:p>
    <w:p>
      <w:pPr>
        <w:keepNext w:val="0"/>
        <w:keepLines w:val="0"/>
        <w:pageBreakBefore w:val="0"/>
        <w:numPr>
          <w:ilvl w:val="0"/>
          <w:numId w:val="0"/>
        </w:numPr>
        <w:kinsoku/>
        <w:wordWrap/>
        <w:overflowPunct w:val="0"/>
        <w:topLinePunct w:val="0"/>
        <w:autoSpaceDE/>
        <w:autoSpaceDN/>
        <w:bidi w:val="0"/>
        <w:adjustRightInd w:val="0"/>
        <w:snapToGrid w:val="0"/>
        <w:spacing w:line="240" w:lineRule="auto"/>
        <w:ind w:leftChars="200"/>
        <w:jc w:val="left"/>
        <w:rPr>
          <w:rFonts w:hint="eastAsia" w:ascii="楷体_GB2312" w:eastAsia="楷体_GB2312" w:cs="Times New Roman"/>
          <w:b/>
          <w:sz w:val="32"/>
          <w:szCs w:val="32"/>
          <w:lang w:eastAsia="zh-CN"/>
        </w:rPr>
      </w:pPr>
    </w:p>
    <w:p>
      <w:pPr>
        <w:keepNext w:val="0"/>
        <w:keepLines w:val="0"/>
        <w:pageBreakBefore w:val="0"/>
        <w:numPr>
          <w:ilvl w:val="0"/>
          <w:numId w:val="0"/>
        </w:numPr>
        <w:kinsoku/>
        <w:wordWrap/>
        <w:overflowPunct w:val="0"/>
        <w:topLinePunct w:val="0"/>
        <w:autoSpaceDE/>
        <w:autoSpaceDN/>
        <w:bidi w:val="0"/>
        <w:adjustRightInd w:val="0"/>
        <w:snapToGrid w:val="0"/>
        <w:spacing w:line="240" w:lineRule="auto"/>
        <w:ind w:leftChars="200"/>
        <w:jc w:val="left"/>
        <w:rPr>
          <w:rFonts w:hint="eastAsia" w:ascii="楷体_GB2312" w:eastAsia="楷体_GB2312" w:cs="Times New Roman"/>
          <w:b/>
          <w:sz w:val="32"/>
          <w:szCs w:val="32"/>
        </w:rPr>
      </w:pPr>
      <w:r>
        <w:rPr>
          <w:rFonts w:hint="eastAsia" w:ascii="楷体_GB2312" w:eastAsia="楷体_GB2312" w:cs="Times New Roman"/>
          <w:b/>
          <w:sz w:val="32"/>
          <w:szCs w:val="32"/>
          <w:lang w:eastAsia="zh-CN"/>
        </w:rPr>
        <w:t>（</w:t>
      </w:r>
      <w:r>
        <w:rPr>
          <w:rFonts w:hint="eastAsia" w:ascii="楷体_GB2312" w:eastAsia="楷体_GB2312" w:cs="Times New Roman"/>
          <w:b/>
          <w:sz w:val="32"/>
          <w:szCs w:val="32"/>
          <w:lang w:val="en-US" w:eastAsia="zh-CN"/>
        </w:rPr>
        <w:t>四）</w:t>
      </w:r>
      <w:r>
        <w:rPr>
          <w:rFonts w:hint="eastAsia" w:ascii="楷体_GB2312" w:eastAsia="楷体_GB2312" w:cs="Times New Roman"/>
          <w:b/>
          <w:sz w:val="32"/>
          <w:szCs w:val="32"/>
        </w:rPr>
        <w:t>部门整体支出绩效指标</w:t>
      </w:r>
    </w:p>
    <w:tbl>
      <w:tblPr>
        <w:tblStyle w:val="8"/>
        <w:tblpPr w:leftFromText="180" w:rightFromText="180" w:vertAnchor="text" w:horzAnchor="page" w:tblpXSpec="center" w:tblpY="703"/>
        <w:tblOverlap w:val="neve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655"/>
        <w:gridCol w:w="682"/>
        <w:gridCol w:w="1140"/>
        <w:gridCol w:w="2120"/>
        <w:gridCol w:w="2320"/>
        <w:gridCol w:w="3504"/>
        <w:gridCol w:w="668"/>
        <w:gridCol w:w="542"/>
        <w:gridCol w:w="1346"/>
        <w:gridCol w:w="1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60" w:hRule="atLeast"/>
          <w:jc w:val="center"/>
        </w:trPr>
        <w:tc>
          <w:tcPr>
            <w:tcW w:w="231" w:type="pct"/>
            <w:vMerge w:val="restart"/>
            <w:tcBorders>
              <w:top w:val="single" w:color="auto" w:sz="4" w:space="0"/>
              <w:bottom w:val="single" w:color="auto" w:sz="4" w:space="0"/>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方正书宋_GBK" w:eastAsia="方正书宋_GBK"/>
                <w:b/>
                <w:lang w:val="en-US" w:eastAsia="zh-CN"/>
              </w:rPr>
            </w:pPr>
            <w:r>
              <w:rPr>
                <w:rFonts w:hint="eastAsia" w:ascii="方正书宋_GBK" w:eastAsia="方正书宋_GBK"/>
                <w:b/>
                <w:lang w:val="en-US" w:eastAsia="zh-CN"/>
              </w:rPr>
              <w:t>序号</w:t>
            </w:r>
          </w:p>
        </w:tc>
        <w:tc>
          <w:tcPr>
            <w:tcW w:w="240" w:type="pct"/>
            <w:vMerge w:val="restart"/>
            <w:tcBorders>
              <w:top w:val="single" w:color="auto" w:sz="4" w:space="0"/>
              <w:bottom w:val="single" w:color="auto" w:sz="4" w:space="0"/>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方正书宋_GBK" w:eastAsia="方正书宋_GBK"/>
                <w:b/>
                <w:lang w:val="en-US" w:eastAsia="zh-CN"/>
              </w:rPr>
            </w:pPr>
            <w:r>
              <w:rPr>
                <w:rFonts w:hint="eastAsia" w:ascii="方正书宋_GBK" w:eastAsia="方正书宋_GBK"/>
                <w:b/>
                <w:lang w:val="en-US" w:eastAsia="zh-CN"/>
              </w:rPr>
              <w:t>一级指标</w:t>
            </w:r>
          </w:p>
        </w:tc>
        <w:tc>
          <w:tcPr>
            <w:tcW w:w="402" w:type="pct"/>
            <w:vMerge w:val="restart"/>
            <w:tcBorders>
              <w:top w:val="single" w:color="auto" w:sz="4" w:space="0"/>
              <w:bottom w:val="single" w:color="auto" w:sz="4" w:space="0"/>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方正书宋_GBK" w:eastAsia="方正书宋_GBK"/>
                <w:b/>
                <w:lang w:val="en-US" w:eastAsia="zh-CN"/>
              </w:rPr>
            </w:pPr>
            <w:r>
              <w:rPr>
                <w:rFonts w:hint="eastAsia" w:ascii="方正书宋_GBK" w:eastAsia="方正书宋_GBK"/>
                <w:b/>
                <w:lang w:val="en-US" w:eastAsia="zh-CN"/>
              </w:rPr>
              <w:t>二级指标</w:t>
            </w:r>
          </w:p>
        </w:tc>
        <w:tc>
          <w:tcPr>
            <w:tcW w:w="747" w:type="pct"/>
            <w:vMerge w:val="restart"/>
            <w:tcBorders>
              <w:top w:val="single" w:color="auto" w:sz="4" w:space="0"/>
              <w:bottom w:val="single" w:color="auto" w:sz="4" w:space="0"/>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方正书宋_GBK" w:eastAsia="方正书宋_GBK"/>
                <w:b/>
                <w:lang w:val="en-US" w:eastAsia="zh-CN"/>
              </w:rPr>
            </w:pPr>
            <w:r>
              <w:rPr>
                <w:rFonts w:hint="eastAsia" w:ascii="方正书宋_GBK" w:eastAsia="方正书宋_GBK"/>
                <w:b/>
                <w:lang w:val="en-US" w:eastAsia="zh-CN"/>
              </w:rPr>
              <w:t>三级指标</w:t>
            </w:r>
          </w:p>
        </w:tc>
        <w:tc>
          <w:tcPr>
            <w:tcW w:w="818" w:type="pct"/>
            <w:vMerge w:val="restart"/>
            <w:tcBorders>
              <w:top w:val="single" w:color="auto" w:sz="4" w:space="0"/>
              <w:bottom w:val="single" w:color="auto" w:sz="4" w:space="0"/>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方正书宋_GBK" w:eastAsia="方正书宋_GBK"/>
                <w:b/>
                <w:lang w:val="en-US" w:eastAsia="zh-CN"/>
              </w:rPr>
            </w:pPr>
            <w:r>
              <w:rPr>
                <w:rFonts w:hint="eastAsia" w:ascii="方正书宋_GBK" w:eastAsia="方正书宋_GBK"/>
                <w:b/>
                <w:lang w:val="en-US" w:eastAsia="zh-CN"/>
              </w:rPr>
              <w:t>绩效指标描述</w:t>
            </w:r>
          </w:p>
        </w:tc>
        <w:tc>
          <w:tcPr>
            <w:tcW w:w="1236" w:type="pct"/>
            <w:vMerge w:val="restart"/>
            <w:tcBorders>
              <w:top w:val="single" w:color="auto" w:sz="4" w:space="0"/>
              <w:bottom w:val="single" w:color="auto" w:sz="4" w:space="0"/>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方正书宋_GBK" w:eastAsia="方正书宋_GBK"/>
                <w:b/>
                <w:lang w:val="en-US" w:eastAsia="zh-CN"/>
              </w:rPr>
            </w:pPr>
            <w:r>
              <w:rPr>
                <w:rFonts w:hint="eastAsia" w:ascii="方正书宋_GBK" w:eastAsia="方正书宋_GBK"/>
                <w:b/>
                <w:lang w:val="en-US" w:eastAsia="zh-CN"/>
              </w:rPr>
              <w:t>评（扣）分标准</w:t>
            </w:r>
          </w:p>
        </w:tc>
        <w:tc>
          <w:tcPr>
            <w:tcW w:w="901" w:type="pct"/>
            <w:gridSpan w:val="3"/>
            <w:tcBorders>
              <w:top w:val="single" w:color="auto" w:sz="4" w:space="0"/>
              <w:bottom w:val="single" w:color="auto" w:sz="4" w:space="0"/>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方正书宋_GBK" w:eastAsia="方正书宋_GBK"/>
                <w:b/>
                <w:lang w:val="en-US" w:eastAsia="zh-CN"/>
              </w:rPr>
            </w:pPr>
            <w:r>
              <w:rPr>
                <w:rFonts w:hint="eastAsia" w:ascii="方正书宋_GBK" w:eastAsia="方正书宋_GBK"/>
                <w:b/>
                <w:lang w:val="en-US" w:eastAsia="zh-CN"/>
              </w:rPr>
              <w:t>指标值</w:t>
            </w:r>
          </w:p>
        </w:tc>
        <w:tc>
          <w:tcPr>
            <w:tcW w:w="422" w:type="pct"/>
            <w:vMerge w:val="restart"/>
            <w:tcBorders>
              <w:top w:val="single" w:color="auto" w:sz="4" w:space="0"/>
              <w:bottom w:val="single" w:color="auto" w:sz="4" w:space="0"/>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方正书宋_GBK" w:hAnsi="Calibri" w:eastAsia="方正书宋_GBK" w:cs="Arial"/>
                <w:b/>
                <w:kern w:val="2"/>
                <w:sz w:val="21"/>
                <w:szCs w:val="22"/>
                <w:lang w:val="en-US" w:eastAsia="zh-CN" w:bidi="ar-SA"/>
              </w:rPr>
              <w:t>指标值确定依据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58" w:hRule="atLeast"/>
          <w:jc w:val="center"/>
        </w:trPr>
        <w:tc>
          <w:tcPr>
            <w:tcW w:w="231" w:type="pct"/>
            <w:vMerge w:val="continue"/>
            <w:tcBorders>
              <w:top w:val="single" w:color="auto" w:sz="4" w:space="0"/>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书宋_GBK" w:hAnsi="Calibri" w:eastAsia="方正书宋_GBK" w:cs="Arial"/>
                <w:b/>
                <w:kern w:val="2"/>
                <w:sz w:val="21"/>
                <w:szCs w:val="22"/>
                <w:lang w:val="en-US" w:eastAsia="zh-CN" w:bidi="ar-SA"/>
              </w:rPr>
            </w:pPr>
          </w:p>
        </w:tc>
        <w:tc>
          <w:tcPr>
            <w:tcW w:w="240" w:type="pct"/>
            <w:vMerge w:val="continue"/>
            <w:tcBorders>
              <w:top w:val="single" w:color="auto" w:sz="4" w:space="0"/>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书宋_GBK" w:hAnsi="Calibri" w:eastAsia="方正书宋_GBK" w:cs="Arial"/>
                <w:b/>
                <w:kern w:val="2"/>
                <w:sz w:val="21"/>
                <w:szCs w:val="22"/>
                <w:lang w:val="en-US" w:eastAsia="zh-CN" w:bidi="ar-SA"/>
              </w:rPr>
            </w:pPr>
          </w:p>
        </w:tc>
        <w:tc>
          <w:tcPr>
            <w:tcW w:w="402" w:type="pct"/>
            <w:vMerge w:val="continue"/>
            <w:tcBorders>
              <w:top w:val="single" w:color="auto" w:sz="4" w:space="0"/>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书宋_GBK" w:hAnsi="Calibri" w:eastAsia="方正书宋_GBK" w:cs="Arial"/>
                <w:b/>
                <w:kern w:val="2"/>
                <w:sz w:val="21"/>
                <w:szCs w:val="22"/>
                <w:lang w:val="en-US" w:eastAsia="zh-CN" w:bidi="ar-SA"/>
              </w:rPr>
            </w:pPr>
          </w:p>
        </w:tc>
        <w:tc>
          <w:tcPr>
            <w:tcW w:w="747" w:type="pct"/>
            <w:vMerge w:val="continue"/>
            <w:tcBorders>
              <w:top w:val="single" w:color="auto" w:sz="4" w:space="0"/>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书宋_GBK" w:hAnsi="Calibri" w:eastAsia="方正书宋_GBK" w:cs="Arial"/>
                <w:b/>
                <w:kern w:val="2"/>
                <w:sz w:val="21"/>
                <w:szCs w:val="22"/>
                <w:lang w:val="en-US" w:eastAsia="zh-CN" w:bidi="ar-SA"/>
              </w:rPr>
            </w:pPr>
          </w:p>
        </w:tc>
        <w:tc>
          <w:tcPr>
            <w:tcW w:w="818" w:type="pct"/>
            <w:vMerge w:val="continue"/>
            <w:tcBorders>
              <w:top w:val="single" w:color="auto" w:sz="4" w:space="0"/>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书宋_GBK" w:hAnsi="Calibri" w:eastAsia="方正书宋_GBK" w:cs="Arial"/>
                <w:b/>
                <w:kern w:val="2"/>
                <w:sz w:val="21"/>
                <w:szCs w:val="22"/>
                <w:lang w:val="en-US" w:eastAsia="zh-CN" w:bidi="ar-SA"/>
              </w:rPr>
            </w:pPr>
          </w:p>
        </w:tc>
        <w:tc>
          <w:tcPr>
            <w:tcW w:w="1236" w:type="pct"/>
            <w:vMerge w:val="continue"/>
            <w:tcBorders>
              <w:top w:val="single" w:color="auto" w:sz="4" w:space="0"/>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书宋_GBK" w:hAnsi="Calibri" w:eastAsia="方正书宋_GBK" w:cs="Arial"/>
                <w:b/>
                <w:kern w:val="2"/>
                <w:sz w:val="21"/>
                <w:szCs w:val="22"/>
                <w:lang w:val="en-US" w:eastAsia="zh-CN" w:bidi="ar-SA"/>
              </w:rPr>
            </w:pPr>
          </w:p>
        </w:tc>
        <w:tc>
          <w:tcPr>
            <w:tcW w:w="235" w:type="pct"/>
            <w:tcBorders>
              <w:top w:val="single" w:color="auto" w:sz="4" w:space="0"/>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书宋_GBK" w:hAnsi="Calibri" w:eastAsia="方正书宋_GBK" w:cs="Arial"/>
                <w:b/>
                <w:kern w:val="2"/>
                <w:sz w:val="21"/>
                <w:szCs w:val="22"/>
                <w:lang w:val="en-US" w:eastAsia="zh-CN" w:bidi="ar-SA"/>
              </w:rPr>
            </w:pPr>
            <w:r>
              <w:rPr>
                <w:rFonts w:hint="eastAsia" w:ascii="方正书宋_GBK" w:hAnsi="Calibri" w:eastAsia="方正书宋_GBK" w:cs="Arial"/>
                <w:b/>
                <w:kern w:val="2"/>
                <w:sz w:val="21"/>
                <w:szCs w:val="22"/>
                <w:lang w:val="en-US" w:eastAsia="zh-CN" w:bidi="ar-SA"/>
              </w:rPr>
              <w:t>符号</w:t>
            </w:r>
          </w:p>
        </w:tc>
        <w:tc>
          <w:tcPr>
            <w:tcW w:w="191" w:type="pct"/>
            <w:tcBorders>
              <w:top w:val="single" w:color="auto" w:sz="4" w:space="0"/>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书宋_GBK" w:hAnsi="Calibri" w:eastAsia="方正书宋_GBK" w:cs="Arial"/>
                <w:b/>
                <w:kern w:val="2"/>
                <w:sz w:val="21"/>
                <w:szCs w:val="22"/>
                <w:lang w:val="en-US" w:eastAsia="zh-CN" w:bidi="ar-SA"/>
              </w:rPr>
            </w:pPr>
            <w:r>
              <w:rPr>
                <w:rFonts w:hint="eastAsia" w:ascii="方正书宋_GBK" w:hAnsi="Calibri" w:eastAsia="方正书宋_GBK" w:cs="Arial"/>
                <w:b/>
                <w:kern w:val="2"/>
                <w:sz w:val="21"/>
                <w:szCs w:val="22"/>
                <w:lang w:val="en-US" w:eastAsia="zh-CN" w:bidi="ar-SA"/>
              </w:rPr>
              <w:t>值</w:t>
            </w:r>
          </w:p>
        </w:tc>
        <w:tc>
          <w:tcPr>
            <w:tcW w:w="474" w:type="pct"/>
            <w:tcBorders>
              <w:top w:val="single" w:color="auto" w:sz="4" w:space="0"/>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书宋_GBK" w:hAnsi="Calibri" w:eastAsia="方正书宋_GBK" w:cs="Arial"/>
                <w:b/>
                <w:kern w:val="2"/>
                <w:sz w:val="21"/>
                <w:szCs w:val="22"/>
                <w:lang w:val="en-US" w:eastAsia="zh-CN" w:bidi="ar-SA"/>
              </w:rPr>
            </w:pPr>
            <w:r>
              <w:rPr>
                <w:rFonts w:hint="eastAsia" w:ascii="方正书宋_GBK" w:hAnsi="Calibri" w:eastAsia="方正书宋_GBK" w:cs="Arial"/>
                <w:b/>
                <w:kern w:val="2"/>
                <w:sz w:val="21"/>
                <w:szCs w:val="22"/>
                <w:lang w:val="en-US" w:eastAsia="zh-CN" w:bidi="ar-SA"/>
              </w:rPr>
              <w:t>单位（文字描述）</w:t>
            </w:r>
          </w:p>
        </w:tc>
        <w:tc>
          <w:tcPr>
            <w:tcW w:w="422" w:type="pct"/>
            <w:vMerge w:val="continue"/>
            <w:tcBorders>
              <w:top w:val="single" w:color="auto" w:sz="4" w:space="0"/>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18" w:hRule="atLeast"/>
          <w:jc w:val="center"/>
        </w:trPr>
        <w:tc>
          <w:tcPr>
            <w:tcW w:w="231" w:type="pct"/>
            <w:tcBorders>
              <w:tl2br w:val="nil"/>
              <w:tr2bl w:val="nil"/>
            </w:tcBorders>
            <w:shd w:val="clear" w:color="auto" w:fill="auto"/>
            <w:noWrap/>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书宋_GBK" w:eastAsia="方正书宋_GBK"/>
                <w:b w:val="0"/>
                <w:bCs/>
                <w:lang w:val="en-US" w:eastAsia="zh-CN"/>
              </w:rPr>
            </w:pPr>
            <w:r>
              <w:rPr>
                <w:rFonts w:hint="eastAsia" w:ascii="方正书宋_GBK" w:eastAsia="方正书宋_GBK"/>
                <w:b w:val="0"/>
                <w:bCs/>
                <w:lang w:val="en-US" w:eastAsia="zh-CN"/>
              </w:rPr>
              <w:t>1</w:t>
            </w:r>
          </w:p>
        </w:tc>
        <w:tc>
          <w:tcPr>
            <w:tcW w:w="240" w:type="pct"/>
            <w:vMerge w:val="restar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方正书宋_GBK" w:eastAsia="方正书宋_GBK"/>
                <w:b w:val="0"/>
                <w:bCs/>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方正书宋_GBK" w:eastAsia="方正书宋_GBK"/>
                <w:b w:val="0"/>
                <w:bCs/>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方正书宋_GBK" w:eastAsia="方正书宋_GBK"/>
                <w:b w:val="0"/>
                <w:bCs/>
                <w:lang w:val="en-US" w:eastAsia="zh-CN"/>
              </w:rPr>
            </w:pPr>
            <w:r>
              <w:rPr>
                <w:rFonts w:hint="eastAsia" w:ascii="方正书宋_GBK" w:eastAsia="方正书宋_GBK"/>
                <w:b w:val="0"/>
                <w:bCs/>
                <w:lang w:val="en-US" w:eastAsia="zh-CN"/>
              </w:rPr>
              <w:t>产出指标</w:t>
            </w:r>
          </w:p>
        </w:tc>
        <w:tc>
          <w:tcPr>
            <w:tcW w:w="402"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方正书宋_GBK" w:eastAsia="方正书宋_GBK"/>
                <w:b w:val="0"/>
                <w:bCs/>
                <w:lang w:val="en-US" w:eastAsia="zh-CN"/>
              </w:rPr>
            </w:pPr>
            <w:r>
              <w:rPr>
                <w:rFonts w:hint="eastAsia" w:ascii="方正书宋_GBK" w:eastAsia="方正书宋_GBK"/>
                <w:b w:val="0"/>
                <w:bCs/>
                <w:lang w:val="en-US" w:eastAsia="zh-CN"/>
              </w:rPr>
              <w:t>数量指标</w:t>
            </w:r>
          </w:p>
        </w:tc>
        <w:tc>
          <w:tcPr>
            <w:tcW w:w="747"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b w:val="0"/>
                <w:bCs/>
                <w:lang w:val="en-US" w:eastAsia="zh-CN"/>
              </w:rPr>
            </w:pPr>
            <w:r>
              <w:rPr>
                <w:rFonts w:hint="eastAsia" w:ascii="仿宋_GB2312" w:hAnsi="仿宋_GB2312" w:eastAsia="仿宋_GB2312" w:cs="仿宋_GB2312"/>
                <w:b w:val="0"/>
                <w:bCs/>
                <w:lang w:val="en-US" w:eastAsia="zh-CN"/>
              </w:rPr>
              <w:t>幼儿园毕业生生合格率</w:t>
            </w:r>
          </w:p>
        </w:tc>
        <w:tc>
          <w:tcPr>
            <w:tcW w:w="81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b w:val="0"/>
                <w:bCs/>
                <w:lang w:val="en-US" w:eastAsia="zh-CN"/>
              </w:rPr>
            </w:pPr>
            <w:r>
              <w:rPr>
                <w:rFonts w:hint="eastAsia" w:ascii="仿宋_GB2312" w:hAnsi="仿宋_GB2312" w:eastAsia="仿宋_GB2312" w:cs="仿宋_GB2312"/>
                <w:b w:val="0"/>
                <w:bCs/>
                <w:lang w:val="en-US" w:eastAsia="zh-CN"/>
              </w:rPr>
              <w:t>幼儿园毕业生合格率</w:t>
            </w:r>
          </w:p>
        </w:tc>
        <w:tc>
          <w:tcPr>
            <w:tcW w:w="1236"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b w:val="0"/>
                <w:bCs/>
                <w:lang w:val="en-US" w:eastAsia="zh-CN"/>
              </w:rPr>
            </w:pPr>
            <w:r>
              <w:rPr>
                <w:rFonts w:hint="eastAsia" w:ascii="仿宋_GB2312" w:hAnsi="仿宋_GB2312" w:eastAsia="仿宋_GB2312" w:cs="仿宋_GB2312"/>
                <w:b w:val="0"/>
                <w:bCs/>
                <w:lang w:val="en-US" w:eastAsia="zh-CN"/>
              </w:rPr>
              <w:t>20分毕业生合格率100%得满分，否则不得分</w:t>
            </w:r>
          </w:p>
        </w:tc>
        <w:tc>
          <w:tcPr>
            <w:tcW w:w="235"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b w:val="0"/>
                <w:bCs/>
                <w:lang w:val="en-US" w:eastAsia="zh-CN"/>
              </w:rPr>
            </w:pPr>
            <w:r>
              <w:rPr>
                <w:rFonts w:hint="eastAsia" w:ascii="仿宋_GB2312" w:hAnsi="仿宋_GB2312" w:eastAsia="仿宋_GB2312" w:cs="仿宋_GB2312"/>
                <w:b w:val="0"/>
                <w:bCs/>
                <w:lang w:val="en-US" w:eastAsia="zh-CN"/>
              </w:rPr>
              <w:t>=</w:t>
            </w:r>
          </w:p>
        </w:tc>
        <w:tc>
          <w:tcPr>
            <w:tcW w:w="191"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b w:val="0"/>
                <w:bCs/>
                <w:lang w:val="en-US" w:eastAsia="zh-CN"/>
              </w:rPr>
            </w:pPr>
            <w:r>
              <w:rPr>
                <w:rFonts w:hint="eastAsia" w:ascii="仿宋_GB2312" w:hAnsi="仿宋_GB2312" w:eastAsia="仿宋_GB2312" w:cs="仿宋_GB2312"/>
                <w:b w:val="0"/>
                <w:bCs/>
                <w:lang w:val="en-US" w:eastAsia="zh-CN"/>
              </w:rPr>
              <w:t>100</w:t>
            </w:r>
          </w:p>
        </w:tc>
        <w:tc>
          <w:tcPr>
            <w:tcW w:w="474"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b w:val="0"/>
                <w:bCs/>
                <w:lang w:val="en-US" w:eastAsia="zh-CN"/>
              </w:rPr>
            </w:pPr>
            <w:r>
              <w:rPr>
                <w:rFonts w:hint="eastAsia" w:ascii="仿宋_GB2312" w:hAnsi="仿宋_GB2312" w:eastAsia="仿宋_GB2312" w:cs="仿宋_GB2312"/>
                <w:b w:val="0"/>
                <w:bCs/>
                <w:lang w:val="en-US" w:eastAsia="zh-CN"/>
              </w:rPr>
              <w:t>%</w:t>
            </w:r>
          </w:p>
        </w:tc>
        <w:tc>
          <w:tcPr>
            <w:tcW w:w="422"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b w:val="0"/>
                <w:bCs/>
                <w:lang w:val="en-US" w:eastAsia="zh-CN"/>
              </w:rPr>
            </w:pPr>
            <w:r>
              <w:rPr>
                <w:rFonts w:hint="eastAsia" w:ascii="仿宋_GB2312" w:hAnsi="仿宋_GB2312" w:eastAsia="仿宋_GB2312" w:cs="仿宋_GB2312"/>
                <w:b w:val="0"/>
                <w:bCs/>
                <w:lang w:val="en-US" w:eastAsia="zh-CN"/>
              </w:rPr>
              <w:t>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0" w:hRule="atLeast"/>
          <w:jc w:val="center"/>
        </w:trPr>
        <w:tc>
          <w:tcPr>
            <w:tcW w:w="231" w:type="pct"/>
            <w:tcBorders>
              <w:tl2br w:val="nil"/>
              <w:tr2bl w:val="nil"/>
            </w:tcBorders>
            <w:shd w:val="clear" w:color="auto" w:fill="auto"/>
            <w:noWrap/>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书宋_GBK" w:eastAsia="方正书宋_GBK"/>
                <w:b w:val="0"/>
                <w:bCs/>
                <w:lang w:val="en-US" w:eastAsia="zh-CN"/>
              </w:rPr>
            </w:pPr>
            <w:r>
              <w:rPr>
                <w:rFonts w:hint="eastAsia" w:ascii="方正书宋_GBK" w:eastAsia="方正书宋_GBK"/>
                <w:b w:val="0"/>
                <w:bCs/>
                <w:lang w:val="en-US" w:eastAsia="zh-CN"/>
              </w:rPr>
              <w:t>2</w:t>
            </w:r>
          </w:p>
        </w:tc>
        <w:tc>
          <w:tcPr>
            <w:tcW w:w="240"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方正书宋_GBK" w:eastAsia="方正书宋_GBK"/>
                <w:b w:val="0"/>
                <w:bCs/>
                <w:lang w:val="en-US" w:eastAsia="zh-CN"/>
              </w:rPr>
            </w:pPr>
          </w:p>
        </w:tc>
        <w:tc>
          <w:tcPr>
            <w:tcW w:w="402"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方正书宋_GBK" w:eastAsia="方正书宋_GBK"/>
                <w:b w:val="0"/>
                <w:bCs/>
                <w:lang w:val="en-US" w:eastAsia="zh-CN"/>
              </w:rPr>
            </w:pPr>
            <w:r>
              <w:rPr>
                <w:rFonts w:hint="eastAsia" w:ascii="方正书宋_GBK" w:eastAsia="方正书宋_GBK"/>
                <w:b w:val="0"/>
                <w:bCs/>
                <w:lang w:val="en-US" w:eastAsia="zh-CN"/>
              </w:rPr>
              <w:t>数量指标</w:t>
            </w:r>
          </w:p>
        </w:tc>
        <w:tc>
          <w:tcPr>
            <w:tcW w:w="747"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b w:val="0"/>
                <w:bCs/>
                <w:lang w:val="en-US" w:eastAsia="zh-CN"/>
              </w:rPr>
            </w:pPr>
            <w:r>
              <w:rPr>
                <w:rFonts w:hint="eastAsia" w:ascii="仿宋_GB2312" w:hAnsi="仿宋_GB2312" w:eastAsia="仿宋_GB2312" w:cs="仿宋_GB2312"/>
                <w:b w:val="0"/>
                <w:bCs/>
                <w:lang w:val="en-US" w:eastAsia="zh-CN"/>
              </w:rPr>
              <w:t>重点工作实际完成率</w:t>
            </w:r>
          </w:p>
        </w:tc>
        <w:tc>
          <w:tcPr>
            <w:tcW w:w="81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b w:val="0"/>
                <w:bCs/>
                <w:lang w:val="en-US" w:eastAsia="zh-CN"/>
              </w:rPr>
            </w:pPr>
            <w:r>
              <w:rPr>
                <w:rFonts w:hint="eastAsia" w:ascii="仿宋_GB2312" w:hAnsi="仿宋_GB2312" w:eastAsia="仿宋_GB2312" w:cs="仿宋_GB2312"/>
                <w:b w:val="0"/>
                <w:bCs/>
                <w:lang w:val="en-US" w:eastAsia="zh-CN"/>
              </w:rPr>
              <w:t>重点工作实际完成率</w:t>
            </w:r>
          </w:p>
        </w:tc>
        <w:tc>
          <w:tcPr>
            <w:tcW w:w="1236"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b w:val="0"/>
                <w:bCs/>
                <w:lang w:val="en-US" w:eastAsia="zh-CN"/>
              </w:rPr>
            </w:pPr>
            <w:r>
              <w:rPr>
                <w:rFonts w:hint="eastAsia" w:ascii="仿宋_GB2312" w:hAnsi="仿宋_GB2312" w:eastAsia="仿宋_GB2312" w:cs="仿宋_GB2312"/>
                <w:b w:val="0"/>
                <w:bCs/>
                <w:lang w:val="en-US" w:eastAsia="zh-CN"/>
              </w:rPr>
              <w:t>10分不低于95%得满分，否则不得分</w:t>
            </w:r>
          </w:p>
        </w:tc>
        <w:tc>
          <w:tcPr>
            <w:tcW w:w="235"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b w:val="0"/>
                <w:bCs/>
                <w:lang w:val="en-US" w:eastAsia="zh-CN"/>
              </w:rPr>
            </w:pPr>
            <w:r>
              <w:rPr>
                <w:rFonts w:hint="eastAsia" w:ascii="仿宋_GB2312" w:hAnsi="仿宋_GB2312" w:eastAsia="仿宋_GB2312" w:cs="仿宋_GB2312"/>
                <w:b w:val="0"/>
                <w:bCs/>
                <w:lang w:val="en-US" w:eastAsia="zh-CN"/>
              </w:rPr>
              <w:t>≥</w:t>
            </w:r>
          </w:p>
        </w:tc>
        <w:tc>
          <w:tcPr>
            <w:tcW w:w="191"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b w:val="0"/>
                <w:bCs/>
                <w:lang w:val="en-US" w:eastAsia="zh-CN"/>
              </w:rPr>
            </w:pPr>
            <w:r>
              <w:rPr>
                <w:rFonts w:hint="eastAsia" w:ascii="仿宋_GB2312" w:hAnsi="仿宋_GB2312" w:eastAsia="仿宋_GB2312" w:cs="仿宋_GB2312"/>
                <w:b w:val="0"/>
                <w:bCs/>
                <w:lang w:val="en-US" w:eastAsia="zh-CN"/>
              </w:rPr>
              <w:t>95</w:t>
            </w:r>
          </w:p>
        </w:tc>
        <w:tc>
          <w:tcPr>
            <w:tcW w:w="474"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b w:val="0"/>
                <w:bCs/>
                <w:lang w:val="en-US" w:eastAsia="zh-CN"/>
              </w:rPr>
            </w:pPr>
            <w:r>
              <w:rPr>
                <w:rFonts w:hint="eastAsia" w:ascii="仿宋_GB2312" w:hAnsi="仿宋_GB2312" w:eastAsia="仿宋_GB2312" w:cs="仿宋_GB2312"/>
                <w:b w:val="0"/>
                <w:bCs/>
                <w:lang w:val="en-US" w:eastAsia="zh-CN"/>
              </w:rPr>
              <w:t>%</w:t>
            </w:r>
          </w:p>
        </w:tc>
        <w:tc>
          <w:tcPr>
            <w:tcW w:w="422"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b w:val="0"/>
                <w:bCs/>
                <w:lang w:val="en-US" w:eastAsia="zh-CN"/>
              </w:rPr>
            </w:pPr>
            <w:r>
              <w:rPr>
                <w:rFonts w:hint="eastAsia" w:ascii="仿宋_GB2312" w:hAnsi="仿宋_GB2312" w:eastAsia="仿宋_GB2312" w:cs="仿宋_GB2312"/>
                <w:b w:val="0"/>
                <w:bCs/>
                <w:lang w:val="en-US" w:eastAsia="zh-CN"/>
              </w:rPr>
              <w:t>实际工作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0" w:hRule="atLeast"/>
          <w:jc w:val="center"/>
        </w:trPr>
        <w:tc>
          <w:tcPr>
            <w:tcW w:w="231" w:type="pct"/>
            <w:tcBorders>
              <w:tl2br w:val="nil"/>
              <w:tr2bl w:val="nil"/>
            </w:tcBorders>
            <w:shd w:val="clear" w:color="auto" w:fill="auto"/>
            <w:noWrap/>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书宋_GBK" w:eastAsia="方正书宋_GBK"/>
                <w:b w:val="0"/>
                <w:bCs/>
                <w:lang w:val="en-US" w:eastAsia="zh-CN"/>
              </w:rPr>
            </w:pPr>
            <w:r>
              <w:rPr>
                <w:rFonts w:hint="eastAsia" w:ascii="方正书宋_GBK" w:eastAsia="方正书宋_GBK"/>
                <w:b w:val="0"/>
                <w:bCs/>
                <w:lang w:val="en-US" w:eastAsia="zh-CN"/>
              </w:rPr>
              <w:t>3</w:t>
            </w:r>
          </w:p>
        </w:tc>
        <w:tc>
          <w:tcPr>
            <w:tcW w:w="240"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方正书宋_GBK" w:eastAsia="方正书宋_GBK"/>
                <w:b w:val="0"/>
                <w:bCs/>
                <w:lang w:val="en-US" w:eastAsia="zh-CN"/>
              </w:rPr>
            </w:pPr>
          </w:p>
        </w:tc>
        <w:tc>
          <w:tcPr>
            <w:tcW w:w="402"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方正书宋_GBK" w:eastAsia="方正书宋_GBK"/>
                <w:b w:val="0"/>
                <w:bCs/>
                <w:lang w:val="en-US" w:eastAsia="zh-CN"/>
              </w:rPr>
            </w:pPr>
            <w:r>
              <w:rPr>
                <w:rFonts w:hint="eastAsia" w:ascii="方正书宋_GBK" w:eastAsia="方正书宋_GBK"/>
                <w:b w:val="0"/>
                <w:bCs/>
                <w:lang w:val="en-US" w:eastAsia="zh-CN"/>
              </w:rPr>
              <w:t>质量指标</w:t>
            </w:r>
          </w:p>
        </w:tc>
        <w:tc>
          <w:tcPr>
            <w:tcW w:w="747"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b w:val="0"/>
                <w:bCs/>
                <w:lang w:val="en-US" w:eastAsia="zh-CN"/>
              </w:rPr>
            </w:pPr>
            <w:r>
              <w:rPr>
                <w:rFonts w:hint="eastAsia" w:ascii="仿宋_GB2312" w:hAnsi="仿宋_GB2312" w:eastAsia="仿宋_GB2312" w:cs="仿宋_GB2312"/>
                <w:b w:val="0"/>
                <w:bCs/>
                <w:lang w:val="en-US" w:eastAsia="zh-CN"/>
              </w:rPr>
              <w:t>采购物资、建设工程合格率</w:t>
            </w:r>
          </w:p>
        </w:tc>
        <w:tc>
          <w:tcPr>
            <w:tcW w:w="81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b w:val="0"/>
                <w:bCs/>
                <w:lang w:val="en-US" w:eastAsia="zh-CN"/>
              </w:rPr>
            </w:pPr>
            <w:r>
              <w:rPr>
                <w:rFonts w:hint="eastAsia" w:ascii="仿宋_GB2312" w:hAnsi="仿宋_GB2312" w:eastAsia="仿宋_GB2312" w:cs="仿宋_GB2312"/>
                <w:b w:val="0"/>
                <w:bCs/>
                <w:lang w:val="en-US" w:eastAsia="zh-CN"/>
              </w:rPr>
              <w:t>采购物资、建设工程合格率</w:t>
            </w:r>
          </w:p>
        </w:tc>
        <w:tc>
          <w:tcPr>
            <w:tcW w:w="1236"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b w:val="0"/>
                <w:bCs/>
                <w:lang w:val="en-US" w:eastAsia="zh-CN"/>
              </w:rPr>
            </w:pPr>
            <w:r>
              <w:rPr>
                <w:rFonts w:hint="eastAsia" w:ascii="仿宋_GB2312" w:hAnsi="仿宋_GB2312" w:eastAsia="仿宋_GB2312" w:cs="仿宋_GB2312"/>
                <w:b w:val="0"/>
                <w:bCs/>
                <w:lang w:val="en-US" w:eastAsia="zh-CN"/>
              </w:rPr>
              <w:t>20分合格率100%得满分，否则不得分</w:t>
            </w:r>
          </w:p>
        </w:tc>
        <w:tc>
          <w:tcPr>
            <w:tcW w:w="235"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b w:val="0"/>
                <w:bCs/>
                <w:lang w:val="en-US" w:eastAsia="zh-CN"/>
              </w:rPr>
            </w:pPr>
            <w:r>
              <w:rPr>
                <w:rFonts w:hint="eastAsia" w:ascii="仿宋_GB2312" w:hAnsi="仿宋_GB2312" w:eastAsia="仿宋_GB2312" w:cs="仿宋_GB2312"/>
                <w:b w:val="0"/>
                <w:bCs/>
                <w:lang w:val="en-US" w:eastAsia="zh-CN"/>
              </w:rPr>
              <w:t>=</w:t>
            </w:r>
          </w:p>
        </w:tc>
        <w:tc>
          <w:tcPr>
            <w:tcW w:w="191"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b w:val="0"/>
                <w:bCs/>
                <w:lang w:val="en-US" w:eastAsia="zh-CN"/>
              </w:rPr>
            </w:pPr>
            <w:r>
              <w:rPr>
                <w:rFonts w:hint="eastAsia" w:ascii="仿宋_GB2312" w:hAnsi="仿宋_GB2312" w:eastAsia="仿宋_GB2312" w:cs="仿宋_GB2312"/>
                <w:b w:val="0"/>
                <w:bCs/>
                <w:lang w:val="en-US" w:eastAsia="zh-CN"/>
              </w:rPr>
              <w:t>100</w:t>
            </w:r>
          </w:p>
        </w:tc>
        <w:tc>
          <w:tcPr>
            <w:tcW w:w="474"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b w:val="0"/>
                <w:bCs/>
                <w:lang w:val="en-US" w:eastAsia="zh-CN"/>
              </w:rPr>
            </w:pPr>
            <w:r>
              <w:rPr>
                <w:rFonts w:hint="eastAsia" w:ascii="仿宋_GB2312" w:hAnsi="仿宋_GB2312" w:eastAsia="仿宋_GB2312" w:cs="仿宋_GB2312"/>
                <w:b w:val="0"/>
                <w:bCs/>
                <w:lang w:val="en-US" w:eastAsia="zh-CN"/>
              </w:rPr>
              <w:t>%</w:t>
            </w:r>
          </w:p>
        </w:tc>
        <w:tc>
          <w:tcPr>
            <w:tcW w:w="422"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b w:val="0"/>
                <w:bCs/>
                <w:lang w:val="en-US" w:eastAsia="zh-CN"/>
              </w:rPr>
            </w:pPr>
            <w:r>
              <w:rPr>
                <w:rFonts w:hint="eastAsia" w:ascii="仿宋_GB2312" w:hAnsi="仿宋_GB2312" w:eastAsia="仿宋_GB2312" w:cs="仿宋_GB2312"/>
                <w:b w:val="0"/>
                <w:bCs/>
                <w:lang w:val="en-US" w:eastAsia="zh-CN"/>
              </w:rPr>
              <w:t>质量评价标准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0" w:hRule="atLeast"/>
          <w:jc w:val="center"/>
        </w:trPr>
        <w:tc>
          <w:tcPr>
            <w:tcW w:w="231" w:type="pct"/>
            <w:tcBorders>
              <w:tl2br w:val="nil"/>
              <w:tr2bl w:val="nil"/>
            </w:tcBorders>
            <w:shd w:val="clear" w:color="auto" w:fill="auto"/>
            <w:noWrap/>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书宋_GBK" w:eastAsia="方正书宋_GBK"/>
                <w:b w:val="0"/>
                <w:bCs/>
                <w:lang w:val="en-US" w:eastAsia="zh-CN"/>
              </w:rPr>
            </w:pPr>
            <w:r>
              <w:rPr>
                <w:rFonts w:hint="eastAsia" w:ascii="方正书宋_GBK" w:eastAsia="方正书宋_GBK"/>
                <w:b w:val="0"/>
                <w:bCs/>
                <w:lang w:val="en-US" w:eastAsia="zh-CN"/>
              </w:rPr>
              <w:t>4</w:t>
            </w:r>
          </w:p>
        </w:tc>
        <w:tc>
          <w:tcPr>
            <w:tcW w:w="240"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方正书宋_GBK" w:eastAsia="方正书宋_GBK"/>
                <w:b w:val="0"/>
                <w:bCs/>
                <w:lang w:val="en-US" w:eastAsia="zh-CN"/>
              </w:rPr>
            </w:pPr>
          </w:p>
        </w:tc>
        <w:tc>
          <w:tcPr>
            <w:tcW w:w="402"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方正书宋_GBK" w:eastAsia="方正书宋_GBK"/>
                <w:b w:val="0"/>
                <w:bCs/>
                <w:lang w:val="en-US" w:eastAsia="zh-CN"/>
              </w:rPr>
            </w:pPr>
            <w:r>
              <w:rPr>
                <w:rFonts w:hint="eastAsia" w:ascii="方正书宋_GBK" w:eastAsia="方正书宋_GBK"/>
                <w:b w:val="0"/>
                <w:bCs/>
                <w:lang w:val="en-US" w:eastAsia="zh-CN"/>
              </w:rPr>
              <w:t>时效指标</w:t>
            </w:r>
          </w:p>
        </w:tc>
        <w:tc>
          <w:tcPr>
            <w:tcW w:w="747"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b w:val="0"/>
                <w:bCs/>
                <w:lang w:val="en-US" w:eastAsia="zh-CN"/>
              </w:rPr>
            </w:pPr>
            <w:r>
              <w:rPr>
                <w:rFonts w:hint="eastAsia" w:ascii="仿宋_GB2312" w:hAnsi="仿宋_GB2312" w:eastAsia="仿宋_GB2312" w:cs="仿宋_GB2312"/>
                <w:b w:val="0"/>
                <w:bCs/>
                <w:lang w:val="en-US" w:eastAsia="zh-CN"/>
              </w:rPr>
              <w:t>学校的各项工作任务及时完成情况</w:t>
            </w:r>
          </w:p>
        </w:tc>
        <w:tc>
          <w:tcPr>
            <w:tcW w:w="81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b w:val="0"/>
                <w:bCs/>
                <w:lang w:val="en-US" w:eastAsia="zh-CN"/>
              </w:rPr>
            </w:pPr>
            <w:r>
              <w:rPr>
                <w:rFonts w:hint="eastAsia" w:ascii="仿宋_GB2312" w:hAnsi="仿宋_GB2312" w:eastAsia="仿宋_GB2312" w:cs="仿宋_GB2312"/>
                <w:b w:val="0"/>
                <w:bCs/>
                <w:lang w:val="en-US" w:eastAsia="zh-CN"/>
              </w:rPr>
              <w:t>幼儿园的各项工作任务及时完成情况</w:t>
            </w:r>
          </w:p>
        </w:tc>
        <w:tc>
          <w:tcPr>
            <w:tcW w:w="1236"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b w:val="0"/>
                <w:bCs/>
                <w:lang w:val="en-US" w:eastAsia="zh-CN"/>
              </w:rPr>
            </w:pPr>
            <w:r>
              <w:rPr>
                <w:rFonts w:hint="eastAsia" w:ascii="仿宋_GB2312" w:hAnsi="仿宋_GB2312" w:eastAsia="仿宋_GB2312" w:cs="仿宋_GB2312"/>
                <w:b w:val="0"/>
                <w:bCs/>
                <w:lang w:val="en-US" w:eastAsia="zh-CN"/>
              </w:rPr>
              <w:t>10分及时完成得满分，否则不得分</w:t>
            </w:r>
          </w:p>
        </w:tc>
        <w:tc>
          <w:tcPr>
            <w:tcW w:w="235"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b w:val="0"/>
                <w:bCs/>
                <w:lang w:val="en-US" w:eastAsia="zh-CN"/>
              </w:rPr>
            </w:pPr>
            <w:r>
              <w:rPr>
                <w:rFonts w:hint="eastAsia" w:ascii="仿宋_GB2312" w:hAnsi="仿宋_GB2312" w:eastAsia="仿宋_GB2312" w:cs="仿宋_GB2312"/>
                <w:b w:val="0"/>
                <w:bCs/>
                <w:lang w:val="en-US" w:eastAsia="zh-CN"/>
              </w:rPr>
              <w:t>文字描述</w:t>
            </w:r>
          </w:p>
        </w:tc>
        <w:tc>
          <w:tcPr>
            <w:tcW w:w="191"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b w:val="0"/>
                <w:bCs/>
                <w:lang w:val="en-US" w:eastAsia="zh-CN"/>
              </w:rPr>
            </w:pPr>
          </w:p>
        </w:tc>
        <w:tc>
          <w:tcPr>
            <w:tcW w:w="474"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b w:val="0"/>
                <w:bCs/>
                <w:lang w:val="en-US" w:eastAsia="zh-CN"/>
              </w:rPr>
            </w:pPr>
            <w:r>
              <w:rPr>
                <w:rFonts w:hint="eastAsia" w:ascii="仿宋_GB2312" w:hAnsi="仿宋_GB2312" w:eastAsia="仿宋_GB2312" w:cs="仿宋_GB2312"/>
                <w:b w:val="0"/>
                <w:bCs/>
                <w:lang w:val="en-US" w:eastAsia="zh-CN"/>
              </w:rPr>
              <w:t>及时</w:t>
            </w:r>
          </w:p>
        </w:tc>
        <w:tc>
          <w:tcPr>
            <w:tcW w:w="422"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b w:val="0"/>
                <w:bCs/>
                <w:lang w:val="en-US" w:eastAsia="zh-CN"/>
              </w:rPr>
            </w:pPr>
            <w:r>
              <w:rPr>
                <w:rFonts w:hint="eastAsia" w:ascii="仿宋_GB2312" w:hAnsi="仿宋_GB2312" w:eastAsia="仿宋_GB2312" w:cs="仿宋_GB2312"/>
                <w:b w:val="0"/>
                <w:bCs/>
                <w:lang w:val="en-US" w:eastAsia="zh-CN"/>
              </w:rPr>
              <w:t>年初工作计划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0" w:hRule="atLeast"/>
          <w:jc w:val="center"/>
        </w:trPr>
        <w:tc>
          <w:tcPr>
            <w:tcW w:w="231" w:type="pct"/>
            <w:tcBorders>
              <w:tl2br w:val="nil"/>
              <w:tr2bl w:val="nil"/>
            </w:tcBorders>
            <w:shd w:val="clear" w:color="auto" w:fill="auto"/>
            <w:noWrap/>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书宋_GBK" w:eastAsia="方正书宋_GBK"/>
                <w:b w:val="0"/>
                <w:bCs/>
                <w:lang w:val="en-US" w:eastAsia="zh-CN"/>
              </w:rPr>
            </w:pPr>
            <w:r>
              <w:rPr>
                <w:rFonts w:hint="eastAsia" w:ascii="方正书宋_GBK" w:eastAsia="方正书宋_GBK"/>
                <w:b w:val="0"/>
                <w:bCs/>
                <w:lang w:val="en-US" w:eastAsia="zh-CN"/>
              </w:rPr>
              <w:t>5</w:t>
            </w:r>
          </w:p>
        </w:tc>
        <w:tc>
          <w:tcPr>
            <w:tcW w:w="240"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方正书宋_GBK" w:eastAsia="方正书宋_GBK"/>
                <w:b w:val="0"/>
                <w:bCs/>
                <w:lang w:val="en-US" w:eastAsia="zh-CN"/>
              </w:rPr>
            </w:pPr>
          </w:p>
        </w:tc>
        <w:tc>
          <w:tcPr>
            <w:tcW w:w="402"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方正书宋_GBK" w:eastAsia="方正书宋_GBK"/>
                <w:b w:val="0"/>
                <w:bCs/>
                <w:lang w:val="en-US" w:eastAsia="zh-CN"/>
              </w:rPr>
            </w:pPr>
            <w:r>
              <w:rPr>
                <w:rFonts w:hint="eastAsia" w:ascii="方正书宋_GBK" w:eastAsia="方正书宋_GBK"/>
                <w:b w:val="0"/>
                <w:bCs/>
                <w:lang w:val="en-US" w:eastAsia="zh-CN"/>
              </w:rPr>
              <w:t>成本指标</w:t>
            </w:r>
          </w:p>
        </w:tc>
        <w:tc>
          <w:tcPr>
            <w:tcW w:w="747"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b w:val="0"/>
                <w:bCs/>
                <w:lang w:val="en-US" w:eastAsia="zh-CN"/>
              </w:rPr>
            </w:pPr>
            <w:r>
              <w:rPr>
                <w:rFonts w:hint="eastAsia" w:ascii="仿宋_GB2312" w:hAnsi="仿宋_GB2312" w:eastAsia="仿宋_GB2312" w:cs="仿宋_GB2312"/>
                <w:b w:val="0"/>
                <w:bCs/>
                <w:lang w:val="en-US" w:eastAsia="zh-CN"/>
              </w:rPr>
              <w:t>教育经费使用控制率</w:t>
            </w:r>
          </w:p>
        </w:tc>
        <w:tc>
          <w:tcPr>
            <w:tcW w:w="81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b w:val="0"/>
                <w:bCs/>
                <w:lang w:val="en-US" w:eastAsia="zh-CN"/>
              </w:rPr>
            </w:pPr>
            <w:r>
              <w:rPr>
                <w:rFonts w:hint="eastAsia" w:ascii="仿宋_GB2312" w:hAnsi="仿宋_GB2312" w:eastAsia="仿宋_GB2312" w:cs="仿宋_GB2312"/>
                <w:b w:val="0"/>
                <w:bCs/>
                <w:lang w:val="en-US" w:eastAsia="zh-CN"/>
              </w:rPr>
              <w:t>支出的公用经费总额与预算安排的比率</w:t>
            </w:r>
          </w:p>
        </w:tc>
        <w:tc>
          <w:tcPr>
            <w:tcW w:w="1236"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b w:val="0"/>
                <w:bCs/>
                <w:lang w:val="en-US" w:eastAsia="zh-CN"/>
              </w:rPr>
            </w:pPr>
            <w:r>
              <w:rPr>
                <w:rFonts w:hint="eastAsia" w:ascii="仿宋_GB2312" w:hAnsi="仿宋_GB2312" w:eastAsia="仿宋_GB2312" w:cs="仿宋_GB2312"/>
                <w:b w:val="0"/>
                <w:bCs/>
                <w:lang w:val="en-US" w:eastAsia="zh-CN"/>
              </w:rPr>
              <w:t>10分教育经费决算数不大于调整预算数得满分，否则不得分。</w:t>
            </w:r>
          </w:p>
        </w:tc>
        <w:tc>
          <w:tcPr>
            <w:tcW w:w="235"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b w:val="0"/>
                <w:bCs/>
                <w:lang w:val="en-US" w:eastAsia="zh-CN"/>
              </w:rPr>
            </w:pPr>
            <w:r>
              <w:rPr>
                <w:rFonts w:hint="eastAsia" w:ascii="仿宋_GB2312" w:hAnsi="仿宋_GB2312" w:eastAsia="仿宋_GB2312" w:cs="仿宋_GB2312"/>
                <w:b w:val="0"/>
                <w:bCs/>
                <w:lang w:val="en-US" w:eastAsia="zh-CN"/>
              </w:rPr>
              <w:t>文字描述</w:t>
            </w:r>
          </w:p>
        </w:tc>
        <w:tc>
          <w:tcPr>
            <w:tcW w:w="191"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b w:val="0"/>
                <w:bCs/>
                <w:lang w:val="en-US" w:eastAsia="zh-CN"/>
              </w:rPr>
            </w:pPr>
          </w:p>
        </w:tc>
        <w:tc>
          <w:tcPr>
            <w:tcW w:w="474"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b w:val="0"/>
                <w:bCs/>
                <w:lang w:val="en-US" w:eastAsia="zh-CN"/>
              </w:rPr>
            </w:pPr>
            <w:r>
              <w:rPr>
                <w:rFonts w:hint="eastAsia" w:ascii="仿宋_GB2312" w:hAnsi="仿宋_GB2312" w:eastAsia="仿宋_GB2312" w:cs="仿宋_GB2312"/>
                <w:b w:val="0"/>
                <w:bCs/>
                <w:lang w:val="en-US" w:eastAsia="zh-CN"/>
              </w:rPr>
              <w:t>教育经费决算数不大于调整预算数</w:t>
            </w:r>
          </w:p>
        </w:tc>
        <w:tc>
          <w:tcPr>
            <w:tcW w:w="422"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b w:val="0"/>
                <w:bCs/>
                <w:lang w:val="en-US" w:eastAsia="zh-CN"/>
              </w:rPr>
            </w:pPr>
            <w:r>
              <w:rPr>
                <w:rFonts w:hint="eastAsia" w:ascii="仿宋_GB2312" w:hAnsi="仿宋_GB2312" w:eastAsia="仿宋_GB2312" w:cs="仿宋_GB2312"/>
                <w:b w:val="0"/>
                <w:bCs/>
                <w:lang w:val="en-US" w:eastAsia="zh-CN"/>
              </w:rPr>
              <w:t>实际工作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0" w:hRule="atLeast"/>
          <w:jc w:val="center"/>
        </w:trPr>
        <w:tc>
          <w:tcPr>
            <w:tcW w:w="231" w:type="pct"/>
            <w:tcBorders>
              <w:tl2br w:val="nil"/>
              <w:tr2bl w:val="nil"/>
            </w:tcBorders>
            <w:shd w:val="clear" w:color="auto" w:fill="auto"/>
            <w:noWrap/>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书宋_GBK" w:eastAsia="方正书宋_GBK"/>
                <w:b w:val="0"/>
                <w:bCs/>
                <w:lang w:val="en-US" w:eastAsia="zh-CN"/>
              </w:rPr>
            </w:pPr>
            <w:r>
              <w:rPr>
                <w:rFonts w:hint="eastAsia" w:ascii="方正书宋_GBK" w:eastAsia="方正书宋_GBK"/>
                <w:b w:val="0"/>
                <w:bCs/>
                <w:lang w:val="en-US" w:eastAsia="zh-CN"/>
              </w:rPr>
              <w:t>6</w:t>
            </w:r>
          </w:p>
        </w:tc>
        <w:tc>
          <w:tcPr>
            <w:tcW w:w="240"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方正书宋_GBK" w:eastAsia="方正书宋_GBK"/>
                <w:b w:val="0"/>
                <w:bCs/>
                <w:lang w:val="en-US" w:eastAsia="zh-CN"/>
              </w:rPr>
            </w:pPr>
            <w:r>
              <w:rPr>
                <w:rFonts w:hint="eastAsia" w:ascii="方正书宋_GBK" w:eastAsia="方正书宋_GBK"/>
                <w:b w:val="0"/>
                <w:bCs/>
                <w:lang w:val="en-US" w:eastAsia="zh-CN"/>
              </w:rPr>
              <w:t>效益指标</w:t>
            </w:r>
          </w:p>
        </w:tc>
        <w:tc>
          <w:tcPr>
            <w:tcW w:w="402"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方正书宋_GBK" w:eastAsia="方正书宋_GBK"/>
                <w:b w:val="0"/>
                <w:bCs/>
                <w:lang w:val="en-US" w:eastAsia="zh-CN"/>
              </w:rPr>
            </w:pPr>
            <w:r>
              <w:rPr>
                <w:rFonts w:hint="eastAsia" w:ascii="方正书宋_GBK" w:eastAsia="方正书宋_GBK"/>
                <w:b w:val="0"/>
                <w:bCs/>
                <w:lang w:val="en-US" w:eastAsia="zh-CN"/>
              </w:rPr>
              <w:t>社会效益指标</w:t>
            </w:r>
          </w:p>
        </w:tc>
        <w:tc>
          <w:tcPr>
            <w:tcW w:w="747"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b w:val="0"/>
                <w:bCs/>
                <w:lang w:val="en-US" w:eastAsia="zh-CN"/>
              </w:rPr>
            </w:pPr>
            <w:r>
              <w:rPr>
                <w:rFonts w:hint="eastAsia" w:ascii="仿宋_GB2312" w:hAnsi="仿宋_GB2312" w:eastAsia="仿宋_GB2312" w:cs="仿宋_GB2312"/>
                <w:b w:val="0"/>
                <w:bCs/>
                <w:lang w:val="en-US" w:eastAsia="zh-CN"/>
              </w:rPr>
              <w:t>学前教育教育高质量发展</w:t>
            </w:r>
          </w:p>
        </w:tc>
        <w:tc>
          <w:tcPr>
            <w:tcW w:w="81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b w:val="0"/>
                <w:bCs/>
                <w:lang w:val="en-US" w:eastAsia="zh-CN"/>
              </w:rPr>
            </w:pPr>
            <w:r>
              <w:rPr>
                <w:rFonts w:hint="eastAsia" w:ascii="仿宋_GB2312" w:hAnsi="仿宋_GB2312" w:eastAsia="仿宋_GB2312" w:cs="仿宋_GB2312"/>
                <w:b w:val="0"/>
                <w:bCs/>
                <w:lang w:val="en-US" w:eastAsia="zh-CN"/>
              </w:rPr>
              <w:t>推动学前教育从数量扩张向质量提高转变</w:t>
            </w:r>
          </w:p>
        </w:tc>
        <w:tc>
          <w:tcPr>
            <w:tcW w:w="1236"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b w:val="0"/>
                <w:bCs/>
                <w:lang w:val="en-US" w:eastAsia="zh-CN"/>
              </w:rPr>
            </w:pPr>
            <w:r>
              <w:rPr>
                <w:rFonts w:hint="eastAsia" w:ascii="仿宋_GB2312" w:hAnsi="仿宋_GB2312" w:eastAsia="仿宋_GB2312" w:cs="仿宋_GB2312"/>
                <w:b w:val="0"/>
                <w:bCs/>
                <w:lang w:val="en-US" w:eastAsia="zh-CN"/>
              </w:rPr>
              <w:t>10分学生、家长、社会对学校整体满意度达到95%得满分，每降低1%扣1分，扣完为止。</w:t>
            </w:r>
          </w:p>
        </w:tc>
        <w:tc>
          <w:tcPr>
            <w:tcW w:w="235"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b w:val="0"/>
                <w:bCs/>
                <w:lang w:val="en-US" w:eastAsia="zh-CN"/>
              </w:rPr>
            </w:pPr>
            <w:r>
              <w:rPr>
                <w:rFonts w:hint="eastAsia" w:ascii="仿宋_GB2312" w:hAnsi="仿宋_GB2312" w:eastAsia="仿宋_GB2312" w:cs="仿宋_GB2312"/>
                <w:b w:val="0"/>
                <w:bCs/>
                <w:lang w:val="en-US" w:eastAsia="zh-CN"/>
              </w:rPr>
              <w:t>≥</w:t>
            </w:r>
          </w:p>
        </w:tc>
        <w:tc>
          <w:tcPr>
            <w:tcW w:w="191"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b w:val="0"/>
                <w:bCs/>
                <w:lang w:val="en-US" w:eastAsia="zh-CN"/>
              </w:rPr>
            </w:pPr>
            <w:r>
              <w:rPr>
                <w:rFonts w:hint="eastAsia" w:ascii="仿宋_GB2312" w:hAnsi="仿宋_GB2312" w:eastAsia="仿宋_GB2312" w:cs="仿宋_GB2312"/>
                <w:b w:val="0"/>
                <w:bCs/>
                <w:lang w:val="en-US" w:eastAsia="zh-CN"/>
              </w:rPr>
              <w:t>95</w:t>
            </w:r>
          </w:p>
        </w:tc>
        <w:tc>
          <w:tcPr>
            <w:tcW w:w="474"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b w:val="0"/>
                <w:bCs/>
                <w:lang w:val="en-US" w:eastAsia="zh-CN"/>
              </w:rPr>
            </w:pPr>
            <w:r>
              <w:rPr>
                <w:rFonts w:hint="eastAsia" w:ascii="仿宋_GB2312" w:hAnsi="仿宋_GB2312" w:eastAsia="仿宋_GB2312" w:cs="仿宋_GB2312"/>
                <w:b w:val="0"/>
                <w:bCs/>
                <w:lang w:val="en-US" w:eastAsia="zh-CN"/>
              </w:rPr>
              <w:t>%</w:t>
            </w:r>
          </w:p>
        </w:tc>
        <w:tc>
          <w:tcPr>
            <w:tcW w:w="422"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b w:val="0"/>
                <w:bCs/>
                <w:lang w:val="en-US" w:eastAsia="zh-CN"/>
              </w:rPr>
            </w:pPr>
            <w:r>
              <w:rPr>
                <w:rFonts w:hint="eastAsia" w:ascii="仿宋_GB2312" w:hAnsi="仿宋_GB2312" w:eastAsia="仿宋_GB2312" w:cs="仿宋_GB2312"/>
                <w:b w:val="0"/>
                <w:bCs/>
                <w:lang w:val="en-US" w:eastAsia="zh-CN"/>
              </w:rPr>
              <w:t>部门职责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0" w:hRule="atLeast"/>
          <w:jc w:val="center"/>
        </w:trPr>
        <w:tc>
          <w:tcPr>
            <w:tcW w:w="231" w:type="pct"/>
            <w:tcBorders>
              <w:tl2br w:val="nil"/>
              <w:tr2bl w:val="nil"/>
            </w:tcBorders>
            <w:shd w:val="clear" w:color="auto" w:fill="auto"/>
            <w:noWrap/>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方正书宋_GBK" w:eastAsia="方正书宋_GBK"/>
                <w:b w:val="0"/>
                <w:bCs/>
                <w:lang w:val="en-US" w:eastAsia="zh-CN"/>
              </w:rPr>
            </w:pPr>
            <w:r>
              <w:rPr>
                <w:rFonts w:hint="eastAsia" w:ascii="方正书宋_GBK" w:eastAsia="方正书宋_GBK"/>
                <w:b w:val="0"/>
                <w:bCs/>
                <w:lang w:val="en-US" w:eastAsia="zh-CN"/>
              </w:rPr>
              <w:t>7</w:t>
            </w:r>
          </w:p>
        </w:tc>
        <w:tc>
          <w:tcPr>
            <w:tcW w:w="240" w:type="pct"/>
            <w:vMerge w:val="restar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方正书宋_GBK" w:eastAsia="方正书宋_GBK"/>
                <w:b w:val="0"/>
                <w:bCs/>
                <w:lang w:val="en-US" w:eastAsia="zh-CN"/>
              </w:rPr>
            </w:pPr>
            <w:r>
              <w:rPr>
                <w:rFonts w:hint="eastAsia" w:ascii="方正书宋_GBK" w:eastAsia="方正书宋_GBK"/>
                <w:b w:val="0"/>
                <w:bCs/>
                <w:lang w:val="en-US" w:eastAsia="zh-CN"/>
              </w:rPr>
              <w:t>满意度指标</w:t>
            </w:r>
          </w:p>
        </w:tc>
        <w:tc>
          <w:tcPr>
            <w:tcW w:w="402"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方正书宋_GBK" w:eastAsia="方正书宋_GBK"/>
                <w:b w:val="0"/>
                <w:bCs/>
                <w:lang w:val="en-US" w:eastAsia="zh-CN"/>
              </w:rPr>
            </w:pPr>
            <w:r>
              <w:rPr>
                <w:rFonts w:hint="eastAsia" w:ascii="方正书宋_GBK" w:eastAsia="方正书宋_GBK"/>
                <w:b w:val="0"/>
                <w:bCs/>
                <w:lang w:val="en-US" w:eastAsia="zh-CN"/>
              </w:rPr>
              <w:t>服务对象满意度指标</w:t>
            </w:r>
          </w:p>
        </w:tc>
        <w:tc>
          <w:tcPr>
            <w:tcW w:w="747"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b w:val="0"/>
                <w:bCs/>
                <w:lang w:val="en-US" w:eastAsia="zh-CN"/>
              </w:rPr>
            </w:pPr>
            <w:r>
              <w:rPr>
                <w:rFonts w:hint="eastAsia" w:ascii="仿宋_GB2312" w:hAnsi="仿宋_GB2312" w:eastAsia="仿宋_GB2312" w:cs="仿宋_GB2312"/>
                <w:b w:val="0"/>
                <w:bCs/>
                <w:lang w:val="en-US" w:eastAsia="zh-CN"/>
              </w:rPr>
              <w:t>在校师生的满意程度</w:t>
            </w:r>
          </w:p>
        </w:tc>
        <w:tc>
          <w:tcPr>
            <w:tcW w:w="81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b w:val="0"/>
                <w:bCs/>
                <w:lang w:val="en-US" w:eastAsia="zh-CN"/>
              </w:rPr>
            </w:pPr>
            <w:r>
              <w:rPr>
                <w:rFonts w:hint="eastAsia" w:ascii="仿宋_GB2312" w:hAnsi="仿宋_GB2312" w:eastAsia="仿宋_GB2312" w:cs="仿宋_GB2312"/>
                <w:b w:val="0"/>
                <w:bCs/>
                <w:lang w:val="en-US" w:eastAsia="zh-CN"/>
              </w:rPr>
              <w:t>在校师幼儿的满意程度</w:t>
            </w:r>
          </w:p>
        </w:tc>
        <w:tc>
          <w:tcPr>
            <w:tcW w:w="1236"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b w:val="0"/>
                <w:bCs/>
                <w:lang w:val="en-US" w:eastAsia="zh-CN"/>
              </w:rPr>
            </w:pPr>
            <w:r>
              <w:rPr>
                <w:rFonts w:hint="eastAsia" w:ascii="仿宋_GB2312" w:hAnsi="仿宋_GB2312" w:eastAsia="仿宋_GB2312" w:cs="仿宋_GB2312"/>
                <w:b w:val="0"/>
                <w:bCs/>
                <w:lang w:val="en-US" w:eastAsia="zh-CN"/>
              </w:rPr>
              <w:t>10分在校师生的满意度达到95%得满分，每降低1%扣1分，扣完为止。</w:t>
            </w:r>
          </w:p>
        </w:tc>
        <w:tc>
          <w:tcPr>
            <w:tcW w:w="235"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b w:val="0"/>
                <w:bCs/>
                <w:lang w:val="en-US" w:eastAsia="zh-CN"/>
              </w:rPr>
            </w:pPr>
            <w:r>
              <w:rPr>
                <w:rFonts w:hint="eastAsia" w:ascii="仿宋_GB2312" w:hAnsi="仿宋_GB2312" w:eastAsia="仿宋_GB2312" w:cs="仿宋_GB2312"/>
                <w:b w:val="0"/>
                <w:bCs/>
                <w:lang w:val="en-US" w:eastAsia="zh-CN"/>
              </w:rPr>
              <w:t>≥</w:t>
            </w:r>
          </w:p>
        </w:tc>
        <w:tc>
          <w:tcPr>
            <w:tcW w:w="191"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b w:val="0"/>
                <w:bCs/>
                <w:lang w:val="en-US" w:eastAsia="zh-CN"/>
              </w:rPr>
            </w:pPr>
            <w:r>
              <w:rPr>
                <w:rFonts w:hint="eastAsia" w:ascii="仿宋_GB2312" w:hAnsi="仿宋_GB2312" w:eastAsia="仿宋_GB2312" w:cs="仿宋_GB2312"/>
                <w:b w:val="0"/>
                <w:bCs/>
                <w:lang w:val="en-US" w:eastAsia="zh-CN"/>
              </w:rPr>
              <w:t>95</w:t>
            </w:r>
          </w:p>
        </w:tc>
        <w:tc>
          <w:tcPr>
            <w:tcW w:w="474"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b w:val="0"/>
                <w:bCs/>
                <w:lang w:val="en-US" w:eastAsia="zh-CN"/>
              </w:rPr>
            </w:pPr>
            <w:r>
              <w:rPr>
                <w:rFonts w:hint="eastAsia" w:ascii="仿宋_GB2312" w:hAnsi="仿宋_GB2312" w:eastAsia="仿宋_GB2312" w:cs="仿宋_GB2312"/>
                <w:b w:val="0"/>
                <w:bCs/>
                <w:lang w:val="en-US" w:eastAsia="zh-CN"/>
              </w:rPr>
              <w:t>%</w:t>
            </w:r>
          </w:p>
        </w:tc>
        <w:tc>
          <w:tcPr>
            <w:tcW w:w="422"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b w:val="0"/>
                <w:bCs/>
                <w:lang w:val="en-US" w:eastAsia="zh-CN"/>
              </w:rPr>
            </w:pPr>
            <w:r>
              <w:rPr>
                <w:rFonts w:hint="eastAsia" w:ascii="仿宋_GB2312" w:hAnsi="仿宋_GB2312" w:eastAsia="仿宋_GB2312" w:cs="仿宋_GB2312"/>
                <w:b w:val="0"/>
                <w:bCs/>
                <w:lang w:val="en-US" w:eastAsia="zh-CN"/>
              </w:rPr>
              <w:t>调查问卷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0" w:hRule="atLeast"/>
          <w:jc w:val="center"/>
        </w:trPr>
        <w:tc>
          <w:tcPr>
            <w:tcW w:w="231" w:type="pct"/>
            <w:tcBorders>
              <w:tl2br w:val="nil"/>
              <w:tr2bl w:val="nil"/>
            </w:tcBorders>
            <w:shd w:val="clear" w:color="auto" w:fill="auto"/>
            <w:noWrap/>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书宋_GBK" w:eastAsia="方正书宋_GBK"/>
                <w:b w:val="0"/>
                <w:bCs/>
                <w:lang w:val="en-US" w:eastAsia="zh-CN"/>
              </w:rPr>
            </w:pPr>
            <w:r>
              <w:rPr>
                <w:rFonts w:hint="eastAsia" w:ascii="方正书宋_GBK" w:eastAsia="方正书宋_GBK"/>
                <w:b w:val="0"/>
                <w:bCs/>
                <w:lang w:val="en-US" w:eastAsia="zh-CN"/>
              </w:rPr>
              <w:t>8</w:t>
            </w:r>
          </w:p>
        </w:tc>
        <w:tc>
          <w:tcPr>
            <w:tcW w:w="240"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方正书宋_GBK" w:eastAsia="方正书宋_GBK"/>
                <w:b w:val="0"/>
                <w:bCs/>
                <w:lang w:val="en-US" w:eastAsia="zh-CN"/>
              </w:rPr>
            </w:pPr>
          </w:p>
        </w:tc>
        <w:tc>
          <w:tcPr>
            <w:tcW w:w="402"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方正书宋_GBK" w:eastAsia="方正书宋_GBK"/>
                <w:b w:val="0"/>
                <w:bCs/>
                <w:lang w:val="en-US" w:eastAsia="zh-CN"/>
              </w:rPr>
            </w:pPr>
            <w:r>
              <w:rPr>
                <w:rFonts w:hint="eastAsia" w:ascii="方正书宋_GBK" w:eastAsia="方正书宋_GBK"/>
                <w:b w:val="0"/>
                <w:bCs/>
                <w:lang w:val="en-US" w:eastAsia="zh-CN"/>
              </w:rPr>
              <w:t>服务对象满意度指标</w:t>
            </w:r>
          </w:p>
        </w:tc>
        <w:tc>
          <w:tcPr>
            <w:tcW w:w="747"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b w:val="0"/>
                <w:bCs/>
                <w:lang w:val="en-US" w:eastAsia="zh-CN"/>
              </w:rPr>
            </w:pPr>
            <w:r>
              <w:rPr>
                <w:rFonts w:hint="eastAsia" w:ascii="仿宋_GB2312" w:hAnsi="仿宋_GB2312" w:eastAsia="仿宋_GB2312" w:cs="仿宋_GB2312"/>
                <w:b w:val="0"/>
                <w:bCs/>
                <w:lang w:val="en-US" w:eastAsia="zh-CN"/>
              </w:rPr>
              <w:t>家长的满意程度</w:t>
            </w:r>
          </w:p>
        </w:tc>
        <w:tc>
          <w:tcPr>
            <w:tcW w:w="81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b w:val="0"/>
                <w:bCs/>
                <w:lang w:val="en-US" w:eastAsia="zh-CN"/>
              </w:rPr>
            </w:pPr>
            <w:r>
              <w:rPr>
                <w:rFonts w:hint="eastAsia" w:ascii="仿宋_GB2312" w:hAnsi="仿宋_GB2312" w:eastAsia="仿宋_GB2312" w:cs="仿宋_GB2312"/>
                <w:b w:val="0"/>
                <w:bCs/>
                <w:lang w:val="en-US" w:eastAsia="zh-CN"/>
              </w:rPr>
              <w:t>家长的满意程度</w:t>
            </w:r>
          </w:p>
        </w:tc>
        <w:tc>
          <w:tcPr>
            <w:tcW w:w="1236"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b w:val="0"/>
                <w:bCs/>
                <w:lang w:val="en-US" w:eastAsia="zh-CN"/>
              </w:rPr>
            </w:pPr>
            <w:r>
              <w:rPr>
                <w:rFonts w:hint="eastAsia" w:ascii="仿宋_GB2312" w:hAnsi="仿宋_GB2312" w:eastAsia="仿宋_GB2312" w:cs="仿宋_GB2312"/>
                <w:b w:val="0"/>
                <w:bCs/>
                <w:lang w:val="en-US" w:eastAsia="zh-CN"/>
              </w:rPr>
              <w:t>10分家长的满意度达到95%得满分，每降低1%扣1分，扣完为止。</w:t>
            </w:r>
          </w:p>
        </w:tc>
        <w:tc>
          <w:tcPr>
            <w:tcW w:w="235"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b w:val="0"/>
                <w:bCs/>
                <w:lang w:val="en-US" w:eastAsia="zh-CN"/>
              </w:rPr>
            </w:pPr>
            <w:r>
              <w:rPr>
                <w:rFonts w:hint="eastAsia" w:ascii="仿宋_GB2312" w:hAnsi="仿宋_GB2312" w:eastAsia="仿宋_GB2312" w:cs="仿宋_GB2312"/>
                <w:b w:val="0"/>
                <w:bCs/>
                <w:lang w:val="en-US" w:eastAsia="zh-CN"/>
              </w:rPr>
              <w:t>≥</w:t>
            </w:r>
          </w:p>
        </w:tc>
        <w:tc>
          <w:tcPr>
            <w:tcW w:w="191"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b w:val="0"/>
                <w:bCs/>
                <w:lang w:val="en-US" w:eastAsia="zh-CN"/>
              </w:rPr>
            </w:pPr>
            <w:r>
              <w:rPr>
                <w:rFonts w:hint="eastAsia" w:ascii="仿宋_GB2312" w:hAnsi="仿宋_GB2312" w:eastAsia="仿宋_GB2312" w:cs="仿宋_GB2312"/>
                <w:b w:val="0"/>
                <w:bCs/>
                <w:lang w:val="en-US" w:eastAsia="zh-CN"/>
              </w:rPr>
              <w:t>95</w:t>
            </w:r>
          </w:p>
        </w:tc>
        <w:tc>
          <w:tcPr>
            <w:tcW w:w="474"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b w:val="0"/>
                <w:bCs/>
                <w:lang w:val="en-US" w:eastAsia="zh-CN"/>
              </w:rPr>
            </w:pPr>
            <w:r>
              <w:rPr>
                <w:rFonts w:hint="eastAsia" w:ascii="仿宋_GB2312" w:hAnsi="仿宋_GB2312" w:eastAsia="仿宋_GB2312" w:cs="仿宋_GB2312"/>
                <w:b w:val="0"/>
                <w:bCs/>
                <w:lang w:val="en-US" w:eastAsia="zh-CN"/>
              </w:rPr>
              <w:t>%</w:t>
            </w:r>
          </w:p>
        </w:tc>
        <w:tc>
          <w:tcPr>
            <w:tcW w:w="422"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b w:val="0"/>
                <w:bCs/>
                <w:lang w:val="en-US" w:eastAsia="zh-CN"/>
              </w:rPr>
            </w:pPr>
            <w:r>
              <w:rPr>
                <w:rFonts w:hint="eastAsia" w:ascii="仿宋_GB2312" w:hAnsi="仿宋_GB2312" w:eastAsia="仿宋_GB2312" w:cs="仿宋_GB2312"/>
                <w:b w:val="0"/>
                <w:bCs/>
                <w:lang w:val="en-US" w:eastAsia="zh-CN"/>
              </w:rPr>
              <w:t>调查问卷</w:t>
            </w:r>
          </w:p>
        </w:tc>
      </w:tr>
    </w:tbl>
    <w:p>
      <w:pPr>
        <w:spacing w:line="240" w:lineRule="auto"/>
        <w:rPr>
          <w:rFonts w:ascii="仿宋_GB2312" w:eastAsia="仿宋_GB2312"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w:t>
      </w:r>
      <w:r>
        <w:rPr>
          <w:rFonts w:hint="eastAsia" w:ascii="Times New Roman" w:hAnsi="Times New Roman" w:eastAsia="黑体" w:cs="Times New Roman"/>
          <w:sz w:val="32"/>
          <w:szCs w:val="32"/>
          <w:lang w:val="en-US" w:eastAsia="zh-CN"/>
        </w:rPr>
        <w:t xml:space="preserve"> </w:t>
      </w:r>
      <w:r>
        <w:rPr>
          <w:rFonts w:hint="eastAsia" w:ascii="Times New Roman" w:hAnsi="Times New Roman" w:eastAsia="黑体" w:cs="Times New Roman"/>
          <w:sz w:val="32"/>
          <w:szCs w:val="32"/>
        </w:rPr>
        <w:t>资金绩效目标</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sz w:val="28"/>
          <w:szCs w:val="28"/>
          <w:lang w:val="en-US" w:eastAsia="zh-CN"/>
        </w:rPr>
      </w:pPr>
      <w:bookmarkStart w:id="0" w:name="_Toc_4_4_0000000004"/>
      <w:r>
        <w:rPr>
          <w:rFonts w:hint="eastAsia" w:ascii="仿宋_GB2312" w:hAnsi="仿宋_GB2312" w:eastAsia="仿宋_GB2312" w:cs="仿宋_GB2312"/>
          <w:b w:val="0"/>
          <w:bCs/>
          <w:sz w:val="28"/>
          <w:szCs w:val="28"/>
          <w:lang w:val="en-US" w:eastAsia="zh-CN"/>
        </w:rPr>
        <w:t>1.合同制教师人员经费绩效目标表</w:t>
      </w:r>
      <w:bookmarkEnd w:id="0"/>
    </w:p>
    <w:tbl>
      <w:tblPr>
        <w:tblStyle w:val="8"/>
        <w:tblW w:w="4996"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187"/>
        <w:gridCol w:w="2122"/>
        <w:gridCol w:w="2116"/>
        <w:gridCol w:w="3083"/>
        <w:gridCol w:w="3326"/>
        <w:gridCol w:w="2329"/>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19" w:type="pct"/>
            <w:vAlign w:val="center"/>
          </w:tcPr>
          <w:p>
            <w:pPr>
              <w:pStyle w:val="12"/>
              <w:keepNext w:val="0"/>
              <w:keepLines w:val="0"/>
              <w:pageBreakBefore w:val="0"/>
              <w:kinsoku/>
              <w:wordWrap/>
              <w:overflowPunct/>
              <w:topLinePunct w:val="0"/>
              <w:bidi w:val="0"/>
              <w:snapToGrid/>
              <w:spacing w:line="400" w:lineRule="exact"/>
              <w:rPr>
                <w:rFonts w:hint="eastAsia" w:ascii="仿宋_GB2312" w:hAnsi="仿宋_GB2312" w:eastAsia="仿宋_GB2312" w:cs="仿宋_GB2312"/>
              </w:rPr>
            </w:pPr>
            <w:r>
              <w:rPr>
                <w:rFonts w:hint="eastAsia" w:ascii="仿宋_GB2312" w:hAnsi="仿宋_GB2312" w:eastAsia="仿宋_GB2312" w:cs="仿宋_GB2312"/>
              </w:rPr>
              <w:t>绩效目标</w:t>
            </w:r>
          </w:p>
        </w:tc>
        <w:tc>
          <w:tcPr>
            <w:tcW w:w="4580" w:type="pct"/>
            <w:gridSpan w:val="5"/>
            <w:vAlign w:val="center"/>
          </w:tcPr>
          <w:p>
            <w:pPr>
              <w:pStyle w:val="14"/>
              <w:keepNext w:val="0"/>
              <w:keepLines w:val="0"/>
              <w:pageBreakBefore w:val="0"/>
              <w:kinsoku/>
              <w:wordWrap/>
              <w:overflowPunct/>
              <w:topLinePunct w:val="0"/>
              <w:bidi w:val="0"/>
              <w:snapToGrid/>
              <w:spacing w:line="400" w:lineRule="exact"/>
              <w:rPr>
                <w:rFonts w:hint="eastAsia" w:ascii="仿宋_GB2312" w:hAnsi="仿宋_GB2312" w:eastAsia="仿宋_GB2312" w:cs="仿宋_GB2312"/>
              </w:rPr>
            </w:pPr>
            <w:r>
              <w:rPr>
                <w:rFonts w:hint="eastAsia" w:ascii="仿宋_GB2312" w:hAnsi="仿宋_GB2312" w:eastAsia="仿宋_GB2312" w:cs="仿宋_GB2312"/>
              </w:rPr>
              <w:t>1.缓解教师短缺，保障教育教学正常的进行</w:t>
            </w:r>
          </w:p>
          <w:p>
            <w:pPr>
              <w:pStyle w:val="14"/>
              <w:keepNext w:val="0"/>
              <w:keepLines w:val="0"/>
              <w:pageBreakBefore w:val="0"/>
              <w:kinsoku/>
              <w:wordWrap/>
              <w:overflowPunct/>
              <w:topLinePunct w:val="0"/>
              <w:bidi w:val="0"/>
              <w:snapToGrid/>
              <w:spacing w:line="400" w:lineRule="exact"/>
              <w:rPr>
                <w:rFonts w:hint="eastAsia" w:ascii="仿宋_GB2312" w:hAnsi="仿宋_GB2312" w:eastAsia="仿宋_GB2312" w:cs="仿宋_GB2312"/>
              </w:rPr>
            </w:pPr>
            <w:r>
              <w:rPr>
                <w:rFonts w:hint="eastAsia" w:ascii="仿宋_GB2312" w:hAnsi="仿宋_GB2312" w:eastAsia="仿宋_GB2312" w:cs="仿宋_GB2312"/>
              </w:rPr>
              <w:t>2.保障教学质量，提升教育水平</w:t>
            </w:r>
          </w:p>
          <w:p>
            <w:pPr>
              <w:pStyle w:val="14"/>
              <w:keepNext w:val="0"/>
              <w:keepLines w:val="0"/>
              <w:pageBreakBefore w:val="0"/>
              <w:kinsoku/>
              <w:wordWrap/>
              <w:overflowPunct/>
              <w:topLinePunct w:val="0"/>
              <w:bidi w:val="0"/>
              <w:snapToGrid/>
              <w:spacing w:line="400" w:lineRule="exact"/>
              <w:rPr>
                <w:rFonts w:hint="eastAsia" w:ascii="仿宋_GB2312" w:hAnsi="仿宋_GB2312" w:eastAsia="仿宋_GB2312" w:cs="仿宋_GB2312"/>
              </w:rPr>
            </w:pPr>
            <w:r>
              <w:rPr>
                <w:rFonts w:hint="eastAsia" w:ascii="仿宋_GB2312" w:hAnsi="仿宋_GB2312" w:eastAsia="仿宋_GB2312" w:cs="仿宋_GB2312"/>
              </w:rPr>
              <w:t>3.保障合同制教师工资福利待遇，并及时发放。</w:t>
            </w:r>
          </w:p>
          <w:p>
            <w:pPr>
              <w:pStyle w:val="14"/>
              <w:keepNext w:val="0"/>
              <w:keepLines w:val="0"/>
              <w:pageBreakBefore w:val="0"/>
              <w:kinsoku/>
              <w:wordWrap/>
              <w:overflowPunct/>
              <w:topLinePunct w:val="0"/>
              <w:bidi w:val="0"/>
              <w:snapToGrid/>
              <w:spacing w:line="400" w:lineRule="exact"/>
              <w:rPr>
                <w:rFonts w:hint="eastAsia" w:ascii="仿宋_GB2312" w:hAnsi="仿宋_GB2312" w:eastAsia="仿宋_GB2312" w:cs="仿宋_GB2312"/>
              </w:rPr>
            </w:pPr>
            <w:r>
              <w:rPr>
                <w:rFonts w:hint="eastAsia" w:ascii="仿宋_GB2312" w:hAnsi="仿宋_GB2312" w:eastAsia="仿宋_GB2312" w:cs="仿宋_GB2312"/>
              </w:rPr>
              <w:t>4.学生、学校、家长对合同制教师的满意度达到95%以上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419" w:type="pct"/>
            <w:vAlign w:val="center"/>
          </w:tcPr>
          <w:p>
            <w:pPr>
              <w:pStyle w:val="12"/>
              <w:keepNext w:val="0"/>
              <w:keepLines w:val="0"/>
              <w:pageBreakBefore w:val="0"/>
              <w:kinsoku/>
              <w:wordWrap/>
              <w:overflowPunct/>
              <w:topLinePunct w:val="0"/>
              <w:bidi w:val="0"/>
              <w:snapToGrid/>
              <w:spacing w:line="400" w:lineRule="exact"/>
              <w:rPr>
                <w:rFonts w:hint="eastAsia" w:ascii="仿宋_GB2312" w:hAnsi="仿宋_GB2312" w:eastAsia="仿宋_GB2312" w:cs="仿宋_GB2312"/>
              </w:rPr>
            </w:pPr>
            <w:r>
              <w:rPr>
                <w:rFonts w:hint="eastAsia" w:ascii="仿宋_GB2312" w:hAnsi="仿宋_GB2312" w:eastAsia="仿宋_GB2312" w:cs="仿宋_GB2312"/>
              </w:rPr>
              <w:t>一级指标</w:t>
            </w:r>
          </w:p>
        </w:tc>
        <w:tc>
          <w:tcPr>
            <w:tcW w:w="749" w:type="pct"/>
            <w:vAlign w:val="center"/>
          </w:tcPr>
          <w:p>
            <w:pPr>
              <w:pStyle w:val="12"/>
              <w:keepNext w:val="0"/>
              <w:keepLines w:val="0"/>
              <w:pageBreakBefore w:val="0"/>
              <w:kinsoku/>
              <w:wordWrap/>
              <w:overflowPunct/>
              <w:topLinePunct w:val="0"/>
              <w:bidi w:val="0"/>
              <w:snapToGrid/>
              <w:spacing w:line="400" w:lineRule="exact"/>
              <w:rPr>
                <w:rFonts w:hint="eastAsia" w:ascii="仿宋_GB2312" w:hAnsi="仿宋_GB2312" w:eastAsia="仿宋_GB2312" w:cs="仿宋_GB2312"/>
              </w:rPr>
            </w:pPr>
            <w:r>
              <w:rPr>
                <w:rFonts w:hint="eastAsia" w:ascii="仿宋_GB2312" w:hAnsi="仿宋_GB2312" w:eastAsia="仿宋_GB2312" w:cs="仿宋_GB2312"/>
              </w:rPr>
              <w:t>二级指标</w:t>
            </w:r>
          </w:p>
        </w:tc>
        <w:tc>
          <w:tcPr>
            <w:tcW w:w="747" w:type="pct"/>
            <w:vAlign w:val="center"/>
          </w:tcPr>
          <w:p>
            <w:pPr>
              <w:pStyle w:val="12"/>
              <w:keepNext w:val="0"/>
              <w:keepLines w:val="0"/>
              <w:pageBreakBefore w:val="0"/>
              <w:kinsoku/>
              <w:wordWrap/>
              <w:overflowPunct/>
              <w:topLinePunct w:val="0"/>
              <w:bidi w:val="0"/>
              <w:snapToGrid/>
              <w:spacing w:line="400" w:lineRule="exact"/>
              <w:rPr>
                <w:rFonts w:hint="eastAsia" w:ascii="仿宋_GB2312" w:hAnsi="仿宋_GB2312" w:eastAsia="仿宋_GB2312" w:cs="仿宋_GB2312"/>
              </w:rPr>
            </w:pPr>
            <w:r>
              <w:rPr>
                <w:rFonts w:hint="eastAsia" w:ascii="仿宋_GB2312" w:hAnsi="仿宋_GB2312" w:eastAsia="仿宋_GB2312" w:cs="仿宋_GB2312"/>
              </w:rPr>
              <w:t>三级指标</w:t>
            </w:r>
          </w:p>
        </w:tc>
        <w:tc>
          <w:tcPr>
            <w:tcW w:w="1088" w:type="pct"/>
            <w:vAlign w:val="center"/>
          </w:tcPr>
          <w:p>
            <w:pPr>
              <w:pStyle w:val="12"/>
              <w:keepNext w:val="0"/>
              <w:keepLines w:val="0"/>
              <w:pageBreakBefore w:val="0"/>
              <w:kinsoku/>
              <w:wordWrap/>
              <w:overflowPunct/>
              <w:topLinePunct w:val="0"/>
              <w:bidi w:val="0"/>
              <w:snapToGrid/>
              <w:spacing w:line="400" w:lineRule="exact"/>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1174" w:type="pct"/>
            <w:vAlign w:val="center"/>
          </w:tcPr>
          <w:p>
            <w:pPr>
              <w:pStyle w:val="12"/>
              <w:keepNext w:val="0"/>
              <w:keepLines w:val="0"/>
              <w:pageBreakBefore w:val="0"/>
              <w:kinsoku/>
              <w:wordWrap/>
              <w:overflowPunct/>
              <w:topLinePunct w:val="0"/>
              <w:bidi w:val="0"/>
              <w:snapToGrid/>
              <w:spacing w:line="400" w:lineRule="exact"/>
              <w:rPr>
                <w:rFonts w:hint="eastAsia" w:ascii="仿宋_GB2312" w:hAnsi="仿宋_GB2312" w:eastAsia="仿宋_GB2312" w:cs="仿宋_GB2312"/>
              </w:rPr>
            </w:pPr>
            <w:r>
              <w:rPr>
                <w:rFonts w:hint="eastAsia" w:ascii="仿宋_GB2312" w:hAnsi="仿宋_GB2312" w:eastAsia="仿宋_GB2312" w:cs="仿宋_GB2312"/>
              </w:rPr>
              <w:t>指标值</w:t>
            </w:r>
          </w:p>
        </w:tc>
        <w:tc>
          <w:tcPr>
            <w:tcW w:w="821" w:type="pct"/>
            <w:vAlign w:val="center"/>
          </w:tcPr>
          <w:p>
            <w:pPr>
              <w:pStyle w:val="12"/>
              <w:keepNext w:val="0"/>
              <w:keepLines w:val="0"/>
              <w:pageBreakBefore w:val="0"/>
              <w:kinsoku/>
              <w:wordWrap/>
              <w:overflowPunct/>
              <w:topLinePunct w:val="0"/>
              <w:bidi w:val="0"/>
              <w:snapToGrid/>
              <w:spacing w:line="400" w:lineRule="exact"/>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19" w:type="pct"/>
            <w:vMerge w:val="restart"/>
            <w:vAlign w:val="center"/>
          </w:tcPr>
          <w:p>
            <w:pPr>
              <w:pStyle w:val="15"/>
              <w:keepNext w:val="0"/>
              <w:keepLines w:val="0"/>
              <w:pageBreakBefore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rPr>
            </w:pPr>
            <w:r>
              <w:rPr>
                <w:rFonts w:hint="eastAsia" w:ascii="仿宋_GB2312" w:hAnsi="仿宋_GB2312" w:eastAsia="仿宋_GB2312" w:cs="仿宋_GB2312"/>
              </w:rPr>
              <w:t>产出指标</w:t>
            </w:r>
          </w:p>
        </w:tc>
        <w:tc>
          <w:tcPr>
            <w:tcW w:w="749" w:type="pct"/>
            <w:vAlign w:val="center"/>
          </w:tcPr>
          <w:p>
            <w:pPr>
              <w:pStyle w:val="14"/>
              <w:keepNext w:val="0"/>
              <w:keepLines w:val="0"/>
              <w:pageBreakBefore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rPr>
            </w:pPr>
            <w:r>
              <w:rPr>
                <w:rFonts w:hint="eastAsia" w:ascii="仿宋_GB2312" w:hAnsi="仿宋_GB2312" w:eastAsia="仿宋_GB2312" w:cs="仿宋_GB2312"/>
              </w:rPr>
              <w:t>数量指标</w:t>
            </w:r>
          </w:p>
        </w:tc>
        <w:tc>
          <w:tcPr>
            <w:tcW w:w="747" w:type="pct"/>
            <w:vAlign w:val="center"/>
          </w:tcPr>
          <w:p>
            <w:pPr>
              <w:pStyle w:val="14"/>
              <w:keepNext w:val="0"/>
              <w:keepLines w:val="0"/>
              <w:pageBreakBefore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rPr>
            </w:pPr>
            <w:r>
              <w:rPr>
                <w:rFonts w:hint="eastAsia" w:ascii="仿宋_GB2312" w:hAnsi="仿宋_GB2312" w:eastAsia="仿宋_GB2312" w:cs="仿宋_GB2312"/>
              </w:rPr>
              <w:t>合同制教师在校人数</w:t>
            </w:r>
          </w:p>
        </w:tc>
        <w:tc>
          <w:tcPr>
            <w:tcW w:w="1088" w:type="pct"/>
            <w:vAlign w:val="center"/>
          </w:tcPr>
          <w:p>
            <w:pPr>
              <w:pStyle w:val="14"/>
              <w:keepNext w:val="0"/>
              <w:keepLines w:val="0"/>
              <w:pageBreakBefore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rPr>
            </w:pPr>
            <w:r>
              <w:rPr>
                <w:rFonts w:hint="eastAsia" w:ascii="仿宋_GB2312" w:hAnsi="仿宋_GB2312" w:eastAsia="仿宋_GB2312" w:cs="仿宋_GB2312"/>
              </w:rPr>
              <w:t>保障2022合同制教师 45人工资福利</w:t>
            </w:r>
          </w:p>
        </w:tc>
        <w:tc>
          <w:tcPr>
            <w:tcW w:w="1174" w:type="pct"/>
            <w:vAlign w:val="center"/>
          </w:tcPr>
          <w:p>
            <w:pPr>
              <w:pStyle w:val="14"/>
              <w:keepNext w:val="0"/>
              <w:keepLines w:val="0"/>
              <w:pageBreakBefore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rPr>
            </w:pPr>
            <w:r>
              <w:rPr>
                <w:rFonts w:hint="eastAsia" w:ascii="仿宋_GB2312" w:hAnsi="仿宋_GB2312" w:eastAsia="仿宋_GB2312" w:cs="仿宋_GB2312"/>
              </w:rPr>
              <w:t>45人</w:t>
            </w:r>
          </w:p>
        </w:tc>
        <w:tc>
          <w:tcPr>
            <w:tcW w:w="821" w:type="pct"/>
            <w:vAlign w:val="center"/>
          </w:tcPr>
          <w:p>
            <w:pPr>
              <w:pStyle w:val="14"/>
              <w:keepNext w:val="0"/>
              <w:keepLines w:val="0"/>
              <w:pageBreakBefore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rPr>
            </w:pPr>
            <w:r>
              <w:rPr>
                <w:rFonts w:hint="eastAsia" w:ascii="仿宋_GB2312" w:hAnsi="仿宋_GB2312" w:eastAsia="仿宋_GB2312" w:cs="仿宋_GB2312"/>
              </w:rPr>
              <w:t>廊广传【2021】19号</w:t>
            </w:r>
            <w:r>
              <w:rPr>
                <w:rFonts w:hint="eastAsia" w:ascii="仿宋_GB2312" w:hAnsi="仿宋_GB2312" w:eastAsia="仿宋_GB2312" w:cs="仿宋_GB2312"/>
              </w:rPr>
              <w:tab/>
            </w:r>
          </w:p>
          <w:p>
            <w:pPr>
              <w:pStyle w:val="14"/>
              <w:keepNext w:val="0"/>
              <w:keepLines w:val="0"/>
              <w:pageBreakBefore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19" w:type="pct"/>
            <w:vMerge w:val="continue"/>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rPr>
            </w:pPr>
          </w:p>
        </w:tc>
        <w:tc>
          <w:tcPr>
            <w:tcW w:w="749" w:type="pct"/>
            <w:vAlign w:val="center"/>
          </w:tcPr>
          <w:p>
            <w:pPr>
              <w:pStyle w:val="14"/>
              <w:keepNext w:val="0"/>
              <w:keepLines w:val="0"/>
              <w:pageBreakBefore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rPr>
            </w:pPr>
            <w:r>
              <w:rPr>
                <w:rFonts w:hint="eastAsia" w:ascii="仿宋_GB2312" w:hAnsi="仿宋_GB2312" w:eastAsia="仿宋_GB2312" w:cs="仿宋_GB2312"/>
              </w:rPr>
              <w:t>质量指标</w:t>
            </w:r>
          </w:p>
        </w:tc>
        <w:tc>
          <w:tcPr>
            <w:tcW w:w="747" w:type="pct"/>
            <w:vAlign w:val="center"/>
          </w:tcPr>
          <w:p>
            <w:pPr>
              <w:pStyle w:val="14"/>
              <w:keepNext w:val="0"/>
              <w:keepLines w:val="0"/>
              <w:pageBreakBefore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rPr>
            </w:pPr>
            <w:r>
              <w:rPr>
                <w:rFonts w:hint="eastAsia" w:ascii="仿宋_GB2312" w:hAnsi="仿宋_GB2312" w:eastAsia="仿宋_GB2312" w:cs="仿宋_GB2312"/>
              </w:rPr>
              <w:t>合同制教师完成岗位目标</w:t>
            </w:r>
          </w:p>
        </w:tc>
        <w:tc>
          <w:tcPr>
            <w:tcW w:w="1088" w:type="pct"/>
            <w:vAlign w:val="center"/>
          </w:tcPr>
          <w:p>
            <w:pPr>
              <w:pStyle w:val="14"/>
              <w:keepNext w:val="0"/>
              <w:keepLines w:val="0"/>
              <w:pageBreakBefore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rPr>
            </w:pPr>
            <w:r>
              <w:rPr>
                <w:rFonts w:hint="eastAsia" w:ascii="仿宋_GB2312" w:hAnsi="仿宋_GB2312" w:eastAsia="仿宋_GB2312" w:cs="仿宋_GB2312"/>
              </w:rPr>
              <w:t>合同制教师岗位目标明确，并得以执行</w:t>
            </w:r>
          </w:p>
        </w:tc>
        <w:tc>
          <w:tcPr>
            <w:tcW w:w="1174" w:type="pct"/>
            <w:vAlign w:val="center"/>
          </w:tcPr>
          <w:p>
            <w:pPr>
              <w:pStyle w:val="14"/>
              <w:keepNext w:val="0"/>
              <w:keepLines w:val="0"/>
              <w:pageBreakBefore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rPr>
            </w:pPr>
            <w:r>
              <w:rPr>
                <w:rFonts w:hint="eastAsia" w:ascii="仿宋_GB2312" w:hAnsi="仿宋_GB2312" w:eastAsia="仿宋_GB2312" w:cs="仿宋_GB2312"/>
              </w:rPr>
              <w:t>完成岗位目标职责</w:t>
            </w:r>
          </w:p>
        </w:tc>
        <w:tc>
          <w:tcPr>
            <w:tcW w:w="821" w:type="pct"/>
            <w:vAlign w:val="center"/>
          </w:tcPr>
          <w:p>
            <w:pPr>
              <w:pStyle w:val="14"/>
              <w:keepNext w:val="0"/>
              <w:keepLines w:val="0"/>
              <w:pageBreakBefore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rPr>
            </w:pPr>
            <w:r>
              <w:rPr>
                <w:rFonts w:hint="eastAsia" w:ascii="仿宋_GB2312" w:hAnsi="仿宋_GB2312" w:eastAsia="仿宋_GB2312" w:cs="仿宋_GB2312"/>
              </w:rPr>
              <w:t>区在职教师考核办法文件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19" w:type="pct"/>
            <w:vMerge w:val="continue"/>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rPr>
            </w:pPr>
          </w:p>
        </w:tc>
        <w:tc>
          <w:tcPr>
            <w:tcW w:w="749" w:type="pct"/>
            <w:vAlign w:val="center"/>
          </w:tcPr>
          <w:p>
            <w:pPr>
              <w:pStyle w:val="14"/>
              <w:keepNext w:val="0"/>
              <w:keepLines w:val="0"/>
              <w:pageBreakBefore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rPr>
            </w:pPr>
            <w:r>
              <w:rPr>
                <w:rFonts w:hint="eastAsia" w:ascii="仿宋_GB2312" w:hAnsi="仿宋_GB2312" w:eastAsia="仿宋_GB2312" w:cs="仿宋_GB2312"/>
              </w:rPr>
              <w:t>质量指标</w:t>
            </w:r>
          </w:p>
        </w:tc>
        <w:tc>
          <w:tcPr>
            <w:tcW w:w="747" w:type="pct"/>
            <w:vAlign w:val="center"/>
          </w:tcPr>
          <w:p>
            <w:pPr>
              <w:pStyle w:val="14"/>
              <w:keepNext w:val="0"/>
              <w:keepLines w:val="0"/>
              <w:pageBreakBefore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rPr>
            </w:pPr>
            <w:r>
              <w:rPr>
                <w:rFonts w:hint="eastAsia" w:ascii="仿宋_GB2312" w:hAnsi="仿宋_GB2312" w:eastAsia="仿宋_GB2312" w:cs="仿宋_GB2312"/>
              </w:rPr>
              <w:t>合同制教师的考核合格率</w:t>
            </w:r>
          </w:p>
        </w:tc>
        <w:tc>
          <w:tcPr>
            <w:tcW w:w="1088" w:type="pct"/>
            <w:vAlign w:val="center"/>
          </w:tcPr>
          <w:p>
            <w:pPr>
              <w:pStyle w:val="14"/>
              <w:keepNext w:val="0"/>
              <w:keepLines w:val="0"/>
              <w:pageBreakBefore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rPr>
            </w:pPr>
            <w:r>
              <w:rPr>
                <w:rFonts w:hint="eastAsia" w:ascii="仿宋_GB2312" w:hAnsi="仿宋_GB2312" w:eastAsia="仿宋_GB2312" w:cs="仿宋_GB2312"/>
              </w:rPr>
              <w:t>合格率达到100%</w:t>
            </w:r>
          </w:p>
        </w:tc>
        <w:tc>
          <w:tcPr>
            <w:tcW w:w="1174" w:type="pct"/>
            <w:vAlign w:val="center"/>
          </w:tcPr>
          <w:p>
            <w:pPr>
              <w:pStyle w:val="14"/>
              <w:keepNext w:val="0"/>
              <w:keepLines w:val="0"/>
              <w:pageBreakBefore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rPr>
            </w:pPr>
            <w:r>
              <w:rPr>
                <w:rFonts w:hint="eastAsia" w:ascii="仿宋_GB2312" w:hAnsi="仿宋_GB2312" w:eastAsia="仿宋_GB2312" w:cs="仿宋_GB2312"/>
              </w:rPr>
              <w:t>≥98%</w:t>
            </w:r>
          </w:p>
        </w:tc>
        <w:tc>
          <w:tcPr>
            <w:tcW w:w="821" w:type="pct"/>
            <w:vAlign w:val="center"/>
          </w:tcPr>
          <w:p>
            <w:pPr>
              <w:pStyle w:val="14"/>
              <w:keepNext w:val="0"/>
              <w:keepLines w:val="0"/>
              <w:pageBreakBefore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rPr>
            </w:pPr>
            <w:r>
              <w:rPr>
                <w:rFonts w:hint="eastAsia" w:ascii="仿宋_GB2312" w:hAnsi="仿宋_GB2312" w:eastAsia="仿宋_GB2312" w:cs="仿宋_GB2312"/>
              </w:rPr>
              <w:t>区考核办法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19" w:type="pct"/>
            <w:vMerge w:val="continue"/>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rPr>
            </w:pPr>
          </w:p>
        </w:tc>
        <w:tc>
          <w:tcPr>
            <w:tcW w:w="749" w:type="pct"/>
            <w:vAlign w:val="center"/>
          </w:tcPr>
          <w:p>
            <w:pPr>
              <w:pStyle w:val="14"/>
              <w:keepNext w:val="0"/>
              <w:keepLines w:val="0"/>
              <w:pageBreakBefore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rPr>
            </w:pPr>
            <w:r>
              <w:rPr>
                <w:rFonts w:hint="eastAsia" w:ascii="仿宋_GB2312" w:hAnsi="仿宋_GB2312" w:eastAsia="仿宋_GB2312" w:cs="仿宋_GB2312"/>
              </w:rPr>
              <w:t>时效指标</w:t>
            </w:r>
          </w:p>
        </w:tc>
        <w:tc>
          <w:tcPr>
            <w:tcW w:w="747" w:type="pct"/>
            <w:vAlign w:val="center"/>
          </w:tcPr>
          <w:p>
            <w:pPr>
              <w:pStyle w:val="14"/>
              <w:keepNext w:val="0"/>
              <w:keepLines w:val="0"/>
              <w:pageBreakBefore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rPr>
            </w:pPr>
            <w:r>
              <w:rPr>
                <w:rFonts w:hint="eastAsia" w:ascii="仿宋_GB2312" w:hAnsi="仿宋_GB2312" w:eastAsia="仿宋_GB2312" w:cs="仿宋_GB2312"/>
              </w:rPr>
              <w:t>资金支出率（%）</w:t>
            </w:r>
          </w:p>
        </w:tc>
        <w:tc>
          <w:tcPr>
            <w:tcW w:w="1088" w:type="pct"/>
            <w:vAlign w:val="center"/>
          </w:tcPr>
          <w:p>
            <w:pPr>
              <w:pStyle w:val="14"/>
              <w:keepNext w:val="0"/>
              <w:keepLines w:val="0"/>
              <w:pageBreakBefore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rPr>
            </w:pPr>
            <w:r>
              <w:rPr>
                <w:rFonts w:hint="eastAsia" w:ascii="仿宋_GB2312" w:hAnsi="仿宋_GB2312" w:eastAsia="仿宋_GB2312" w:cs="仿宋_GB2312"/>
              </w:rPr>
              <w:t>按月支付合同制教师工资及缴纳社会保障及住房公积金</w:t>
            </w:r>
          </w:p>
        </w:tc>
        <w:tc>
          <w:tcPr>
            <w:tcW w:w="1174" w:type="pct"/>
            <w:vAlign w:val="center"/>
          </w:tcPr>
          <w:p>
            <w:pPr>
              <w:pStyle w:val="14"/>
              <w:keepNext w:val="0"/>
              <w:keepLines w:val="0"/>
              <w:pageBreakBefore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rPr>
            </w:pPr>
            <w:r>
              <w:rPr>
                <w:rFonts w:hint="eastAsia" w:ascii="仿宋_GB2312" w:hAnsi="仿宋_GB2312" w:eastAsia="仿宋_GB2312" w:cs="仿宋_GB2312"/>
              </w:rPr>
              <w:t>≥95%</w:t>
            </w:r>
          </w:p>
        </w:tc>
        <w:tc>
          <w:tcPr>
            <w:tcW w:w="821" w:type="pct"/>
            <w:vAlign w:val="center"/>
          </w:tcPr>
          <w:p>
            <w:pPr>
              <w:pStyle w:val="14"/>
              <w:keepNext w:val="0"/>
              <w:keepLines w:val="0"/>
              <w:pageBreakBefore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rPr>
            </w:pPr>
            <w:r>
              <w:rPr>
                <w:rFonts w:hint="eastAsia" w:ascii="仿宋_GB2312" w:hAnsi="仿宋_GB2312" w:eastAsia="仿宋_GB2312" w:cs="仿宋_GB2312"/>
              </w:rPr>
              <w:t>廊广传【2021】19号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19" w:type="pct"/>
            <w:vMerge w:val="continue"/>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rPr>
            </w:pPr>
          </w:p>
        </w:tc>
        <w:tc>
          <w:tcPr>
            <w:tcW w:w="749" w:type="pct"/>
            <w:vAlign w:val="center"/>
          </w:tcPr>
          <w:p>
            <w:pPr>
              <w:pStyle w:val="14"/>
              <w:keepNext w:val="0"/>
              <w:keepLines w:val="0"/>
              <w:pageBreakBefore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rPr>
            </w:pPr>
            <w:r>
              <w:rPr>
                <w:rFonts w:hint="eastAsia" w:ascii="仿宋_GB2312" w:hAnsi="仿宋_GB2312" w:eastAsia="仿宋_GB2312" w:cs="仿宋_GB2312"/>
              </w:rPr>
              <w:t>成本指标</w:t>
            </w:r>
          </w:p>
        </w:tc>
        <w:tc>
          <w:tcPr>
            <w:tcW w:w="747" w:type="pct"/>
            <w:vAlign w:val="center"/>
          </w:tcPr>
          <w:p>
            <w:pPr>
              <w:pStyle w:val="14"/>
              <w:keepNext w:val="0"/>
              <w:keepLines w:val="0"/>
              <w:pageBreakBefore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rPr>
            </w:pPr>
            <w:r>
              <w:rPr>
                <w:rFonts w:hint="eastAsia" w:ascii="仿宋_GB2312" w:hAnsi="仿宋_GB2312" w:eastAsia="仿宋_GB2312" w:cs="仿宋_GB2312"/>
              </w:rPr>
              <w:t>保障项目正常运行</w:t>
            </w:r>
          </w:p>
        </w:tc>
        <w:tc>
          <w:tcPr>
            <w:tcW w:w="1088" w:type="pct"/>
            <w:vAlign w:val="center"/>
          </w:tcPr>
          <w:p>
            <w:pPr>
              <w:pStyle w:val="14"/>
              <w:keepNext w:val="0"/>
              <w:keepLines w:val="0"/>
              <w:pageBreakBefore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rPr>
            </w:pPr>
            <w:r>
              <w:rPr>
                <w:rFonts w:hint="eastAsia" w:ascii="仿宋_GB2312" w:hAnsi="仿宋_GB2312" w:eastAsia="仿宋_GB2312" w:cs="仿宋_GB2312"/>
              </w:rPr>
              <w:t>合同制教师薪酬测算标准</w:t>
            </w:r>
          </w:p>
        </w:tc>
        <w:tc>
          <w:tcPr>
            <w:tcW w:w="1174" w:type="pct"/>
            <w:vAlign w:val="center"/>
          </w:tcPr>
          <w:p>
            <w:pPr>
              <w:pStyle w:val="14"/>
              <w:keepNext w:val="0"/>
              <w:keepLines w:val="0"/>
              <w:pageBreakBefore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rPr>
            </w:pPr>
            <w:r>
              <w:rPr>
                <w:rFonts w:hint="eastAsia" w:ascii="仿宋_GB2312" w:hAnsi="仿宋_GB2312" w:eastAsia="仿宋_GB2312" w:cs="仿宋_GB2312"/>
              </w:rPr>
              <w:t>根据廊广传【2021】19号文件合同制教师与在职教师同工同酬</w:t>
            </w:r>
          </w:p>
        </w:tc>
        <w:tc>
          <w:tcPr>
            <w:tcW w:w="821" w:type="pct"/>
            <w:vAlign w:val="center"/>
          </w:tcPr>
          <w:p>
            <w:pPr>
              <w:pStyle w:val="14"/>
              <w:keepNext w:val="0"/>
              <w:keepLines w:val="0"/>
              <w:pageBreakBefore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rPr>
            </w:pPr>
            <w:r>
              <w:rPr>
                <w:rFonts w:hint="eastAsia" w:ascii="仿宋_GB2312" w:hAnsi="仿宋_GB2312" w:eastAsia="仿宋_GB2312" w:cs="仿宋_GB2312"/>
              </w:rPr>
              <w:t>廊广传【2021】19号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19" w:type="pct"/>
            <w:vAlign w:val="center"/>
          </w:tcPr>
          <w:p>
            <w:pPr>
              <w:pStyle w:val="15"/>
              <w:keepNext w:val="0"/>
              <w:keepLines w:val="0"/>
              <w:pageBreakBefore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rPr>
            </w:pPr>
            <w:r>
              <w:rPr>
                <w:rFonts w:hint="eastAsia" w:ascii="仿宋_GB2312" w:hAnsi="仿宋_GB2312" w:eastAsia="仿宋_GB2312" w:cs="仿宋_GB2312"/>
              </w:rPr>
              <w:t>效益指标</w:t>
            </w:r>
          </w:p>
        </w:tc>
        <w:tc>
          <w:tcPr>
            <w:tcW w:w="749" w:type="pct"/>
            <w:vAlign w:val="center"/>
          </w:tcPr>
          <w:p>
            <w:pPr>
              <w:pStyle w:val="14"/>
              <w:keepNext w:val="0"/>
              <w:keepLines w:val="0"/>
              <w:pageBreakBefore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747" w:type="pct"/>
            <w:vAlign w:val="center"/>
          </w:tcPr>
          <w:p>
            <w:pPr>
              <w:pStyle w:val="14"/>
              <w:keepNext w:val="0"/>
              <w:keepLines w:val="0"/>
              <w:pageBreakBefore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rPr>
            </w:pPr>
            <w:r>
              <w:rPr>
                <w:rFonts w:hint="eastAsia" w:ascii="仿宋_GB2312" w:hAnsi="仿宋_GB2312" w:eastAsia="仿宋_GB2312" w:cs="仿宋_GB2312"/>
              </w:rPr>
              <w:t>缓解师资供需矛盾</w:t>
            </w:r>
          </w:p>
        </w:tc>
        <w:tc>
          <w:tcPr>
            <w:tcW w:w="1088" w:type="pct"/>
            <w:vAlign w:val="center"/>
          </w:tcPr>
          <w:p>
            <w:pPr>
              <w:pStyle w:val="14"/>
              <w:keepNext w:val="0"/>
              <w:keepLines w:val="0"/>
              <w:pageBreakBefore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rPr>
            </w:pPr>
            <w:r>
              <w:rPr>
                <w:rFonts w:hint="eastAsia" w:ascii="仿宋_GB2312" w:hAnsi="仿宋_GB2312" w:eastAsia="仿宋_GB2312" w:cs="仿宋_GB2312"/>
              </w:rPr>
              <w:t>缓解教师短缺，保障教育教学正常的进行</w:t>
            </w:r>
          </w:p>
        </w:tc>
        <w:tc>
          <w:tcPr>
            <w:tcW w:w="1174" w:type="pct"/>
            <w:vAlign w:val="center"/>
          </w:tcPr>
          <w:p>
            <w:pPr>
              <w:pStyle w:val="14"/>
              <w:keepNext w:val="0"/>
              <w:keepLines w:val="0"/>
              <w:pageBreakBefore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rPr>
            </w:pPr>
            <w:r>
              <w:rPr>
                <w:rFonts w:hint="eastAsia" w:ascii="仿宋_GB2312" w:hAnsi="仿宋_GB2312" w:eastAsia="仿宋_GB2312" w:cs="仿宋_GB2312"/>
              </w:rPr>
              <w:t>缓解</w:t>
            </w:r>
          </w:p>
        </w:tc>
        <w:tc>
          <w:tcPr>
            <w:tcW w:w="821" w:type="pct"/>
            <w:vAlign w:val="center"/>
          </w:tcPr>
          <w:p>
            <w:pPr>
              <w:pStyle w:val="14"/>
              <w:keepNext w:val="0"/>
              <w:keepLines w:val="0"/>
              <w:pageBreakBefore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rPr>
            </w:pPr>
            <w:r>
              <w:rPr>
                <w:rFonts w:hint="eastAsia" w:ascii="仿宋_GB2312" w:hAnsi="仿宋_GB2312" w:eastAsia="仿宋_GB2312" w:cs="仿宋_GB2312"/>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19" w:type="pct"/>
            <w:vMerge w:val="restart"/>
            <w:vAlign w:val="center"/>
          </w:tcPr>
          <w:p>
            <w:pPr>
              <w:pStyle w:val="15"/>
              <w:keepNext w:val="0"/>
              <w:keepLines w:val="0"/>
              <w:pageBreakBefore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749" w:type="pct"/>
            <w:vAlign w:val="center"/>
          </w:tcPr>
          <w:p>
            <w:pPr>
              <w:pStyle w:val="14"/>
              <w:keepNext w:val="0"/>
              <w:keepLines w:val="0"/>
              <w:pageBreakBefore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747" w:type="pct"/>
            <w:vAlign w:val="center"/>
          </w:tcPr>
          <w:p>
            <w:pPr>
              <w:pStyle w:val="14"/>
              <w:keepNext w:val="0"/>
              <w:keepLines w:val="0"/>
              <w:pageBreakBefore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rPr>
            </w:pPr>
            <w:r>
              <w:rPr>
                <w:rFonts w:hint="eastAsia" w:ascii="仿宋_GB2312" w:hAnsi="仿宋_GB2312" w:eastAsia="仿宋_GB2312" w:cs="仿宋_GB2312"/>
              </w:rPr>
              <w:t>学生满意度</w:t>
            </w:r>
          </w:p>
        </w:tc>
        <w:tc>
          <w:tcPr>
            <w:tcW w:w="1088" w:type="pct"/>
            <w:vAlign w:val="center"/>
          </w:tcPr>
          <w:p>
            <w:pPr>
              <w:pStyle w:val="14"/>
              <w:keepNext w:val="0"/>
              <w:keepLines w:val="0"/>
              <w:pageBreakBefore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rPr>
            </w:pPr>
            <w:r>
              <w:rPr>
                <w:rFonts w:hint="eastAsia" w:ascii="仿宋_GB2312" w:hAnsi="仿宋_GB2312" w:eastAsia="仿宋_GB2312" w:cs="仿宋_GB2312"/>
              </w:rPr>
              <w:t>所教班级学生满意度</w:t>
            </w:r>
          </w:p>
        </w:tc>
        <w:tc>
          <w:tcPr>
            <w:tcW w:w="1174" w:type="pct"/>
            <w:vAlign w:val="center"/>
          </w:tcPr>
          <w:p>
            <w:pPr>
              <w:pStyle w:val="14"/>
              <w:keepNext w:val="0"/>
              <w:keepLines w:val="0"/>
              <w:pageBreakBefore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rPr>
            </w:pPr>
            <w:r>
              <w:rPr>
                <w:rFonts w:hint="eastAsia" w:ascii="仿宋_GB2312" w:hAnsi="仿宋_GB2312" w:eastAsia="仿宋_GB2312" w:cs="仿宋_GB2312"/>
              </w:rPr>
              <w:t>≥95%</w:t>
            </w:r>
          </w:p>
        </w:tc>
        <w:tc>
          <w:tcPr>
            <w:tcW w:w="821" w:type="pct"/>
            <w:vAlign w:val="center"/>
          </w:tcPr>
          <w:p>
            <w:pPr>
              <w:pStyle w:val="14"/>
              <w:keepNext w:val="0"/>
              <w:keepLines w:val="0"/>
              <w:pageBreakBefore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rPr>
            </w:pPr>
            <w:r>
              <w:rPr>
                <w:rFonts w:hint="eastAsia" w:ascii="仿宋_GB2312" w:hAnsi="仿宋_GB2312" w:eastAsia="仿宋_GB2312" w:cs="仿宋_GB2312"/>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19" w:type="pct"/>
            <w:vMerge w:val="continue"/>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rPr>
            </w:pPr>
          </w:p>
        </w:tc>
        <w:tc>
          <w:tcPr>
            <w:tcW w:w="749" w:type="pct"/>
            <w:vAlign w:val="center"/>
          </w:tcPr>
          <w:p>
            <w:pPr>
              <w:pStyle w:val="14"/>
              <w:keepNext w:val="0"/>
              <w:keepLines w:val="0"/>
              <w:pageBreakBefore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747" w:type="pct"/>
            <w:vAlign w:val="center"/>
          </w:tcPr>
          <w:p>
            <w:pPr>
              <w:pStyle w:val="14"/>
              <w:keepNext w:val="0"/>
              <w:keepLines w:val="0"/>
              <w:pageBreakBefore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rPr>
            </w:pPr>
            <w:r>
              <w:rPr>
                <w:rFonts w:hint="eastAsia" w:ascii="仿宋_GB2312" w:hAnsi="仿宋_GB2312" w:eastAsia="仿宋_GB2312" w:cs="仿宋_GB2312"/>
              </w:rPr>
              <w:t>学校满意度</w:t>
            </w:r>
          </w:p>
        </w:tc>
        <w:tc>
          <w:tcPr>
            <w:tcW w:w="1088" w:type="pct"/>
            <w:vAlign w:val="center"/>
          </w:tcPr>
          <w:p>
            <w:pPr>
              <w:pStyle w:val="14"/>
              <w:keepNext w:val="0"/>
              <w:keepLines w:val="0"/>
              <w:pageBreakBefore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rPr>
            </w:pPr>
            <w:r>
              <w:rPr>
                <w:rFonts w:hint="eastAsia" w:ascii="仿宋_GB2312" w:hAnsi="仿宋_GB2312" w:eastAsia="仿宋_GB2312" w:cs="仿宋_GB2312"/>
              </w:rPr>
              <w:t>在校教师满意度</w:t>
            </w:r>
          </w:p>
        </w:tc>
        <w:tc>
          <w:tcPr>
            <w:tcW w:w="1174" w:type="pct"/>
            <w:vAlign w:val="center"/>
          </w:tcPr>
          <w:p>
            <w:pPr>
              <w:pStyle w:val="14"/>
              <w:keepNext w:val="0"/>
              <w:keepLines w:val="0"/>
              <w:pageBreakBefore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rPr>
            </w:pPr>
            <w:r>
              <w:rPr>
                <w:rFonts w:hint="eastAsia" w:ascii="仿宋_GB2312" w:hAnsi="仿宋_GB2312" w:eastAsia="仿宋_GB2312" w:cs="仿宋_GB2312"/>
              </w:rPr>
              <w:t>≥95%</w:t>
            </w:r>
          </w:p>
        </w:tc>
        <w:tc>
          <w:tcPr>
            <w:tcW w:w="821" w:type="pct"/>
            <w:vAlign w:val="center"/>
          </w:tcPr>
          <w:p>
            <w:pPr>
              <w:pStyle w:val="14"/>
              <w:keepNext w:val="0"/>
              <w:keepLines w:val="0"/>
              <w:pageBreakBefore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rPr>
            </w:pPr>
            <w:r>
              <w:rPr>
                <w:rFonts w:hint="eastAsia" w:ascii="仿宋_GB2312" w:hAnsi="仿宋_GB2312" w:eastAsia="仿宋_GB2312" w:cs="仿宋_GB2312"/>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19" w:type="pct"/>
            <w:vMerge w:val="continue"/>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rPr>
            </w:pPr>
          </w:p>
        </w:tc>
        <w:tc>
          <w:tcPr>
            <w:tcW w:w="749" w:type="pct"/>
            <w:vAlign w:val="center"/>
          </w:tcPr>
          <w:p>
            <w:pPr>
              <w:pStyle w:val="14"/>
              <w:keepNext w:val="0"/>
              <w:keepLines w:val="0"/>
              <w:pageBreakBefore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747" w:type="pct"/>
            <w:vAlign w:val="center"/>
          </w:tcPr>
          <w:p>
            <w:pPr>
              <w:pStyle w:val="14"/>
              <w:keepNext w:val="0"/>
              <w:keepLines w:val="0"/>
              <w:pageBreakBefore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rPr>
            </w:pPr>
            <w:r>
              <w:rPr>
                <w:rFonts w:hint="eastAsia" w:ascii="仿宋_GB2312" w:hAnsi="仿宋_GB2312" w:eastAsia="仿宋_GB2312" w:cs="仿宋_GB2312"/>
              </w:rPr>
              <w:t>家长满意度</w:t>
            </w:r>
          </w:p>
        </w:tc>
        <w:tc>
          <w:tcPr>
            <w:tcW w:w="1088" w:type="pct"/>
            <w:vAlign w:val="center"/>
          </w:tcPr>
          <w:p>
            <w:pPr>
              <w:pStyle w:val="14"/>
              <w:keepNext w:val="0"/>
              <w:keepLines w:val="0"/>
              <w:pageBreakBefore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rPr>
            </w:pPr>
            <w:r>
              <w:rPr>
                <w:rFonts w:hint="eastAsia" w:ascii="仿宋_GB2312" w:hAnsi="仿宋_GB2312" w:eastAsia="仿宋_GB2312" w:cs="仿宋_GB2312"/>
              </w:rPr>
              <w:t>所教班级家长满意度</w:t>
            </w:r>
          </w:p>
        </w:tc>
        <w:tc>
          <w:tcPr>
            <w:tcW w:w="1174" w:type="pct"/>
            <w:vAlign w:val="center"/>
          </w:tcPr>
          <w:p>
            <w:pPr>
              <w:pStyle w:val="14"/>
              <w:keepNext w:val="0"/>
              <w:keepLines w:val="0"/>
              <w:pageBreakBefore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rPr>
            </w:pPr>
            <w:r>
              <w:rPr>
                <w:rFonts w:hint="eastAsia" w:ascii="仿宋_GB2312" w:hAnsi="仿宋_GB2312" w:eastAsia="仿宋_GB2312" w:cs="仿宋_GB2312"/>
              </w:rPr>
              <w:t>≥95%</w:t>
            </w:r>
          </w:p>
        </w:tc>
        <w:tc>
          <w:tcPr>
            <w:tcW w:w="821" w:type="pct"/>
            <w:vAlign w:val="center"/>
          </w:tcPr>
          <w:p>
            <w:pPr>
              <w:pStyle w:val="14"/>
              <w:keepNext w:val="0"/>
              <w:keepLines w:val="0"/>
              <w:pageBreakBefore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rPr>
            </w:pPr>
            <w:r>
              <w:rPr>
                <w:rFonts w:hint="eastAsia" w:ascii="仿宋_GB2312" w:hAnsi="仿宋_GB2312" w:eastAsia="仿宋_GB2312" w:cs="仿宋_GB2312"/>
              </w:rPr>
              <w:t>调查问卷</w:t>
            </w:r>
          </w:p>
        </w:tc>
      </w:tr>
    </w:tbl>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sz w:val="28"/>
          <w:szCs w:val="28"/>
          <w:lang w:val="en-US" w:eastAsia="zh-CN"/>
        </w:rPr>
      </w:pPr>
      <w:bookmarkStart w:id="1" w:name="_Toc_4_4_0000000005"/>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sz w:val="28"/>
          <w:szCs w:val="28"/>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2.幼儿园生均经费绩效目标表</w:t>
      </w:r>
      <w:bookmarkEnd w:id="1"/>
    </w:p>
    <w:tbl>
      <w:tblPr>
        <w:tblStyle w:val="8"/>
        <w:tblW w:w="4997"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022"/>
        <w:gridCol w:w="2023"/>
        <w:gridCol w:w="2023"/>
        <w:gridCol w:w="4046"/>
        <w:gridCol w:w="2023"/>
        <w:gridCol w:w="202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3" w:type="pct"/>
            <w:vAlign w:val="center"/>
          </w:tcPr>
          <w:p>
            <w:pPr>
              <w:pStyle w:val="12"/>
              <w:keepNext w:val="0"/>
              <w:keepLines w:val="0"/>
              <w:pageBreakBefore w:val="0"/>
              <w:kinsoku/>
              <w:wordWrap/>
              <w:overflowPunct/>
              <w:topLinePunct w:val="0"/>
              <w:bidi w:val="0"/>
              <w:snapToGrid/>
              <w:spacing w:line="400" w:lineRule="exact"/>
              <w:rPr>
                <w:rFonts w:hint="eastAsia" w:ascii="仿宋_GB2312" w:hAnsi="仿宋_GB2312" w:eastAsia="仿宋_GB2312" w:cs="仿宋_GB2312"/>
              </w:rPr>
            </w:pPr>
            <w:r>
              <w:rPr>
                <w:rFonts w:hint="eastAsia" w:ascii="仿宋_GB2312" w:hAnsi="仿宋_GB2312" w:eastAsia="仿宋_GB2312" w:cs="仿宋_GB2312"/>
              </w:rPr>
              <w:t>绩效目标</w:t>
            </w:r>
          </w:p>
        </w:tc>
        <w:tc>
          <w:tcPr>
            <w:tcW w:w="4286" w:type="pct"/>
            <w:gridSpan w:val="5"/>
            <w:vAlign w:val="center"/>
          </w:tcPr>
          <w:p>
            <w:pPr>
              <w:pStyle w:val="14"/>
              <w:keepNext w:val="0"/>
              <w:keepLines w:val="0"/>
              <w:pageBreakBefore w:val="0"/>
              <w:kinsoku/>
              <w:wordWrap/>
              <w:overflowPunct/>
              <w:topLinePunct w:val="0"/>
              <w:bidi w:val="0"/>
              <w:snapToGrid/>
              <w:spacing w:line="400" w:lineRule="exact"/>
              <w:rPr>
                <w:rFonts w:hint="eastAsia" w:ascii="仿宋_GB2312" w:hAnsi="仿宋_GB2312" w:eastAsia="仿宋_GB2312" w:cs="仿宋_GB2312"/>
              </w:rPr>
            </w:pPr>
            <w:r>
              <w:rPr>
                <w:rFonts w:hint="eastAsia" w:ascii="仿宋_GB2312" w:hAnsi="仿宋_GB2312" w:eastAsia="仿宋_GB2312" w:cs="仿宋_GB2312"/>
              </w:rPr>
              <w:t>1.我园将按照资金使用要求，根据日常需要安排日常办公、维修维护、购买专用材料和玩教具等。</w:t>
            </w:r>
            <w:r>
              <w:rPr>
                <w:rFonts w:hint="eastAsia" w:ascii="仿宋_GB2312" w:hAnsi="仿宋_GB2312" w:eastAsia="仿宋_GB2312" w:cs="仿宋_GB2312"/>
              </w:rPr>
              <w:tab/>
            </w:r>
            <w:r>
              <w:rPr>
                <w:rFonts w:hint="eastAsia" w:ascii="仿宋_GB2312" w:hAnsi="仿宋_GB2312" w:eastAsia="仿宋_GB2312" w:cs="仿宋_GB2312"/>
              </w:rPr>
              <w:tab/>
            </w:r>
            <w:r>
              <w:rPr>
                <w:rFonts w:hint="eastAsia" w:ascii="仿宋_GB2312" w:hAnsi="仿宋_GB2312" w:eastAsia="仿宋_GB2312" w:cs="仿宋_GB2312"/>
              </w:rPr>
              <w:tab/>
            </w:r>
            <w:r>
              <w:rPr>
                <w:rFonts w:hint="eastAsia" w:ascii="仿宋_GB2312" w:hAnsi="仿宋_GB2312" w:eastAsia="仿宋_GB2312" w:cs="仿宋_GB2312"/>
              </w:rPr>
              <w:tab/>
            </w:r>
            <w:r>
              <w:rPr>
                <w:rFonts w:hint="eastAsia" w:ascii="仿宋_GB2312" w:hAnsi="仿宋_GB2312" w:eastAsia="仿宋_GB2312" w:cs="仿宋_GB2312"/>
              </w:rPr>
              <w:tab/>
            </w:r>
            <w:r>
              <w:rPr>
                <w:rFonts w:hint="eastAsia" w:ascii="仿宋_GB2312" w:hAnsi="仿宋_GB2312" w:eastAsia="仿宋_GB2312" w:cs="仿宋_GB2312"/>
              </w:rPr>
              <w:tab/>
            </w:r>
          </w:p>
          <w:p>
            <w:pPr>
              <w:pStyle w:val="14"/>
              <w:keepNext w:val="0"/>
              <w:keepLines w:val="0"/>
              <w:pageBreakBefore w:val="0"/>
              <w:kinsoku/>
              <w:wordWrap/>
              <w:overflowPunct/>
              <w:topLinePunct w:val="0"/>
              <w:bidi w:val="0"/>
              <w:snapToGrid/>
              <w:spacing w:line="400" w:lineRule="exact"/>
              <w:rPr>
                <w:rFonts w:hint="eastAsia" w:ascii="仿宋_GB2312" w:hAnsi="仿宋_GB2312" w:eastAsia="仿宋_GB2312" w:cs="仿宋_GB2312"/>
              </w:rPr>
            </w:pPr>
            <w:r>
              <w:rPr>
                <w:rFonts w:hint="eastAsia" w:ascii="仿宋_GB2312" w:hAnsi="仿宋_GB2312" w:eastAsia="仿宋_GB2312" w:cs="仿宋_GB2312"/>
              </w:rPr>
              <w:t>2.开展文体活动，提高幼儿综合素质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pStyle w:val="12"/>
              <w:keepNext w:val="0"/>
              <w:keepLines w:val="0"/>
              <w:pageBreakBefore w:val="0"/>
              <w:kinsoku/>
              <w:wordWrap/>
              <w:overflowPunct/>
              <w:topLinePunct w:val="0"/>
              <w:bidi w:val="0"/>
              <w:snapToGrid/>
              <w:spacing w:line="400" w:lineRule="exact"/>
              <w:rPr>
                <w:rFonts w:hint="eastAsia" w:ascii="仿宋_GB2312" w:hAnsi="仿宋_GB2312" w:eastAsia="仿宋_GB2312" w:cs="仿宋_GB2312"/>
              </w:rPr>
            </w:pPr>
            <w:r>
              <w:rPr>
                <w:rFonts w:hint="eastAsia" w:ascii="仿宋_GB2312" w:hAnsi="仿宋_GB2312" w:eastAsia="仿宋_GB2312" w:cs="仿宋_GB2312"/>
              </w:rPr>
              <w:t>一级指标</w:t>
            </w:r>
          </w:p>
        </w:tc>
        <w:tc>
          <w:tcPr>
            <w:tcW w:w="714" w:type="pct"/>
            <w:vAlign w:val="center"/>
          </w:tcPr>
          <w:p>
            <w:pPr>
              <w:pStyle w:val="12"/>
              <w:keepNext w:val="0"/>
              <w:keepLines w:val="0"/>
              <w:pageBreakBefore w:val="0"/>
              <w:kinsoku/>
              <w:wordWrap/>
              <w:overflowPunct/>
              <w:topLinePunct w:val="0"/>
              <w:bidi w:val="0"/>
              <w:snapToGrid/>
              <w:spacing w:line="400" w:lineRule="exact"/>
              <w:rPr>
                <w:rFonts w:hint="eastAsia" w:ascii="仿宋_GB2312" w:hAnsi="仿宋_GB2312" w:eastAsia="仿宋_GB2312" w:cs="仿宋_GB2312"/>
              </w:rPr>
            </w:pPr>
            <w:r>
              <w:rPr>
                <w:rFonts w:hint="eastAsia" w:ascii="仿宋_GB2312" w:hAnsi="仿宋_GB2312" w:eastAsia="仿宋_GB2312" w:cs="仿宋_GB2312"/>
              </w:rPr>
              <w:t>二级指标</w:t>
            </w:r>
          </w:p>
        </w:tc>
        <w:tc>
          <w:tcPr>
            <w:tcW w:w="714" w:type="pct"/>
            <w:vAlign w:val="center"/>
          </w:tcPr>
          <w:p>
            <w:pPr>
              <w:pStyle w:val="12"/>
              <w:keepNext w:val="0"/>
              <w:keepLines w:val="0"/>
              <w:pageBreakBefore w:val="0"/>
              <w:kinsoku/>
              <w:wordWrap/>
              <w:overflowPunct/>
              <w:topLinePunct w:val="0"/>
              <w:bidi w:val="0"/>
              <w:snapToGrid/>
              <w:spacing w:line="400" w:lineRule="exact"/>
              <w:rPr>
                <w:rFonts w:hint="eastAsia" w:ascii="仿宋_GB2312" w:hAnsi="仿宋_GB2312" w:eastAsia="仿宋_GB2312" w:cs="仿宋_GB2312"/>
              </w:rPr>
            </w:pPr>
            <w:r>
              <w:rPr>
                <w:rFonts w:hint="eastAsia" w:ascii="仿宋_GB2312" w:hAnsi="仿宋_GB2312" w:eastAsia="仿宋_GB2312" w:cs="仿宋_GB2312"/>
              </w:rPr>
              <w:t>三级指标</w:t>
            </w:r>
          </w:p>
        </w:tc>
        <w:tc>
          <w:tcPr>
            <w:tcW w:w="1428" w:type="pct"/>
            <w:vAlign w:val="center"/>
          </w:tcPr>
          <w:p>
            <w:pPr>
              <w:pStyle w:val="12"/>
              <w:keepNext w:val="0"/>
              <w:keepLines w:val="0"/>
              <w:pageBreakBefore w:val="0"/>
              <w:kinsoku/>
              <w:wordWrap/>
              <w:overflowPunct/>
              <w:topLinePunct w:val="0"/>
              <w:bidi w:val="0"/>
              <w:snapToGrid/>
              <w:spacing w:line="400" w:lineRule="exact"/>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714" w:type="pct"/>
            <w:vAlign w:val="center"/>
          </w:tcPr>
          <w:p>
            <w:pPr>
              <w:pStyle w:val="12"/>
              <w:keepNext w:val="0"/>
              <w:keepLines w:val="0"/>
              <w:pageBreakBefore w:val="0"/>
              <w:kinsoku/>
              <w:wordWrap/>
              <w:overflowPunct/>
              <w:topLinePunct w:val="0"/>
              <w:bidi w:val="0"/>
              <w:snapToGrid/>
              <w:spacing w:line="400" w:lineRule="exact"/>
              <w:rPr>
                <w:rFonts w:hint="eastAsia" w:ascii="仿宋_GB2312" w:hAnsi="仿宋_GB2312" w:eastAsia="仿宋_GB2312" w:cs="仿宋_GB2312"/>
              </w:rPr>
            </w:pPr>
            <w:r>
              <w:rPr>
                <w:rFonts w:hint="eastAsia" w:ascii="仿宋_GB2312" w:hAnsi="仿宋_GB2312" w:eastAsia="仿宋_GB2312" w:cs="仿宋_GB2312"/>
              </w:rPr>
              <w:t>指标值</w:t>
            </w:r>
          </w:p>
        </w:tc>
        <w:tc>
          <w:tcPr>
            <w:tcW w:w="714" w:type="pct"/>
            <w:vAlign w:val="center"/>
          </w:tcPr>
          <w:p>
            <w:pPr>
              <w:pStyle w:val="12"/>
              <w:keepNext w:val="0"/>
              <w:keepLines w:val="0"/>
              <w:pageBreakBefore w:val="0"/>
              <w:kinsoku/>
              <w:wordWrap/>
              <w:overflowPunct/>
              <w:topLinePunct w:val="0"/>
              <w:bidi w:val="0"/>
              <w:snapToGrid/>
              <w:spacing w:line="400" w:lineRule="exact"/>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5"/>
              <w:keepNext w:val="0"/>
              <w:keepLines w:val="0"/>
              <w:pageBreakBefore w:val="0"/>
              <w:kinsoku/>
              <w:wordWrap/>
              <w:overflowPunct/>
              <w:topLinePunct w:val="0"/>
              <w:bidi w:val="0"/>
              <w:snapToGrid/>
              <w:spacing w:line="400" w:lineRule="exact"/>
              <w:rPr>
                <w:rFonts w:hint="eastAsia" w:ascii="仿宋_GB2312" w:hAnsi="仿宋_GB2312" w:eastAsia="仿宋_GB2312" w:cs="仿宋_GB2312"/>
              </w:rPr>
            </w:pPr>
            <w:r>
              <w:rPr>
                <w:rFonts w:hint="eastAsia" w:ascii="仿宋_GB2312" w:hAnsi="仿宋_GB2312" w:eastAsia="仿宋_GB2312" w:cs="仿宋_GB2312"/>
              </w:rPr>
              <w:t>产出指标</w:t>
            </w:r>
          </w:p>
        </w:tc>
        <w:tc>
          <w:tcPr>
            <w:tcW w:w="714" w:type="pct"/>
            <w:vAlign w:val="center"/>
          </w:tcPr>
          <w:p>
            <w:pPr>
              <w:pStyle w:val="14"/>
              <w:keepNext w:val="0"/>
              <w:keepLines w:val="0"/>
              <w:pageBreakBefore w:val="0"/>
              <w:kinsoku/>
              <w:wordWrap/>
              <w:overflowPunct/>
              <w:topLinePunct w:val="0"/>
              <w:bidi w:val="0"/>
              <w:snapToGrid/>
              <w:spacing w:line="400" w:lineRule="exact"/>
              <w:rPr>
                <w:rFonts w:hint="eastAsia" w:ascii="仿宋_GB2312" w:hAnsi="仿宋_GB2312" w:eastAsia="仿宋_GB2312" w:cs="仿宋_GB2312"/>
              </w:rPr>
            </w:pPr>
            <w:r>
              <w:rPr>
                <w:rFonts w:hint="eastAsia" w:ascii="仿宋_GB2312" w:hAnsi="仿宋_GB2312" w:eastAsia="仿宋_GB2312" w:cs="仿宋_GB2312"/>
              </w:rPr>
              <w:t>数量指标</w:t>
            </w:r>
          </w:p>
        </w:tc>
        <w:tc>
          <w:tcPr>
            <w:tcW w:w="714" w:type="pct"/>
            <w:vAlign w:val="center"/>
          </w:tcPr>
          <w:p>
            <w:pPr>
              <w:pStyle w:val="14"/>
              <w:keepNext w:val="0"/>
              <w:keepLines w:val="0"/>
              <w:pageBreakBefore w:val="0"/>
              <w:kinsoku/>
              <w:wordWrap/>
              <w:overflowPunct/>
              <w:topLinePunct w:val="0"/>
              <w:bidi w:val="0"/>
              <w:snapToGrid/>
              <w:spacing w:line="400" w:lineRule="exact"/>
              <w:rPr>
                <w:rFonts w:hint="eastAsia" w:ascii="仿宋_GB2312" w:hAnsi="仿宋_GB2312" w:eastAsia="仿宋_GB2312" w:cs="仿宋_GB2312"/>
              </w:rPr>
            </w:pPr>
            <w:r>
              <w:rPr>
                <w:rFonts w:hint="eastAsia" w:ascii="仿宋_GB2312" w:hAnsi="仿宋_GB2312" w:eastAsia="仿宋_GB2312" w:cs="仿宋_GB2312"/>
              </w:rPr>
              <w:t>申请生均公用经费的幼儿人数</w:t>
            </w:r>
          </w:p>
        </w:tc>
        <w:tc>
          <w:tcPr>
            <w:tcW w:w="1428" w:type="pct"/>
            <w:vAlign w:val="center"/>
          </w:tcPr>
          <w:p>
            <w:pPr>
              <w:pStyle w:val="14"/>
              <w:keepNext w:val="0"/>
              <w:keepLines w:val="0"/>
              <w:pageBreakBefore w:val="0"/>
              <w:kinsoku/>
              <w:wordWrap/>
              <w:overflowPunct/>
              <w:topLinePunct w:val="0"/>
              <w:bidi w:val="0"/>
              <w:snapToGrid/>
              <w:spacing w:line="400" w:lineRule="exact"/>
              <w:rPr>
                <w:rFonts w:hint="eastAsia" w:ascii="仿宋_GB2312" w:hAnsi="仿宋_GB2312" w:eastAsia="仿宋_GB2312" w:cs="仿宋_GB2312"/>
              </w:rPr>
            </w:pPr>
            <w:r>
              <w:rPr>
                <w:rFonts w:hint="eastAsia" w:ascii="仿宋_GB2312" w:hAnsi="仿宋_GB2312" w:eastAsia="仿宋_GB2312" w:cs="仿宋_GB2312"/>
              </w:rPr>
              <w:t>按文件要求申请生均公用经费的幼儿人数</w:t>
            </w:r>
          </w:p>
        </w:tc>
        <w:tc>
          <w:tcPr>
            <w:tcW w:w="714" w:type="pct"/>
            <w:vAlign w:val="center"/>
          </w:tcPr>
          <w:p>
            <w:pPr>
              <w:pStyle w:val="14"/>
              <w:keepNext w:val="0"/>
              <w:keepLines w:val="0"/>
              <w:pageBreakBefore w:val="0"/>
              <w:kinsoku/>
              <w:wordWrap/>
              <w:overflowPunct/>
              <w:topLinePunct w:val="0"/>
              <w:bidi w:val="0"/>
              <w:snapToGrid/>
              <w:spacing w:line="400" w:lineRule="exact"/>
              <w:rPr>
                <w:rFonts w:hint="eastAsia" w:ascii="仿宋_GB2312" w:hAnsi="仿宋_GB2312" w:eastAsia="仿宋_GB2312" w:cs="仿宋_GB2312"/>
              </w:rPr>
            </w:pPr>
            <w:r>
              <w:rPr>
                <w:rFonts w:hint="eastAsia" w:ascii="仿宋_GB2312" w:hAnsi="仿宋_GB2312" w:eastAsia="仿宋_GB2312" w:cs="仿宋_GB2312"/>
              </w:rPr>
              <w:t>201人</w:t>
            </w:r>
          </w:p>
        </w:tc>
        <w:tc>
          <w:tcPr>
            <w:tcW w:w="714" w:type="pct"/>
            <w:vAlign w:val="center"/>
          </w:tcPr>
          <w:p>
            <w:pPr>
              <w:pStyle w:val="14"/>
              <w:keepNext w:val="0"/>
              <w:keepLines w:val="0"/>
              <w:pageBreakBefore w:val="0"/>
              <w:kinsoku/>
              <w:wordWrap/>
              <w:overflowPunct/>
              <w:topLinePunct w:val="0"/>
              <w:bidi w:val="0"/>
              <w:snapToGrid/>
              <w:spacing w:line="400" w:lineRule="exact"/>
              <w:rPr>
                <w:rFonts w:hint="eastAsia" w:ascii="仿宋_GB2312" w:hAnsi="仿宋_GB2312" w:eastAsia="仿宋_GB2312" w:cs="仿宋_GB2312"/>
              </w:rPr>
            </w:pPr>
            <w:r>
              <w:rPr>
                <w:rFonts w:hint="eastAsia" w:ascii="仿宋_GB2312" w:hAnsi="仿宋_GB2312" w:eastAsia="仿宋_GB2312" w:cs="仿宋_GB2312"/>
              </w:rPr>
              <w:t>冀财教【2018】99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keepNext w:val="0"/>
              <w:keepLines w:val="0"/>
              <w:pageBreakBefore w:val="0"/>
              <w:kinsoku/>
              <w:wordWrap/>
              <w:overflowPunct/>
              <w:topLinePunct w:val="0"/>
              <w:bidi w:val="0"/>
              <w:snapToGrid/>
              <w:spacing w:line="400" w:lineRule="exact"/>
              <w:rPr>
                <w:rFonts w:hint="eastAsia" w:ascii="仿宋_GB2312" w:hAnsi="仿宋_GB2312" w:eastAsia="仿宋_GB2312" w:cs="仿宋_GB2312"/>
              </w:rPr>
            </w:pPr>
          </w:p>
        </w:tc>
        <w:tc>
          <w:tcPr>
            <w:tcW w:w="714" w:type="pct"/>
            <w:vAlign w:val="center"/>
          </w:tcPr>
          <w:p>
            <w:pPr>
              <w:pStyle w:val="14"/>
              <w:keepNext w:val="0"/>
              <w:keepLines w:val="0"/>
              <w:pageBreakBefore w:val="0"/>
              <w:kinsoku/>
              <w:wordWrap/>
              <w:overflowPunct/>
              <w:topLinePunct w:val="0"/>
              <w:bidi w:val="0"/>
              <w:snapToGrid/>
              <w:spacing w:line="400" w:lineRule="exact"/>
              <w:rPr>
                <w:rFonts w:hint="eastAsia" w:ascii="仿宋_GB2312" w:hAnsi="仿宋_GB2312" w:eastAsia="仿宋_GB2312" w:cs="仿宋_GB2312"/>
              </w:rPr>
            </w:pPr>
            <w:r>
              <w:rPr>
                <w:rFonts w:hint="eastAsia" w:ascii="仿宋_GB2312" w:hAnsi="仿宋_GB2312" w:eastAsia="仿宋_GB2312" w:cs="仿宋_GB2312"/>
              </w:rPr>
              <w:t>质量指标</w:t>
            </w:r>
          </w:p>
        </w:tc>
        <w:tc>
          <w:tcPr>
            <w:tcW w:w="714" w:type="pct"/>
            <w:vAlign w:val="center"/>
          </w:tcPr>
          <w:p>
            <w:pPr>
              <w:pStyle w:val="14"/>
              <w:keepNext w:val="0"/>
              <w:keepLines w:val="0"/>
              <w:pageBreakBefore w:val="0"/>
              <w:kinsoku/>
              <w:wordWrap/>
              <w:overflowPunct/>
              <w:topLinePunct w:val="0"/>
              <w:bidi w:val="0"/>
              <w:snapToGrid/>
              <w:spacing w:line="400" w:lineRule="exact"/>
              <w:rPr>
                <w:rFonts w:hint="eastAsia" w:ascii="仿宋_GB2312" w:hAnsi="仿宋_GB2312" w:eastAsia="仿宋_GB2312" w:cs="仿宋_GB2312"/>
              </w:rPr>
            </w:pPr>
            <w:r>
              <w:rPr>
                <w:rFonts w:hint="eastAsia" w:ascii="仿宋_GB2312" w:hAnsi="仿宋_GB2312" w:eastAsia="仿宋_GB2312" w:cs="仿宋_GB2312"/>
              </w:rPr>
              <w:t>生均公用经费使用的合规率</w:t>
            </w:r>
          </w:p>
        </w:tc>
        <w:tc>
          <w:tcPr>
            <w:tcW w:w="1428" w:type="pct"/>
            <w:vAlign w:val="center"/>
          </w:tcPr>
          <w:p>
            <w:pPr>
              <w:pStyle w:val="14"/>
              <w:keepNext w:val="0"/>
              <w:keepLines w:val="0"/>
              <w:pageBreakBefore w:val="0"/>
              <w:kinsoku/>
              <w:wordWrap/>
              <w:overflowPunct/>
              <w:topLinePunct w:val="0"/>
              <w:bidi w:val="0"/>
              <w:snapToGrid/>
              <w:spacing w:line="400" w:lineRule="exact"/>
              <w:rPr>
                <w:rFonts w:hint="eastAsia" w:ascii="仿宋_GB2312" w:hAnsi="仿宋_GB2312" w:eastAsia="仿宋_GB2312" w:cs="仿宋_GB2312"/>
              </w:rPr>
            </w:pPr>
            <w:r>
              <w:rPr>
                <w:rFonts w:hint="eastAsia" w:ascii="仿宋_GB2312" w:hAnsi="仿宋_GB2312" w:eastAsia="仿宋_GB2312" w:cs="仿宋_GB2312"/>
              </w:rPr>
              <w:t>生均公用经费使用符合文件中的相关规定</w:t>
            </w:r>
          </w:p>
        </w:tc>
        <w:tc>
          <w:tcPr>
            <w:tcW w:w="714" w:type="pct"/>
            <w:vAlign w:val="center"/>
          </w:tcPr>
          <w:p>
            <w:pPr>
              <w:pStyle w:val="14"/>
              <w:keepNext w:val="0"/>
              <w:keepLines w:val="0"/>
              <w:pageBreakBefore w:val="0"/>
              <w:kinsoku/>
              <w:wordWrap/>
              <w:overflowPunct/>
              <w:topLinePunct w:val="0"/>
              <w:bidi w:val="0"/>
              <w:snapToGrid/>
              <w:spacing w:line="400" w:lineRule="exact"/>
              <w:rPr>
                <w:rFonts w:hint="eastAsia" w:ascii="仿宋_GB2312" w:hAnsi="仿宋_GB2312" w:eastAsia="仿宋_GB2312" w:cs="仿宋_GB2312"/>
              </w:rPr>
            </w:pPr>
            <w:r>
              <w:rPr>
                <w:rFonts w:hint="eastAsia" w:ascii="仿宋_GB2312" w:hAnsi="仿宋_GB2312" w:eastAsia="仿宋_GB2312" w:cs="仿宋_GB2312"/>
              </w:rPr>
              <w:t>100%</w:t>
            </w:r>
          </w:p>
        </w:tc>
        <w:tc>
          <w:tcPr>
            <w:tcW w:w="714" w:type="pct"/>
            <w:vAlign w:val="center"/>
          </w:tcPr>
          <w:p>
            <w:pPr>
              <w:pStyle w:val="14"/>
              <w:keepNext w:val="0"/>
              <w:keepLines w:val="0"/>
              <w:pageBreakBefore w:val="0"/>
              <w:kinsoku/>
              <w:wordWrap/>
              <w:overflowPunct/>
              <w:topLinePunct w:val="0"/>
              <w:bidi w:val="0"/>
              <w:snapToGrid/>
              <w:spacing w:line="400" w:lineRule="exact"/>
              <w:rPr>
                <w:rFonts w:hint="eastAsia" w:ascii="仿宋_GB2312" w:hAnsi="仿宋_GB2312" w:eastAsia="仿宋_GB2312" w:cs="仿宋_GB2312"/>
              </w:rPr>
            </w:pPr>
            <w:r>
              <w:rPr>
                <w:rFonts w:hint="eastAsia" w:ascii="仿宋_GB2312" w:hAnsi="仿宋_GB2312" w:eastAsia="仿宋_GB2312" w:cs="仿宋_GB2312"/>
              </w:rPr>
              <w:t>冀财教【2018】99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keepNext w:val="0"/>
              <w:keepLines w:val="0"/>
              <w:pageBreakBefore w:val="0"/>
              <w:kinsoku/>
              <w:wordWrap/>
              <w:overflowPunct/>
              <w:topLinePunct w:val="0"/>
              <w:bidi w:val="0"/>
              <w:snapToGrid/>
              <w:spacing w:line="400" w:lineRule="exact"/>
              <w:rPr>
                <w:rFonts w:hint="eastAsia" w:ascii="仿宋_GB2312" w:hAnsi="仿宋_GB2312" w:eastAsia="仿宋_GB2312" w:cs="仿宋_GB2312"/>
              </w:rPr>
            </w:pPr>
          </w:p>
        </w:tc>
        <w:tc>
          <w:tcPr>
            <w:tcW w:w="714" w:type="pct"/>
            <w:vAlign w:val="center"/>
          </w:tcPr>
          <w:p>
            <w:pPr>
              <w:pStyle w:val="14"/>
              <w:keepNext w:val="0"/>
              <w:keepLines w:val="0"/>
              <w:pageBreakBefore w:val="0"/>
              <w:kinsoku/>
              <w:wordWrap/>
              <w:overflowPunct/>
              <w:topLinePunct w:val="0"/>
              <w:bidi w:val="0"/>
              <w:snapToGrid/>
              <w:spacing w:line="400" w:lineRule="exact"/>
              <w:rPr>
                <w:rFonts w:hint="eastAsia" w:ascii="仿宋_GB2312" w:hAnsi="仿宋_GB2312" w:eastAsia="仿宋_GB2312" w:cs="仿宋_GB2312"/>
              </w:rPr>
            </w:pPr>
            <w:r>
              <w:rPr>
                <w:rFonts w:hint="eastAsia" w:ascii="仿宋_GB2312" w:hAnsi="仿宋_GB2312" w:eastAsia="仿宋_GB2312" w:cs="仿宋_GB2312"/>
              </w:rPr>
              <w:t>时效指标</w:t>
            </w:r>
          </w:p>
        </w:tc>
        <w:tc>
          <w:tcPr>
            <w:tcW w:w="714" w:type="pct"/>
            <w:vAlign w:val="center"/>
          </w:tcPr>
          <w:p>
            <w:pPr>
              <w:pStyle w:val="14"/>
              <w:keepNext w:val="0"/>
              <w:keepLines w:val="0"/>
              <w:pageBreakBefore w:val="0"/>
              <w:kinsoku/>
              <w:wordWrap/>
              <w:overflowPunct/>
              <w:topLinePunct w:val="0"/>
              <w:bidi w:val="0"/>
              <w:snapToGrid/>
              <w:spacing w:line="400" w:lineRule="exact"/>
              <w:rPr>
                <w:rFonts w:hint="eastAsia" w:ascii="仿宋_GB2312" w:hAnsi="仿宋_GB2312" w:eastAsia="仿宋_GB2312" w:cs="仿宋_GB2312"/>
              </w:rPr>
            </w:pPr>
            <w:r>
              <w:rPr>
                <w:rFonts w:hint="eastAsia" w:ascii="仿宋_GB2312" w:hAnsi="仿宋_GB2312" w:eastAsia="仿宋_GB2312" w:cs="仿宋_GB2312"/>
              </w:rPr>
              <w:t>用于保障学校正常运转项目完成及时率</w:t>
            </w:r>
          </w:p>
        </w:tc>
        <w:tc>
          <w:tcPr>
            <w:tcW w:w="1428" w:type="pct"/>
            <w:vAlign w:val="center"/>
          </w:tcPr>
          <w:p>
            <w:pPr>
              <w:pStyle w:val="14"/>
              <w:keepNext w:val="0"/>
              <w:keepLines w:val="0"/>
              <w:pageBreakBefore w:val="0"/>
              <w:kinsoku/>
              <w:wordWrap/>
              <w:overflowPunct/>
              <w:topLinePunct w:val="0"/>
              <w:bidi w:val="0"/>
              <w:snapToGrid/>
              <w:spacing w:line="400" w:lineRule="exact"/>
              <w:rPr>
                <w:rFonts w:hint="eastAsia" w:ascii="仿宋_GB2312" w:hAnsi="仿宋_GB2312" w:eastAsia="仿宋_GB2312" w:cs="仿宋_GB2312"/>
              </w:rPr>
            </w:pPr>
            <w:r>
              <w:rPr>
                <w:rFonts w:hint="eastAsia" w:ascii="仿宋_GB2312" w:hAnsi="仿宋_GB2312" w:eastAsia="仿宋_GB2312" w:cs="仿宋_GB2312"/>
              </w:rPr>
              <w:t>使用生均公用经费，用于保障幼儿园正常运转的项目完成情况</w:t>
            </w:r>
          </w:p>
        </w:tc>
        <w:tc>
          <w:tcPr>
            <w:tcW w:w="714" w:type="pct"/>
            <w:vAlign w:val="center"/>
          </w:tcPr>
          <w:p>
            <w:pPr>
              <w:pStyle w:val="14"/>
              <w:keepNext w:val="0"/>
              <w:keepLines w:val="0"/>
              <w:pageBreakBefore w:val="0"/>
              <w:kinsoku/>
              <w:wordWrap/>
              <w:overflowPunct/>
              <w:topLinePunct w:val="0"/>
              <w:bidi w:val="0"/>
              <w:snapToGrid/>
              <w:spacing w:line="400" w:lineRule="exact"/>
              <w:rPr>
                <w:rFonts w:hint="eastAsia" w:ascii="仿宋_GB2312" w:hAnsi="仿宋_GB2312" w:eastAsia="仿宋_GB2312" w:cs="仿宋_GB2312"/>
              </w:rPr>
            </w:pPr>
            <w:r>
              <w:rPr>
                <w:rFonts w:hint="eastAsia" w:ascii="仿宋_GB2312" w:hAnsi="仿宋_GB2312" w:eastAsia="仿宋_GB2312" w:cs="仿宋_GB2312"/>
              </w:rPr>
              <w:t>100%</w:t>
            </w:r>
          </w:p>
        </w:tc>
        <w:tc>
          <w:tcPr>
            <w:tcW w:w="714" w:type="pct"/>
            <w:vAlign w:val="center"/>
          </w:tcPr>
          <w:p>
            <w:pPr>
              <w:pStyle w:val="14"/>
              <w:keepNext w:val="0"/>
              <w:keepLines w:val="0"/>
              <w:pageBreakBefore w:val="0"/>
              <w:kinsoku/>
              <w:wordWrap/>
              <w:overflowPunct/>
              <w:topLinePunct w:val="0"/>
              <w:bidi w:val="0"/>
              <w:snapToGrid/>
              <w:spacing w:line="400" w:lineRule="exact"/>
              <w:rPr>
                <w:rFonts w:hint="eastAsia" w:ascii="仿宋_GB2312" w:hAnsi="仿宋_GB2312" w:eastAsia="仿宋_GB2312" w:cs="仿宋_GB2312"/>
              </w:rPr>
            </w:pPr>
            <w:r>
              <w:rPr>
                <w:rFonts w:hint="eastAsia" w:ascii="仿宋_GB2312" w:hAnsi="仿宋_GB2312" w:eastAsia="仿宋_GB2312" w:cs="仿宋_GB2312"/>
              </w:rPr>
              <w:t>按进度及时完成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keepNext w:val="0"/>
              <w:keepLines w:val="0"/>
              <w:pageBreakBefore w:val="0"/>
              <w:kinsoku/>
              <w:wordWrap/>
              <w:overflowPunct/>
              <w:topLinePunct w:val="0"/>
              <w:bidi w:val="0"/>
              <w:snapToGrid/>
              <w:spacing w:line="400" w:lineRule="exact"/>
              <w:rPr>
                <w:rFonts w:hint="eastAsia" w:ascii="仿宋_GB2312" w:hAnsi="仿宋_GB2312" w:eastAsia="仿宋_GB2312" w:cs="仿宋_GB2312"/>
              </w:rPr>
            </w:pPr>
          </w:p>
        </w:tc>
        <w:tc>
          <w:tcPr>
            <w:tcW w:w="714" w:type="pct"/>
            <w:vAlign w:val="center"/>
          </w:tcPr>
          <w:p>
            <w:pPr>
              <w:pStyle w:val="14"/>
              <w:keepNext w:val="0"/>
              <w:keepLines w:val="0"/>
              <w:pageBreakBefore w:val="0"/>
              <w:kinsoku/>
              <w:wordWrap/>
              <w:overflowPunct/>
              <w:topLinePunct w:val="0"/>
              <w:bidi w:val="0"/>
              <w:snapToGrid/>
              <w:spacing w:line="400" w:lineRule="exact"/>
              <w:rPr>
                <w:rFonts w:hint="eastAsia" w:ascii="仿宋_GB2312" w:hAnsi="仿宋_GB2312" w:eastAsia="仿宋_GB2312" w:cs="仿宋_GB2312"/>
              </w:rPr>
            </w:pPr>
            <w:r>
              <w:rPr>
                <w:rFonts w:hint="eastAsia" w:ascii="仿宋_GB2312" w:hAnsi="仿宋_GB2312" w:eastAsia="仿宋_GB2312" w:cs="仿宋_GB2312"/>
              </w:rPr>
              <w:t>成本指标</w:t>
            </w:r>
          </w:p>
        </w:tc>
        <w:tc>
          <w:tcPr>
            <w:tcW w:w="714" w:type="pct"/>
            <w:vAlign w:val="center"/>
          </w:tcPr>
          <w:p>
            <w:pPr>
              <w:pStyle w:val="14"/>
              <w:keepNext w:val="0"/>
              <w:keepLines w:val="0"/>
              <w:pageBreakBefore w:val="0"/>
              <w:kinsoku/>
              <w:wordWrap/>
              <w:overflowPunct/>
              <w:topLinePunct w:val="0"/>
              <w:bidi w:val="0"/>
              <w:snapToGrid/>
              <w:spacing w:line="400" w:lineRule="exact"/>
              <w:rPr>
                <w:rFonts w:hint="eastAsia" w:ascii="仿宋_GB2312" w:hAnsi="仿宋_GB2312" w:eastAsia="仿宋_GB2312" w:cs="仿宋_GB2312"/>
              </w:rPr>
            </w:pPr>
            <w:r>
              <w:rPr>
                <w:rFonts w:hint="eastAsia" w:ascii="仿宋_GB2312" w:hAnsi="仿宋_GB2312" w:eastAsia="仿宋_GB2312" w:cs="仿宋_GB2312"/>
              </w:rPr>
              <w:t>使用生均公用经费，用于保障幼儿园正常运转的项目支出成本</w:t>
            </w:r>
          </w:p>
        </w:tc>
        <w:tc>
          <w:tcPr>
            <w:tcW w:w="1428" w:type="pct"/>
            <w:vAlign w:val="center"/>
          </w:tcPr>
          <w:p>
            <w:pPr>
              <w:pStyle w:val="14"/>
              <w:keepNext w:val="0"/>
              <w:keepLines w:val="0"/>
              <w:pageBreakBefore w:val="0"/>
              <w:kinsoku/>
              <w:wordWrap/>
              <w:overflowPunct/>
              <w:topLinePunct w:val="0"/>
              <w:bidi w:val="0"/>
              <w:snapToGrid/>
              <w:spacing w:line="400" w:lineRule="exact"/>
              <w:rPr>
                <w:rFonts w:hint="eastAsia" w:ascii="仿宋_GB2312" w:hAnsi="仿宋_GB2312" w:eastAsia="仿宋_GB2312" w:cs="仿宋_GB2312"/>
              </w:rPr>
            </w:pPr>
            <w:r>
              <w:rPr>
                <w:rFonts w:hint="eastAsia" w:ascii="仿宋_GB2312" w:hAnsi="仿宋_GB2312" w:eastAsia="仿宋_GB2312" w:cs="仿宋_GB2312"/>
              </w:rPr>
              <w:t>使用生均公用经费，用于保障幼儿园正常运转的项目支出成本等于400元/生</w:t>
            </w:r>
          </w:p>
        </w:tc>
        <w:tc>
          <w:tcPr>
            <w:tcW w:w="714" w:type="pct"/>
            <w:vAlign w:val="center"/>
          </w:tcPr>
          <w:p>
            <w:pPr>
              <w:pStyle w:val="14"/>
              <w:keepNext w:val="0"/>
              <w:keepLines w:val="0"/>
              <w:pageBreakBefore w:val="0"/>
              <w:kinsoku/>
              <w:wordWrap/>
              <w:overflowPunct/>
              <w:topLinePunct w:val="0"/>
              <w:bidi w:val="0"/>
              <w:snapToGrid/>
              <w:spacing w:line="400" w:lineRule="exact"/>
              <w:rPr>
                <w:rFonts w:hint="eastAsia" w:ascii="仿宋_GB2312" w:hAnsi="仿宋_GB2312" w:eastAsia="仿宋_GB2312" w:cs="仿宋_GB2312"/>
              </w:rPr>
            </w:pPr>
            <w:r>
              <w:rPr>
                <w:rFonts w:hint="eastAsia" w:ascii="仿宋_GB2312" w:hAnsi="仿宋_GB2312" w:eastAsia="仿宋_GB2312" w:cs="仿宋_GB2312"/>
              </w:rPr>
              <w:t>400元/生</w:t>
            </w:r>
          </w:p>
        </w:tc>
        <w:tc>
          <w:tcPr>
            <w:tcW w:w="714" w:type="pct"/>
            <w:vAlign w:val="center"/>
          </w:tcPr>
          <w:p>
            <w:pPr>
              <w:pStyle w:val="14"/>
              <w:keepNext w:val="0"/>
              <w:keepLines w:val="0"/>
              <w:pageBreakBefore w:val="0"/>
              <w:kinsoku/>
              <w:wordWrap/>
              <w:overflowPunct/>
              <w:topLinePunct w:val="0"/>
              <w:bidi w:val="0"/>
              <w:snapToGrid/>
              <w:spacing w:line="400" w:lineRule="exact"/>
              <w:rPr>
                <w:rFonts w:hint="eastAsia" w:ascii="仿宋_GB2312" w:hAnsi="仿宋_GB2312" w:eastAsia="仿宋_GB2312" w:cs="仿宋_GB2312"/>
              </w:rPr>
            </w:pPr>
            <w:r>
              <w:rPr>
                <w:rFonts w:hint="eastAsia" w:ascii="仿宋_GB2312" w:hAnsi="仿宋_GB2312" w:eastAsia="仿宋_GB2312" w:cs="仿宋_GB2312"/>
              </w:rPr>
              <w:t>冀财教【2018】99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5"/>
              <w:keepNext w:val="0"/>
              <w:keepLines w:val="0"/>
              <w:pageBreakBefore w:val="0"/>
              <w:kinsoku/>
              <w:wordWrap/>
              <w:overflowPunct/>
              <w:topLinePunct w:val="0"/>
              <w:bidi w:val="0"/>
              <w:snapToGrid/>
              <w:spacing w:line="400" w:lineRule="exact"/>
              <w:rPr>
                <w:rFonts w:hint="eastAsia" w:ascii="仿宋_GB2312" w:hAnsi="仿宋_GB2312" w:eastAsia="仿宋_GB2312" w:cs="仿宋_GB2312"/>
              </w:rPr>
            </w:pPr>
            <w:r>
              <w:rPr>
                <w:rFonts w:hint="eastAsia" w:ascii="仿宋_GB2312" w:hAnsi="仿宋_GB2312" w:eastAsia="仿宋_GB2312" w:cs="仿宋_GB2312"/>
              </w:rPr>
              <w:t>效益指标</w:t>
            </w:r>
          </w:p>
        </w:tc>
        <w:tc>
          <w:tcPr>
            <w:tcW w:w="714" w:type="pct"/>
            <w:vAlign w:val="center"/>
          </w:tcPr>
          <w:p>
            <w:pPr>
              <w:pStyle w:val="14"/>
              <w:keepNext w:val="0"/>
              <w:keepLines w:val="0"/>
              <w:pageBreakBefore w:val="0"/>
              <w:kinsoku/>
              <w:wordWrap/>
              <w:overflowPunct/>
              <w:topLinePunct w:val="0"/>
              <w:bidi w:val="0"/>
              <w:snapToGrid/>
              <w:spacing w:line="400" w:lineRule="exact"/>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714" w:type="pct"/>
            <w:vAlign w:val="center"/>
          </w:tcPr>
          <w:p>
            <w:pPr>
              <w:pStyle w:val="14"/>
              <w:keepNext w:val="0"/>
              <w:keepLines w:val="0"/>
              <w:pageBreakBefore w:val="0"/>
              <w:kinsoku/>
              <w:wordWrap/>
              <w:overflowPunct/>
              <w:topLinePunct w:val="0"/>
              <w:bidi w:val="0"/>
              <w:snapToGrid/>
              <w:spacing w:line="400" w:lineRule="exact"/>
              <w:rPr>
                <w:rFonts w:hint="eastAsia" w:ascii="仿宋_GB2312" w:hAnsi="仿宋_GB2312" w:eastAsia="仿宋_GB2312" w:cs="仿宋_GB2312"/>
              </w:rPr>
            </w:pPr>
            <w:r>
              <w:rPr>
                <w:rFonts w:hint="eastAsia" w:ascii="仿宋_GB2312" w:hAnsi="仿宋_GB2312" w:eastAsia="仿宋_GB2312" w:cs="仿宋_GB2312"/>
              </w:rPr>
              <w:t>学前教育高质量发展</w:t>
            </w:r>
          </w:p>
        </w:tc>
        <w:tc>
          <w:tcPr>
            <w:tcW w:w="1428" w:type="pct"/>
            <w:vAlign w:val="center"/>
          </w:tcPr>
          <w:p>
            <w:pPr>
              <w:pStyle w:val="14"/>
              <w:keepNext w:val="0"/>
              <w:keepLines w:val="0"/>
              <w:pageBreakBefore w:val="0"/>
              <w:kinsoku/>
              <w:wordWrap/>
              <w:overflowPunct/>
              <w:topLinePunct w:val="0"/>
              <w:bidi w:val="0"/>
              <w:snapToGrid/>
              <w:spacing w:line="400" w:lineRule="exact"/>
              <w:rPr>
                <w:rFonts w:hint="eastAsia" w:ascii="仿宋_GB2312" w:hAnsi="仿宋_GB2312" w:eastAsia="仿宋_GB2312" w:cs="仿宋_GB2312"/>
              </w:rPr>
            </w:pPr>
            <w:r>
              <w:rPr>
                <w:rFonts w:hint="eastAsia" w:ascii="仿宋_GB2312" w:hAnsi="仿宋_GB2312" w:eastAsia="仿宋_GB2312" w:cs="仿宋_GB2312"/>
              </w:rPr>
              <w:t>该资金用于学校正常运转，改善办学条件，促进学前教育均衡发展及幼儿素质提高</w:t>
            </w:r>
          </w:p>
        </w:tc>
        <w:tc>
          <w:tcPr>
            <w:tcW w:w="714" w:type="pct"/>
            <w:vAlign w:val="center"/>
          </w:tcPr>
          <w:p>
            <w:pPr>
              <w:pStyle w:val="14"/>
              <w:keepNext w:val="0"/>
              <w:keepLines w:val="0"/>
              <w:pageBreakBefore w:val="0"/>
              <w:kinsoku/>
              <w:wordWrap/>
              <w:overflowPunct/>
              <w:topLinePunct w:val="0"/>
              <w:bidi w:val="0"/>
              <w:snapToGrid/>
              <w:spacing w:line="400" w:lineRule="exact"/>
              <w:rPr>
                <w:rFonts w:hint="eastAsia" w:ascii="仿宋_GB2312" w:hAnsi="仿宋_GB2312" w:eastAsia="仿宋_GB2312" w:cs="仿宋_GB2312"/>
              </w:rPr>
            </w:pPr>
            <w:r>
              <w:rPr>
                <w:rFonts w:hint="eastAsia" w:ascii="仿宋_GB2312" w:hAnsi="仿宋_GB2312" w:eastAsia="仿宋_GB2312" w:cs="仿宋_GB2312"/>
              </w:rPr>
              <w:t>支持</w:t>
            </w:r>
          </w:p>
        </w:tc>
        <w:tc>
          <w:tcPr>
            <w:tcW w:w="714" w:type="pct"/>
            <w:vAlign w:val="center"/>
          </w:tcPr>
          <w:p>
            <w:pPr>
              <w:pStyle w:val="14"/>
              <w:keepNext w:val="0"/>
              <w:keepLines w:val="0"/>
              <w:pageBreakBefore w:val="0"/>
              <w:kinsoku/>
              <w:wordWrap/>
              <w:overflowPunct/>
              <w:topLinePunct w:val="0"/>
              <w:bidi w:val="0"/>
              <w:snapToGrid/>
              <w:spacing w:line="400" w:lineRule="exact"/>
              <w:rPr>
                <w:rFonts w:hint="eastAsia" w:ascii="仿宋_GB2312" w:hAnsi="仿宋_GB2312" w:eastAsia="仿宋_GB2312" w:cs="仿宋_GB2312"/>
              </w:rPr>
            </w:pPr>
            <w:r>
              <w:rPr>
                <w:rFonts w:hint="eastAsia" w:ascii="仿宋_GB2312" w:hAnsi="仿宋_GB2312" w:eastAsia="仿宋_GB2312" w:cs="仿宋_GB2312"/>
              </w:rPr>
              <w:t>冀财教【2019】66号文件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5"/>
              <w:keepNext w:val="0"/>
              <w:keepLines w:val="0"/>
              <w:pageBreakBefore w:val="0"/>
              <w:kinsoku/>
              <w:wordWrap/>
              <w:overflowPunct/>
              <w:topLinePunct w:val="0"/>
              <w:bidi w:val="0"/>
              <w:snapToGrid/>
              <w:spacing w:line="400" w:lineRule="exact"/>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714" w:type="pct"/>
            <w:vAlign w:val="center"/>
          </w:tcPr>
          <w:p>
            <w:pPr>
              <w:pStyle w:val="14"/>
              <w:keepNext w:val="0"/>
              <w:keepLines w:val="0"/>
              <w:pageBreakBefore w:val="0"/>
              <w:kinsoku/>
              <w:wordWrap/>
              <w:overflowPunct/>
              <w:topLinePunct w:val="0"/>
              <w:bidi w:val="0"/>
              <w:snapToGrid/>
              <w:spacing w:line="400" w:lineRule="exact"/>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714" w:type="pct"/>
            <w:vAlign w:val="center"/>
          </w:tcPr>
          <w:p>
            <w:pPr>
              <w:pStyle w:val="14"/>
              <w:keepNext w:val="0"/>
              <w:keepLines w:val="0"/>
              <w:pageBreakBefore w:val="0"/>
              <w:kinsoku/>
              <w:wordWrap/>
              <w:overflowPunct/>
              <w:topLinePunct w:val="0"/>
              <w:bidi w:val="0"/>
              <w:snapToGrid/>
              <w:spacing w:line="400" w:lineRule="exact"/>
              <w:rPr>
                <w:rFonts w:hint="eastAsia" w:ascii="仿宋_GB2312" w:hAnsi="仿宋_GB2312" w:eastAsia="仿宋_GB2312" w:cs="仿宋_GB2312"/>
              </w:rPr>
            </w:pPr>
            <w:r>
              <w:rPr>
                <w:rFonts w:hint="eastAsia" w:ascii="仿宋_GB2312" w:hAnsi="仿宋_GB2312" w:eastAsia="仿宋_GB2312" w:cs="仿宋_GB2312"/>
              </w:rPr>
              <w:t>在园师生满意度</w:t>
            </w:r>
          </w:p>
        </w:tc>
        <w:tc>
          <w:tcPr>
            <w:tcW w:w="1428" w:type="pct"/>
            <w:vAlign w:val="center"/>
          </w:tcPr>
          <w:p>
            <w:pPr>
              <w:pStyle w:val="14"/>
              <w:keepNext w:val="0"/>
              <w:keepLines w:val="0"/>
              <w:pageBreakBefore w:val="0"/>
              <w:kinsoku/>
              <w:wordWrap/>
              <w:overflowPunct/>
              <w:topLinePunct w:val="0"/>
              <w:bidi w:val="0"/>
              <w:snapToGrid/>
              <w:spacing w:line="400" w:lineRule="exact"/>
              <w:rPr>
                <w:rFonts w:hint="eastAsia" w:ascii="仿宋_GB2312" w:hAnsi="仿宋_GB2312" w:eastAsia="仿宋_GB2312" w:cs="仿宋_GB2312"/>
              </w:rPr>
            </w:pPr>
            <w:r>
              <w:rPr>
                <w:rFonts w:hint="eastAsia" w:ascii="仿宋_GB2312" w:hAnsi="仿宋_GB2312" w:eastAsia="仿宋_GB2312" w:cs="仿宋_GB2312"/>
              </w:rPr>
              <w:t>在园师生满意度</w:t>
            </w:r>
          </w:p>
        </w:tc>
        <w:tc>
          <w:tcPr>
            <w:tcW w:w="714" w:type="pct"/>
            <w:vAlign w:val="center"/>
          </w:tcPr>
          <w:p>
            <w:pPr>
              <w:pStyle w:val="14"/>
              <w:keepNext w:val="0"/>
              <w:keepLines w:val="0"/>
              <w:pageBreakBefore w:val="0"/>
              <w:kinsoku/>
              <w:wordWrap/>
              <w:overflowPunct/>
              <w:topLinePunct w:val="0"/>
              <w:bidi w:val="0"/>
              <w:snapToGrid/>
              <w:spacing w:line="400" w:lineRule="exact"/>
              <w:rPr>
                <w:rFonts w:hint="eastAsia" w:ascii="仿宋_GB2312" w:hAnsi="仿宋_GB2312" w:eastAsia="仿宋_GB2312" w:cs="仿宋_GB2312"/>
              </w:rPr>
            </w:pPr>
            <w:r>
              <w:rPr>
                <w:rFonts w:hint="eastAsia" w:ascii="仿宋_GB2312" w:hAnsi="仿宋_GB2312" w:eastAsia="仿宋_GB2312" w:cs="仿宋_GB2312"/>
              </w:rPr>
              <w:t>≥90%</w:t>
            </w:r>
          </w:p>
        </w:tc>
        <w:tc>
          <w:tcPr>
            <w:tcW w:w="714" w:type="pct"/>
            <w:vAlign w:val="center"/>
          </w:tcPr>
          <w:p>
            <w:pPr>
              <w:pStyle w:val="14"/>
              <w:keepNext w:val="0"/>
              <w:keepLines w:val="0"/>
              <w:pageBreakBefore w:val="0"/>
              <w:kinsoku/>
              <w:wordWrap/>
              <w:overflowPunct/>
              <w:topLinePunct w:val="0"/>
              <w:bidi w:val="0"/>
              <w:snapToGrid/>
              <w:spacing w:line="400" w:lineRule="exact"/>
              <w:rPr>
                <w:rFonts w:hint="eastAsia" w:ascii="仿宋_GB2312" w:hAnsi="仿宋_GB2312" w:eastAsia="仿宋_GB2312" w:cs="仿宋_GB2312"/>
              </w:rPr>
            </w:pPr>
            <w:r>
              <w:rPr>
                <w:rFonts w:hint="eastAsia" w:ascii="仿宋_GB2312" w:hAnsi="仿宋_GB2312" w:eastAsia="仿宋_GB2312" w:cs="仿宋_GB2312"/>
              </w:rPr>
              <w:t>调查问卷</w:t>
            </w:r>
          </w:p>
        </w:tc>
      </w:tr>
    </w:tbl>
    <w:p>
      <w:pPr>
        <w:keepNext w:val="0"/>
        <w:keepLines w:val="0"/>
        <w:pageBreakBefore w:val="0"/>
        <w:kinsoku/>
        <w:wordWrap/>
        <w:overflowPunct/>
        <w:topLinePunct w:val="0"/>
        <w:autoSpaceDE w:val="0"/>
        <w:autoSpaceDN w:val="0"/>
        <w:bidi w:val="0"/>
        <w:adjustRightInd w:val="0"/>
        <w:snapToGrid/>
        <w:spacing w:line="400" w:lineRule="exact"/>
        <w:ind w:firstLine="880" w:firstLineChars="200"/>
        <w:jc w:val="left"/>
        <w:rPr>
          <w:rFonts w:ascii="Times New Roman" w:hAnsi="Times New Roman" w:eastAsia="黑体" w:cs="Times New Roman"/>
          <w:sz w:val="44"/>
          <w:szCs w:val="44"/>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2"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ascii="Times New Roman" w:hAnsi="Times New Roman" w:eastAsia="仿宋_GB2312" w:cs="Times New Roman"/>
          <w:sz w:val="32"/>
          <w:szCs w:val="24"/>
        </w:rPr>
        <w:t>2年，我部门安排政府采购预算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万元。具体内容见下表。</w:t>
      </w:r>
    </w:p>
    <w:bookmarkEnd w:id="2"/>
    <w:p>
      <w:pPr>
        <w:jc w:val="center"/>
        <w:outlineLvl w:val="1"/>
        <w:rPr>
          <w:rFonts w:ascii="方正小标宋_GBK" w:eastAsia="方正小标宋_GBK" w:cs="Times New Roman"/>
          <w:sz w:val="32"/>
        </w:rPr>
      </w:pPr>
      <w:bookmarkStart w:id="3" w:name="_Toc64920910"/>
      <w:r>
        <w:rPr>
          <w:rFonts w:hint="eastAsia" w:ascii="方正小标宋_GBK" w:eastAsia="方正小标宋_GBK" w:cs="Times New Roman"/>
          <w:sz w:val="32"/>
        </w:rPr>
        <w:t>部门政府采购预算</w:t>
      </w:r>
      <w:bookmarkEnd w:id="3"/>
    </w:p>
    <w:p>
      <w:pPr>
        <w:outlineLvl w:val="1"/>
        <w:rPr>
          <w:rFonts w:ascii="方正小标宋_GBK" w:eastAsia="方正小标宋_GBK" w:cs="Times New Roman"/>
          <w:sz w:val="32"/>
        </w:rPr>
      </w:pPr>
      <w:r>
        <w:t>廊坊市</w:t>
      </w:r>
      <w:r>
        <w:rPr>
          <w:rFonts w:hint="eastAsia"/>
          <w:lang w:eastAsia="zh-CN"/>
        </w:rPr>
        <w:t>广阳区</w:t>
      </w:r>
      <w:r>
        <w:rPr>
          <w:rFonts w:hint="eastAsia"/>
          <w:lang w:val="en-US" w:eastAsia="zh-CN"/>
        </w:rPr>
        <w:t>第七幼儿园</w:t>
      </w:r>
      <w:r>
        <w:t xml:space="preserve">                                                                                                   单位：万元</w:t>
      </w:r>
    </w:p>
    <w:tbl>
      <w:tblPr>
        <w:tblStyle w:val="8"/>
        <w:tblW w:w="4997"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006"/>
        <w:gridCol w:w="887"/>
        <w:gridCol w:w="1040"/>
        <w:gridCol w:w="1040"/>
        <w:gridCol w:w="649"/>
        <w:gridCol w:w="780"/>
        <w:gridCol w:w="780"/>
        <w:gridCol w:w="884"/>
        <w:gridCol w:w="884"/>
        <w:gridCol w:w="884"/>
        <w:gridCol w:w="884"/>
        <w:gridCol w:w="884"/>
        <w:gridCol w:w="885"/>
        <w:gridCol w:w="885"/>
        <w:gridCol w:w="908"/>
        <w:gridCol w:w="88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68" w:type="pct"/>
            <w:gridSpan w:val="2"/>
            <w:vAlign w:val="center"/>
          </w:tcPr>
          <w:p>
            <w:pPr>
              <w:pStyle w:val="12"/>
              <w:keepNext w:val="0"/>
              <w:keepLines w:val="0"/>
              <w:pageBreakBefore w:val="0"/>
              <w:kinsoku/>
              <w:wordWrap/>
              <w:overflowPunct/>
              <w:topLinePunct w:val="0"/>
              <w:autoSpaceDE/>
              <w:autoSpaceDN/>
              <w:bidi w:val="0"/>
              <w:adjustRightInd/>
              <w:snapToGrid/>
              <w:spacing w:line="400" w:lineRule="exact"/>
              <w:textAlignment w:val="auto"/>
            </w:pPr>
            <w:r>
              <w:t>政府采购项目来源</w:t>
            </w:r>
          </w:p>
        </w:tc>
        <w:tc>
          <w:tcPr>
            <w:tcW w:w="367" w:type="pct"/>
            <w:vMerge w:val="restart"/>
            <w:vAlign w:val="center"/>
          </w:tcPr>
          <w:p>
            <w:pPr>
              <w:pStyle w:val="12"/>
              <w:keepNext w:val="0"/>
              <w:keepLines w:val="0"/>
              <w:pageBreakBefore w:val="0"/>
              <w:kinsoku/>
              <w:wordWrap/>
              <w:overflowPunct/>
              <w:topLinePunct w:val="0"/>
              <w:autoSpaceDE/>
              <w:autoSpaceDN/>
              <w:bidi w:val="0"/>
              <w:adjustRightInd/>
              <w:snapToGrid/>
              <w:spacing w:line="400" w:lineRule="exact"/>
              <w:textAlignment w:val="auto"/>
            </w:pPr>
            <w:r>
              <w:t>采购物品名称</w:t>
            </w:r>
          </w:p>
        </w:tc>
        <w:tc>
          <w:tcPr>
            <w:tcW w:w="367" w:type="pct"/>
            <w:vMerge w:val="restart"/>
            <w:vAlign w:val="center"/>
          </w:tcPr>
          <w:p>
            <w:pPr>
              <w:pStyle w:val="12"/>
              <w:keepNext w:val="0"/>
              <w:keepLines w:val="0"/>
              <w:pageBreakBefore w:val="0"/>
              <w:kinsoku/>
              <w:wordWrap/>
              <w:overflowPunct/>
              <w:topLinePunct w:val="0"/>
              <w:autoSpaceDE/>
              <w:autoSpaceDN/>
              <w:bidi w:val="0"/>
              <w:adjustRightInd/>
              <w:snapToGrid/>
              <w:spacing w:line="400" w:lineRule="exact"/>
              <w:textAlignment w:val="auto"/>
            </w:pPr>
            <w:r>
              <w:t>政府采购目录序号</w:t>
            </w:r>
          </w:p>
        </w:tc>
        <w:tc>
          <w:tcPr>
            <w:tcW w:w="229" w:type="pct"/>
            <w:vMerge w:val="restart"/>
            <w:vAlign w:val="center"/>
          </w:tcPr>
          <w:p>
            <w:pPr>
              <w:pStyle w:val="12"/>
              <w:keepNext w:val="0"/>
              <w:keepLines w:val="0"/>
              <w:pageBreakBefore w:val="0"/>
              <w:kinsoku/>
              <w:wordWrap/>
              <w:overflowPunct/>
              <w:topLinePunct w:val="0"/>
              <w:autoSpaceDE/>
              <w:autoSpaceDN/>
              <w:bidi w:val="0"/>
              <w:adjustRightInd/>
              <w:snapToGrid/>
              <w:spacing w:line="400" w:lineRule="exact"/>
              <w:textAlignment w:val="auto"/>
            </w:pPr>
            <w:r>
              <w:t>计量  单位</w:t>
            </w:r>
          </w:p>
        </w:tc>
        <w:tc>
          <w:tcPr>
            <w:tcW w:w="275" w:type="pct"/>
            <w:vMerge w:val="restart"/>
            <w:vAlign w:val="center"/>
          </w:tcPr>
          <w:p>
            <w:pPr>
              <w:pStyle w:val="12"/>
              <w:keepNext w:val="0"/>
              <w:keepLines w:val="0"/>
              <w:pageBreakBefore w:val="0"/>
              <w:kinsoku/>
              <w:wordWrap/>
              <w:overflowPunct/>
              <w:topLinePunct w:val="0"/>
              <w:autoSpaceDE/>
              <w:autoSpaceDN/>
              <w:bidi w:val="0"/>
              <w:adjustRightInd/>
              <w:snapToGrid/>
              <w:spacing w:line="400" w:lineRule="exact"/>
              <w:textAlignment w:val="auto"/>
            </w:pPr>
            <w:r>
              <w:t>数量</w:t>
            </w:r>
          </w:p>
        </w:tc>
        <w:tc>
          <w:tcPr>
            <w:tcW w:w="275" w:type="pct"/>
            <w:vMerge w:val="restart"/>
            <w:vAlign w:val="center"/>
          </w:tcPr>
          <w:p>
            <w:pPr>
              <w:pStyle w:val="12"/>
              <w:keepNext w:val="0"/>
              <w:keepLines w:val="0"/>
              <w:pageBreakBefore w:val="0"/>
              <w:kinsoku/>
              <w:wordWrap/>
              <w:overflowPunct/>
              <w:topLinePunct w:val="0"/>
              <w:autoSpaceDE/>
              <w:autoSpaceDN/>
              <w:bidi w:val="0"/>
              <w:adjustRightInd/>
              <w:snapToGrid/>
              <w:spacing w:line="400" w:lineRule="exact"/>
              <w:textAlignment w:val="auto"/>
            </w:pPr>
            <w:r>
              <w:t>单价</w:t>
            </w:r>
          </w:p>
        </w:tc>
        <w:tc>
          <w:tcPr>
            <w:tcW w:w="2504" w:type="pct"/>
            <w:gridSpan w:val="8"/>
            <w:vAlign w:val="center"/>
          </w:tcPr>
          <w:p>
            <w:pPr>
              <w:pStyle w:val="12"/>
              <w:keepNext w:val="0"/>
              <w:keepLines w:val="0"/>
              <w:pageBreakBefore w:val="0"/>
              <w:kinsoku/>
              <w:wordWrap/>
              <w:overflowPunct/>
              <w:topLinePunct w:val="0"/>
              <w:autoSpaceDE/>
              <w:autoSpaceDN/>
              <w:bidi w:val="0"/>
              <w:adjustRightInd/>
              <w:snapToGrid/>
              <w:spacing w:line="400" w:lineRule="exact"/>
              <w:textAlignment w:val="auto"/>
            </w:pPr>
            <w:r>
              <w:t>政府采购金额（当年部门预算安排资金）</w:t>
            </w:r>
          </w:p>
        </w:tc>
        <w:tc>
          <w:tcPr>
            <w:tcW w:w="312" w:type="pct"/>
            <w:vMerge w:val="restart"/>
            <w:vAlign w:val="center"/>
          </w:tcPr>
          <w:p>
            <w:pPr>
              <w:pStyle w:val="12"/>
              <w:keepNext w:val="0"/>
              <w:keepLines w:val="0"/>
              <w:pageBreakBefore w:val="0"/>
              <w:kinsoku/>
              <w:wordWrap/>
              <w:overflowPunct/>
              <w:topLinePunct w:val="0"/>
              <w:autoSpaceDE/>
              <w:autoSpaceDN/>
              <w:bidi w:val="0"/>
              <w:adjustRightInd/>
              <w:snapToGrid/>
              <w:spacing w:line="400" w:lineRule="exact"/>
              <w:textAlignment w:val="auto"/>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55" w:type="pct"/>
            <w:vAlign w:val="center"/>
          </w:tcPr>
          <w:p>
            <w:pPr>
              <w:pStyle w:val="12"/>
              <w:keepNext w:val="0"/>
              <w:keepLines w:val="0"/>
              <w:pageBreakBefore w:val="0"/>
              <w:kinsoku/>
              <w:wordWrap/>
              <w:overflowPunct/>
              <w:topLinePunct w:val="0"/>
              <w:autoSpaceDE/>
              <w:autoSpaceDN/>
              <w:bidi w:val="0"/>
              <w:adjustRightInd/>
              <w:snapToGrid/>
              <w:spacing w:line="400" w:lineRule="exact"/>
              <w:textAlignment w:val="auto"/>
            </w:pPr>
            <w:r>
              <w:t>项目名称</w:t>
            </w:r>
          </w:p>
        </w:tc>
        <w:tc>
          <w:tcPr>
            <w:tcW w:w="313" w:type="pct"/>
            <w:vAlign w:val="center"/>
          </w:tcPr>
          <w:p>
            <w:pPr>
              <w:pStyle w:val="12"/>
              <w:keepNext w:val="0"/>
              <w:keepLines w:val="0"/>
              <w:pageBreakBefore w:val="0"/>
              <w:kinsoku/>
              <w:wordWrap/>
              <w:overflowPunct/>
              <w:topLinePunct w:val="0"/>
              <w:autoSpaceDE/>
              <w:autoSpaceDN/>
              <w:bidi w:val="0"/>
              <w:adjustRightInd/>
              <w:snapToGrid/>
              <w:spacing w:line="400" w:lineRule="exact"/>
              <w:textAlignment w:val="auto"/>
            </w:pPr>
            <w:r>
              <w:t>预算    资金</w:t>
            </w:r>
          </w:p>
        </w:tc>
        <w:tc>
          <w:tcPr>
            <w:tcW w:w="367" w:type="pct"/>
            <w:vMerge w:val="continue"/>
          </w:tcPr>
          <w:p>
            <w:pPr>
              <w:keepNext w:val="0"/>
              <w:keepLines w:val="0"/>
              <w:pageBreakBefore w:val="0"/>
              <w:kinsoku/>
              <w:wordWrap/>
              <w:overflowPunct/>
              <w:topLinePunct w:val="0"/>
              <w:autoSpaceDE/>
              <w:autoSpaceDN/>
              <w:bidi w:val="0"/>
              <w:adjustRightInd/>
              <w:snapToGrid/>
              <w:spacing w:line="400" w:lineRule="exact"/>
              <w:textAlignment w:val="auto"/>
            </w:pPr>
          </w:p>
        </w:tc>
        <w:tc>
          <w:tcPr>
            <w:tcW w:w="367" w:type="pct"/>
            <w:vMerge w:val="continue"/>
          </w:tcPr>
          <w:p>
            <w:pPr>
              <w:keepNext w:val="0"/>
              <w:keepLines w:val="0"/>
              <w:pageBreakBefore w:val="0"/>
              <w:kinsoku/>
              <w:wordWrap/>
              <w:overflowPunct/>
              <w:topLinePunct w:val="0"/>
              <w:autoSpaceDE/>
              <w:autoSpaceDN/>
              <w:bidi w:val="0"/>
              <w:adjustRightInd/>
              <w:snapToGrid/>
              <w:spacing w:line="400" w:lineRule="exact"/>
              <w:textAlignment w:val="auto"/>
            </w:pPr>
          </w:p>
        </w:tc>
        <w:tc>
          <w:tcPr>
            <w:tcW w:w="229" w:type="pct"/>
            <w:vMerge w:val="continue"/>
          </w:tcPr>
          <w:p>
            <w:pPr>
              <w:keepNext w:val="0"/>
              <w:keepLines w:val="0"/>
              <w:pageBreakBefore w:val="0"/>
              <w:kinsoku/>
              <w:wordWrap/>
              <w:overflowPunct/>
              <w:topLinePunct w:val="0"/>
              <w:autoSpaceDE/>
              <w:autoSpaceDN/>
              <w:bidi w:val="0"/>
              <w:adjustRightInd/>
              <w:snapToGrid/>
              <w:spacing w:line="400" w:lineRule="exact"/>
              <w:textAlignment w:val="auto"/>
            </w:pPr>
          </w:p>
        </w:tc>
        <w:tc>
          <w:tcPr>
            <w:tcW w:w="275" w:type="pct"/>
            <w:vMerge w:val="continue"/>
          </w:tcPr>
          <w:p>
            <w:pPr>
              <w:keepNext w:val="0"/>
              <w:keepLines w:val="0"/>
              <w:pageBreakBefore w:val="0"/>
              <w:kinsoku/>
              <w:wordWrap/>
              <w:overflowPunct/>
              <w:topLinePunct w:val="0"/>
              <w:autoSpaceDE/>
              <w:autoSpaceDN/>
              <w:bidi w:val="0"/>
              <w:adjustRightInd/>
              <w:snapToGrid/>
              <w:spacing w:line="400" w:lineRule="exact"/>
              <w:textAlignment w:val="auto"/>
            </w:pPr>
          </w:p>
        </w:tc>
        <w:tc>
          <w:tcPr>
            <w:tcW w:w="275" w:type="pct"/>
            <w:vMerge w:val="continue"/>
          </w:tcPr>
          <w:p>
            <w:pPr>
              <w:keepNext w:val="0"/>
              <w:keepLines w:val="0"/>
              <w:pageBreakBefore w:val="0"/>
              <w:kinsoku/>
              <w:wordWrap/>
              <w:overflowPunct/>
              <w:topLinePunct w:val="0"/>
              <w:autoSpaceDE/>
              <w:autoSpaceDN/>
              <w:bidi w:val="0"/>
              <w:adjustRightInd/>
              <w:snapToGrid/>
              <w:spacing w:line="400" w:lineRule="exact"/>
              <w:textAlignment w:val="auto"/>
            </w:pPr>
          </w:p>
        </w:tc>
        <w:tc>
          <w:tcPr>
            <w:tcW w:w="312" w:type="pct"/>
            <w:vAlign w:val="center"/>
          </w:tcPr>
          <w:p>
            <w:pPr>
              <w:pStyle w:val="12"/>
              <w:keepNext w:val="0"/>
              <w:keepLines w:val="0"/>
              <w:pageBreakBefore w:val="0"/>
              <w:kinsoku/>
              <w:wordWrap/>
              <w:overflowPunct/>
              <w:topLinePunct w:val="0"/>
              <w:autoSpaceDE/>
              <w:autoSpaceDN/>
              <w:bidi w:val="0"/>
              <w:adjustRightInd/>
              <w:snapToGrid/>
              <w:spacing w:line="400" w:lineRule="exact"/>
              <w:textAlignment w:val="auto"/>
            </w:pPr>
            <w:r>
              <w:t>合计</w:t>
            </w:r>
          </w:p>
        </w:tc>
        <w:tc>
          <w:tcPr>
            <w:tcW w:w="312" w:type="pct"/>
            <w:vAlign w:val="center"/>
          </w:tcPr>
          <w:p>
            <w:pPr>
              <w:pStyle w:val="12"/>
              <w:keepNext w:val="0"/>
              <w:keepLines w:val="0"/>
              <w:pageBreakBefore w:val="0"/>
              <w:kinsoku/>
              <w:wordWrap/>
              <w:overflowPunct/>
              <w:topLinePunct w:val="0"/>
              <w:autoSpaceDE/>
              <w:autoSpaceDN/>
              <w:bidi w:val="0"/>
              <w:adjustRightInd/>
              <w:snapToGrid/>
              <w:spacing w:line="400" w:lineRule="exact"/>
              <w:textAlignment w:val="auto"/>
            </w:pPr>
            <w:r>
              <w:t>一般公共预算拨款</w:t>
            </w:r>
          </w:p>
        </w:tc>
        <w:tc>
          <w:tcPr>
            <w:tcW w:w="312" w:type="pct"/>
            <w:vAlign w:val="center"/>
          </w:tcPr>
          <w:p>
            <w:pPr>
              <w:pStyle w:val="12"/>
              <w:keepNext w:val="0"/>
              <w:keepLines w:val="0"/>
              <w:pageBreakBefore w:val="0"/>
              <w:kinsoku/>
              <w:wordWrap/>
              <w:overflowPunct/>
              <w:topLinePunct w:val="0"/>
              <w:autoSpaceDE/>
              <w:autoSpaceDN/>
              <w:bidi w:val="0"/>
              <w:adjustRightInd/>
              <w:snapToGrid/>
              <w:spacing w:line="400" w:lineRule="exact"/>
              <w:textAlignment w:val="auto"/>
            </w:pPr>
            <w:r>
              <w:t>基金预算拨款</w:t>
            </w:r>
          </w:p>
        </w:tc>
        <w:tc>
          <w:tcPr>
            <w:tcW w:w="312" w:type="pct"/>
            <w:vAlign w:val="center"/>
          </w:tcPr>
          <w:p>
            <w:pPr>
              <w:pStyle w:val="12"/>
              <w:keepNext w:val="0"/>
              <w:keepLines w:val="0"/>
              <w:pageBreakBefore w:val="0"/>
              <w:kinsoku/>
              <w:wordWrap/>
              <w:overflowPunct/>
              <w:topLinePunct w:val="0"/>
              <w:autoSpaceDE/>
              <w:autoSpaceDN/>
              <w:bidi w:val="0"/>
              <w:adjustRightInd/>
              <w:snapToGrid/>
              <w:spacing w:line="400" w:lineRule="exact"/>
              <w:textAlignment w:val="auto"/>
            </w:pPr>
            <w:r>
              <w:t>国有资本经营预算拨款</w:t>
            </w:r>
          </w:p>
        </w:tc>
        <w:tc>
          <w:tcPr>
            <w:tcW w:w="312" w:type="pct"/>
            <w:vAlign w:val="center"/>
          </w:tcPr>
          <w:p>
            <w:pPr>
              <w:pStyle w:val="12"/>
              <w:keepNext w:val="0"/>
              <w:keepLines w:val="0"/>
              <w:pageBreakBefore w:val="0"/>
              <w:kinsoku/>
              <w:wordWrap/>
              <w:overflowPunct/>
              <w:topLinePunct w:val="0"/>
              <w:autoSpaceDE/>
              <w:autoSpaceDN/>
              <w:bidi w:val="0"/>
              <w:adjustRightInd/>
              <w:snapToGrid/>
              <w:spacing w:line="400" w:lineRule="exact"/>
              <w:textAlignment w:val="auto"/>
            </w:pPr>
            <w:r>
              <w:t>财政专户核拨</w:t>
            </w:r>
          </w:p>
        </w:tc>
        <w:tc>
          <w:tcPr>
            <w:tcW w:w="312" w:type="pct"/>
            <w:vAlign w:val="center"/>
          </w:tcPr>
          <w:p>
            <w:pPr>
              <w:pStyle w:val="12"/>
              <w:keepNext w:val="0"/>
              <w:keepLines w:val="0"/>
              <w:pageBreakBefore w:val="0"/>
              <w:kinsoku/>
              <w:wordWrap/>
              <w:overflowPunct/>
              <w:topLinePunct w:val="0"/>
              <w:autoSpaceDE/>
              <w:autoSpaceDN/>
              <w:bidi w:val="0"/>
              <w:adjustRightInd/>
              <w:snapToGrid/>
              <w:spacing w:line="400" w:lineRule="exact"/>
              <w:textAlignment w:val="auto"/>
            </w:pPr>
            <w:r>
              <w:t>单位    资金</w:t>
            </w:r>
          </w:p>
        </w:tc>
        <w:tc>
          <w:tcPr>
            <w:tcW w:w="312" w:type="pct"/>
            <w:vAlign w:val="center"/>
          </w:tcPr>
          <w:p>
            <w:pPr>
              <w:pStyle w:val="12"/>
              <w:keepNext w:val="0"/>
              <w:keepLines w:val="0"/>
              <w:pageBreakBefore w:val="0"/>
              <w:kinsoku/>
              <w:wordWrap/>
              <w:overflowPunct/>
              <w:topLinePunct w:val="0"/>
              <w:autoSpaceDE/>
              <w:autoSpaceDN/>
              <w:bidi w:val="0"/>
              <w:adjustRightInd/>
              <w:snapToGrid/>
              <w:spacing w:line="400" w:lineRule="exact"/>
              <w:textAlignment w:val="auto"/>
            </w:pPr>
            <w:r>
              <w:t>财政拨    款结转</w:t>
            </w:r>
          </w:p>
        </w:tc>
        <w:tc>
          <w:tcPr>
            <w:tcW w:w="318" w:type="pct"/>
            <w:vAlign w:val="center"/>
          </w:tcPr>
          <w:p>
            <w:pPr>
              <w:pStyle w:val="12"/>
              <w:keepNext w:val="0"/>
              <w:keepLines w:val="0"/>
              <w:pageBreakBefore w:val="0"/>
              <w:kinsoku/>
              <w:wordWrap/>
              <w:overflowPunct/>
              <w:topLinePunct w:val="0"/>
              <w:autoSpaceDE/>
              <w:autoSpaceDN/>
              <w:bidi w:val="0"/>
              <w:adjustRightInd/>
              <w:snapToGrid/>
              <w:spacing w:line="400" w:lineRule="exact"/>
              <w:textAlignment w:val="auto"/>
            </w:pPr>
            <w:r>
              <w:t>非财政    拨款结    转结余</w:t>
            </w:r>
          </w:p>
        </w:tc>
        <w:tc>
          <w:tcPr>
            <w:tcW w:w="312" w:type="pct"/>
            <w:vMerge w:val="continue"/>
          </w:tcPr>
          <w:p>
            <w:pPr>
              <w:keepNext w:val="0"/>
              <w:keepLines w:val="0"/>
              <w:pageBreakBefore w:val="0"/>
              <w:kinsoku/>
              <w:wordWrap/>
              <w:overflowPunct/>
              <w:topLinePunct w:val="0"/>
              <w:autoSpaceDE/>
              <w:autoSpaceDN/>
              <w:bidi w:val="0"/>
              <w:adjustRightInd/>
              <w:snapToGrid/>
              <w:spacing w:line="400" w:lineRule="exact"/>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55" w:type="pct"/>
            <w:vAlign w:val="center"/>
          </w:tcPr>
          <w:p>
            <w:pPr>
              <w:pStyle w:val="16"/>
              <w:keepNext w:val="0"/>
              <w:keepLines w:val="0"/>
              <w:pageBreakBefore w:val="0"/>
              <w:kinsoku/>
              <w:wordWrap/>
              <w:overflowPunct/>
              <w:topLinePunct w:val="0"/>
              <w:autoSpaceDE/>
              <w:autoSpaceDN/>
              <w:bidi w:val="0"/>
              <w:adjustRightInd/>
              <w:snapToGrid/>
              <w:spacing w:line="400" w:lineRule="exact"/>
              <w:textAlignment w:val="auto"/>
            </w:pPr>
            <w:r>
              <w:t>合  计</w:t>
            </w:r>
          </w:p>
        </w:tc>
        <w:tc>
          <w:tcPr>
            <w:tcW w:w="313" w:type="pct"/>
            <w:vAlign w:val="center"/>
          </w:tcPr>
          <w:p>
            <w:pPr>
              <w:pStyle w:val="17"/>
              <w:keepNext w:val="0"/>
              <w:keepLines w:val="0"/>
              <w:pageBreakBefore w:val="0"/>
              <w:kinsoku/>
              <w:wordWrap/>
              <w:overflowPunct/>
              <w:topLinePunct w:val="0"/>
              <w:autoSpaceDE/>
              <w:autoSpaceDN/>
              <w:bidi w:val="0"/>
              <w:adjustRightInd/>
              <w:snapToGrid/>
              <w:spacing w:line="400" w:lineRule="exact"/>
              <w:textAlignment w:val="auto"/>
            </w:pPr>
          </w:p>
        </w:tc>
        <w:tc>
          <w:tcPr>
            <w:tcW w:w="367" w:type="pct"/>
            <w:vAlign w:val="center"/>
          </w:tcPr>
          <w:p>
            <w:pPr>
              <w:pStyle w:val="18"/>
              <w:keepNext w:val="0"/>
              <w:keepLines w:val="0"/>
              <w:pageBreakBefore w:val="0"/>
              <w:kinsoku/>
              <w:wordWrap/>
              <w:overflowPunct/>
              <w:topLinePunct w:val="0"/>
              <w:autoSpaceDE/>
              <w:autoSpaceDN/>
              <w:bidi w:val="0"/>
              <w:adjustRightInd/>
              <w:snapToGrid/>
              <w:spacing w:line="400" w:lineRule="exact"/>
              <w:textAlignment w:val="auto"/>
            </w:pPr>
          </w:p>
        </w:tc>
        <w:tc>
          <w:tcPr>
            <w:tcW w:w="367" w:type="pct"/>
            <w:vAlign w:val="center"/>
          </w:tcPr>
          <w:p>
            <w:pPr>
              <w:pStyle w:val="18"/>
              <w:keepNext w:val="0"/>
              <w:keepLines w:val="0"/>
              <w:pageBreakBefore w:val="0"/>
              <w:kinsoku/>
              <w:wordWrap/>
              <w:overflowPunct/>
              <w:topLinePunct w:val="0"/>
              <w:autoSpaceDE/>
              <w:autoSpaceDN/>
              <w:bidi w:val="0"/>
              <w:adjustRightInd/>
              <w:snapToGrid/>
              <w:spacing w:line="400" w:lineRule="exact"/>
              <w:textAlignment w:val="auto"/>
            </w:pPr>
          </w:p>
        </w:tc>
        <w:tc>
          <w:tcPr>
            <w:tcW w:w="229" w:type="pct"/>
            <w:vAlign w:val="center"/>
          </w:tcPr>
          <w:p>
            <w:pPr>
              <w:pStyle w:val="16"/>
              <w:keepNext w:val="0"/>
              <w:keepLines w:val="0"/>
              <w:pageBreakBefore w:val="0"/>
              <w:kinsoku/>
              <w:wordWrap/>
              <w:overflowPunct/>
              <w:topLinePunct w:val="0"/>
              <w:autoSpaceDE/>
              <w:autoSpaceDN/>
              <w:bidi w:val="0"/>
              <w:adjustRightInd/>
              <w:snapToGrid/>
              <w:spacing w:line="400" w:lineRule="exact"/>
              <w:textAlignment w:val="auto"/>
            </w:pPr>
          </w:p>
        </w:tc>
        <w:tc>
          <w:tcPr>
            <w:tcW w:w="275" w:type="pct"/>
            <w:vAlign w:val="center"/>
          </w:tcPr>
          <w:p>
            <w:pPr>
              <w:pStyle w:val="17"/>
              <w:keepNext w:val="0"/>
              <w:keepLines w:val="0"/>
              <w:pageBreakBefore w:val="0"/>
              <w:kinsoku/>
              <w:wordWrap/>
              <w:overflowPunct/>
              <w:topLinePunct w:val="0"/>
              <w:autoSpaceDE/>
              <w:autoSpaceDN/>
              <w:bidi w:val="0"/>
              <w:adjustRightInd/>
              <w:snapToGrid/>
              <w:spacing w:line="400" w:lineRule="exact"/>
              <w:textAlignment w:val="auto"/>
            </w:pPr>
          </w:p>
        </w:tc>
        <w:tc>
          <w:tcPr>
            <w:tcW w:w="275" w:type="pct"/>
            <w:vAlign w:val="center"/>
          </w:tcPr>
          <w:p>
            <w:pPr>
              <w:pStyle w:val="17"/>
              <w:keepNext w:val="0"/>
              <w:keepLines w:val="0"/>
              <w:pageBreakBefore w:val="0"/>
              <w:kinsoku/>
              <w:wordWrap/>
              <w:overflowPunct/>
              <w:topLinePunct w:val="0"/>
              <w:autoSpaceDE/>
              <w:autoSpaceDN/>
              <w:bidi w:val="0"/>
              <w:adjustRightInd/>
              <w:snapToGrid/>
              <w:spacing w:line="400" w:lineRule="exact"/>
              <w:textAlignment w:val="auto"/>
            </w:pPr>
          </w:p>
        </w:tc>
        <w:tc>
          <w:tcPr>
            <w:tcW w:w="312" w:type="pct"/>
            <w:vAlign w:val="center"/>
          </w:tcPr>
          <w:p>
            <w:pPr>
              <w:pStyle w:val="17"/>
              <w:keepNext w:val="0"/>
              <w:keepLines w:val="0"/>
              <w:pageBreakBefore w:val="0"/>
              <w:kinsoku/>
              <w:wordWrap/>
              <w:overflowPunct/>
              <w:topLinePunct w:val="0"/>
              <w:autoSpaceDE/>
              <w:autoSpaceDN/>
              <w:bidi w:val="0"/>
              <w:adjustRightInd/>
              <w:snapToGrid/>
              <w:spacing w:line="400" w:lineRule="exact"/>
              <w:textAlignment w:val="auto"/>
            </w:pPr>
          </w:p>
        </w:tc>
        <w:tc>
          <w:tcPr>
            <w:tcW w:w="312" w:type="pct"/>
            <w:vAlign w:val="center"/>
          </w:tcPr>
          <w:p>
            <w:pPr>
              <w:pStyle w:val="17"/>
              <w:keepNext w:val="0"/>
              <w:keepLines w:val="0"/>
              <w:pageBreakBefore w:val="0"/>
              <w:kinsoku/>
              <w:wordWrap/>
              <w:overflowPunct/>
              <w:topLinePunct w:val="0"/>
              <w:autoSpaceDE/>
              <w:autoSpaceDN/>
              <w:bidi w:val="0"/>
              <w:adjustRightInd/>
              <w:snapToGrid/>
              <w:spacing w:line="400" w:lineRule="exact"/>
              <w:textAlignment w:val="auto"/>
            </w:pPr>
          </w:p>
        </w:tc>
        <w:tc>
          <w:tcPr>
            <w:tcW w:w="312" w:type="pct"/>
            <w:vAlign w:val="center"/>
          </w:tcPr>
          <w:p>
            <w:pPr>
              <w:pStyle w:val="17"/>
              <w:keepNext w:val="0"/>
              <w:keepLines w:val="0"/>
              <w:pageBreakBefore w:val="0"/>
              <w:kinsoku/>
              <w:wordWrap/>
              <w:overflowPunct/>
              <w:topLinePunct w:val="0"/>
              <w:autoSpaceDE/>
              <w:autoSpaceDN/>
              <w:bidi w:val="0"/>
              <w:adjustRightInd/>
              <w:snapToGrid/>
              <w:spacing w:line="400" w:lineRule="exact"/>
              <w:textAlignment w:val="auto"/>
            </w:pPr>
          </w:p>
        </w:tc>
        <w:tc>
          <w:tcPr>
            <w:tcW w:w="312" w:type="pct"/>
            <w:vAlign w:val="center"/>
          </w:tcPr>
          <w:p>
            <w:pPr>
              <w:pStyle w:val="17"/>
              <w:keepNext w:val="0"/>
              <w:keepLines w:val="0"/>
              <w:pageBreakBefore w:val="0"/>
              <w:kinsoku/>
              <w:wordWrap/>
              <w:overflowPunct/>
              <w:topLinePunct w:val="0"/>
              <w:autoSpaceDE/>
              <w:autoSpaceDN/>
              <w:bidi w:val="0"/>
              <w:adjustRightInd/>
              <w:snapToGrid/>
              <w:spacing w:line="400" w:lineRule="exact"/>
              <w:textAlignment w:val="auto"/>
            </w:pPr>
          </w:p>
        </w:tc>
        <w:tc>
          <w:tcPr>
            <w:tcW w:w="312" w:type="pct"/>
            <w:vAlign w:val="center"/>
          </w:tcPr>
          <w:p>
            <w:pPr>
              <w:pStyle w:val="17"/>
              <w:keepNext w:val="0"/>
              <w:keepLines w:val="0"/>
              <w:pageBreakBefore w:val="0"/>
              <w:kinsoku/>
              <w:wordWrap/>
              <w:overflowPunct/>
              <w:topLinePunct w:val="0"/>
              <w:autoSpaceDE/>
              <w:autoSpaceDN/>
              <w:bidi w:val="0"/>
              <w:adjustRightInd/>
              <w:snapToGrid/>
              <w:spacing w:line="400" w:lineRule="exact"/>
              <w:textAlignment w:val="auto"/>
            </w:pPr>
          </w:p>
        </w:tc>
        <w:tc>
          <w:tcPr>
            <w:tcW w:w="312" w:type="pct"/>
            <w:vAlign w:val="center"/>
          </w:tcPr>
          <w:p>
            <w:pPr>
              <w:pStyle w:val="17"/>
              <w:keepNext w:val="0"/>
              <w:keepLines w:val="0"/>
              <w:pageBreakBefore w:val="0"/>
              <w:kinsoku/>
              <w:wordWrap/>
              <w:overflowPunct/>
              <w:topLinePunct w:val="0"/>
              <w:autoSpaceDE/>
              <w:autoSpaceDN/>
              <w:bidi w:val="0"/>
              <w:adjustRightInd/>
              <w:snapToGrid/>
              <w:spacing w:line="400" w:lineRule="exact"/>
              <w:textAlignment w:val="auto"/>
            </w:pPr>
          </w:p>
        </w:tc>
        <w:tc>
          <w:tcPr>
            <w:tcW w:w="312" w:type="pct"/>
            <w:vAlign w:val="center"/>
          </w:tcPr>
          <w:p>
            <w:pPr>
              <w:pStyle w:val="17"/>
              <w:keepNext w:val="0"/>
              <w:keepLines w:val="0"/>
              <w:pageBreakBefore w:val="0"/>
              <w:kinsoku/>
              <w:wordWrap/>
              <w:overflowPunct/>
              <w:topLinePunct w:val="0"/>
              <w:autoSpaceDE/>
              <w:autoSpaceDN/>
              <w:bidi w:val="0"/>
              <w:adjustRightInd/>
              <w:snapToGrid/>
              <w:spacing w:line="400" w:lineRule="exact"/>
              <w:textAlignment w:val="auto"/>
            </w:pPr>
          </w:p>
        </w:tc>
        <w:tc>
          <w:tcPr>
            <w:tcW w:w="318" w:type="pct"/>
            <w:vAlign w:val="center"/>
          </w:tcPr>
          <w:p>
            <w:pPr>
              <w:pStyle w:val="17"/>
              <w:keepNext w:val="0"/>
              <w:keepLines w:val="0"/>
              <w:pageBreakBefore w:val="0"/>
              <w:kinsoku/>
              <w:wordWrap/>
              <w:overflowPunct/>
              <w:topLinePunct w:val="0"/>
              <w:autoSpaceDE/>
              <w:autoSpaceDN/>
              <w:bidi w:val="0"/>
              <w:adjustRightInd/>
              <w:snapToGrid/>
              <w:spacing w:line="400" w:lineRule="exact"/>
              <w:textAlignment w:val="auto"/>
            </w:pPr>
          </w:p>
        </w:tc>
        <w:tc>
          <w:tcPr>
            <w:tcW w:w="312" w:type="pct"/>
            <w:vAlign w:val="center"/>
          </w:tcPr>
          <w:p>
            <w:pPr>
              <w:pStyle w:val="17"/>
              <w:keepNext w:val="0"/>
              <w:keepLines w:val="0"/>
              <w:pageBreakBefore w:val="0"/>
              <w:kinsoku/>
              <w:wordWrap/>
              <w:overflowPunct/>
              <w:topLinePunct w:val="0"/>
              <w:autoSpaceDE/>
              <w:autoSpaceDN/>
              <w:bidi w:val="0"/>
              <w:adjustRightInd/>
              <w:snapToGrid/>
              <w:spacing w:line="400" w:lineRule="exact"/>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55" w:type="pct"/>
            <w:vAlign w:val="center"/>
          </w:tcPr>
          <w:p>
            <w:pPr>
              <w:pStyle w:val="16"/>
              <w:keepNext w:val="0"/>
              <w:keepLines w:val="0"/>
              <w:pageBreakBefore w:val="0"/>
              <w:kinsoku/>
              <w:wordWrap/>
              <w:overflowPunct/>
              <w:topLinePunct w:val="0"/>
              <w:autoSpaceDE/>
              <w:autoSpaceDN/>
              <w:bidi w:val="0"/>
              <w:adjustRightInd/>
              <w:snapToGrid/>
              <w:spacing w:line="400" w:lineRule="exact"/>
              <w:textAlignment w:val="auto"/>
            </w:pPr>
          </w:p>
        </w:tc>
        <w:tc>
          <w:tcPr>
            <w:tcW w:w="313" w:type="pct"/>
            <w:vAlign w:val="center"/>
          </w:tcPr>
          <w:p>
            <w:pPr>
              <w:pStyle w:val="17"/>
              <w:keepNext w:val="0"/>
              <w:keepLines w:val="0"/>
              <w:pageBreakBefore w:val="0"/>
              <w:kinsoku/>
              <w:wordWrap/>
              <w:overflowPunct/>
              <w:topLinePunct w:val="0"/>
              <w:autoSpaceDE/>
              <w:autoSpaceDN/>
              <w:bidi w:val="0"/>
              <w:adjustRightInd/>
              <w:snapToGrid/>
              <w:spacing w:line="400" w:lineRule="exact"/>
              <w:textAlignment w:val="auto"/>
            </w:pPr>
          </w:p>
        </w:tc>
        <w:tc>
          <w:tcPr>
            <w:tcW w:w="367" w:type="pct"/>
            <w:vAlign w:val="center"/>
          </w:tcPr>
          <w:p>
            <w:pPr>
              <w:pStyle w:val="18"/>
              <w:keepNext w:val="0"/>
              <w:keepLines w:val="0"/>
              <w:pageBreakBefore w:val="0"/>
              <w:kinsoku/>
              <w:wordWrap/>
              <w:overflowPunct/>
              <w:topLinePunct w:val="0"/>
              <w:autoSpaceDE/>
              <w:autoSpaceDN/>
              <w:bidi w:val="0"/>
              <w:adjustRightInd/>
              <w:snapToGrid/>
              <w:spacing w:line="400" w:lineRule="exact"/>
              <w:textAlignment w:val="auto"/>
            </w:pPr>
          </w:p>
        </w:tc>
        <w:tc>
          <w:tcPr>
            <w:tcW w:w="367" w:type="pct"/>
            <w:vAlign w:val="center"/>
          </w:tcPr>
          <w:p>
            <w:pPr>
              <w:pStyle w:val="18"/>
              <w:keepNext w:val="0"/>
              <w:keepLines w:val="0"/>
              <w:pageBreakBefore w:val="0"/>
              <w:kinsoku/>
              <w:wordWrap/>
              <w:overflowPunct/>
              <w:topLinePunct w:val="0"/>
              <w:autoSpaceDE/>
              <w:autoSpaceDN/>
              <w:bidi w:val="0"/>
              <w:adjustRightInd/>
              <w:snapToGrid/>
              <w:spacing w:line="400" w:lineRule="exact"/>
              <w:textAlignment w:val="auto"/>
            </w:pPr>
          </w:p>
        </w:tc>
        <w:tc>
          <w:tcPr>
            <w:tcW w:w="229" w:type="pct"/>
            <w:vAlign w:val="center"/>
          </w:tcPr>
          <w:p>
            <w:pPr>
              <w:pStyle w:val="16"/>
              <w:keepNext w:val="0"/>
              <w:keepLines w:val="0"/>
              <w:pageBreakBefore w:val="0"/>
              <w:kinsoku/>
              <w:wordWrap/>
              <w:overflowPunct/>
              <w:topLinePunct w:val="0"/>
              <w:autoSpaceDE/>
              <w:autoSpaceDN/>
              <w:bidi w:val="0"/>
              <w:adjustRightInd/>
              <w:snapToGrid/>
              <w:spacing w:line="400" w:lineRule="exact"/>
              <w:textAlignment w:val="auto"/>
            </w:pPr>
          </w:p>
        </w:tc>
        <w:tc>
          <w:tcPr>
            <w:tcW w:w="275" w:type="pct"/>
            <w:vAlign w:val="center"/>
          </w:tcPr>
          <w:p>
            <w:pPr>
              <w:pStyle w:val="17"/>
              <w:keepNext w:val="0"/>
              <w:keepLines w:val="0"/>
              <w:pageBreakBefore w:val="0"/>
              <w:kinsoku/>
              <w:wordWrap/>
              <w:overflowPunct/>
              <w:topLinePunct w:val="0"/>
              <w:autoSpaceDE/>
              <w:autoSpaceDN/>
              <w:bidi w:val="0"/>
              <w:adjustRightInd/>
              <w:snapToGrid/>
              <w:spacing w:line="400" w:lineRule="exact"/>
              <w:textAlignment w:val="auto"/>
            </w:pPr>
          </w:p>
        </w:tc>
        <w:tc>
          <w:tcPr>
            <w:tcW w:w="275" w:type="pct"/>
            <w:vAlign w:val="center"/>
          </w:tcPr>
          <w:p>
            <w:pPr>
              <w:pStyle w:val="17"/>
              <w:keepNext w:val="0"/>
              <w:keepLines w:val="0"/>
              <w:pageBreakBefore w:val="0"/>
              <w:kinsoku/>
              <w:wordWrap/>
              <w:overflowPunct/>
              <w:topLinePunct w:val="0"/>
              <w:autoSpaceDE/>
              <w:autoSpaceDN/>
              <w:bidi w:val="0"/>
              <w:adjustRightInd/>
              <w:snapToGrid/>
              <w:spacing w:line="400" w:lineRule="exact"/>
              <w:textAlignment w:val="auto"/>
            </w:pPr>
          </w:p>
        </w:tc>
        <w:tc>
          <w:tcPr>
            <w:tcW w:w="312" w:type="pct"/>
            <w:vAlign w:val="center"/>
          </w:tcPr>
          <w:p>
            <w:pPr>
              <w:pStyle w:val="17"/>
              <w:keepNext w:val="0"/>
              <w:keepLines w:val="0"/>
              <w:pageBreakBefore w:val="0"/>
              <w:kinsoku/>
              <w:wordWrap/>
              <w:overflowPunct/>
              <w:topLinePunct w:val="0"/>
              <w:autoSpaceDE/>
              <w:autoSpaceDN/>
              <w:bidi w:val="0"/>
              <w:adjustRightInd/>
              <w:snapToGrid/>
              <w:spacing w:line="400" w:lineRule="exact"/>
              <w:textAlignment w:val="auto"/>
            </w:pPr>
          </w:p>
        </w:tc>
        <w:tc>
          <w:tcPr>
            <w:tcW w:w="312" w:type="pct"/>
            <w:vAlign w:val="center"/>
          </w:tcPr>
          <w:p>
            <w:pPr>
              <w:pStyle w:val="17"/>
              <w:keepNext w:val="0"/>
              <w:keepLines w:val="0"/>
              <w:pageBreakBefore w:val="0"/>
              <w:kinsoku/>
              <w:wordWrap/>
              <w:overflowPunct/>
              <w:topLinePunct w:val="0"/>
              <w:autoSpaceDE/>
              <w:autoSpaceDN/>
              <w:bidi w:val="0"/>
              <w:adjustRightInd/>
              <w:snapToGrid/>
              <w:spacing w:line="400" w:lineRule="exact"/>
              <w:textAlignment w:val="auto"/>
            </w:pPr>
          </w:p>
        </w:tc>
        <w:tc>
          <w:tcPr>
            <w:tcW w:w="312" w:type="pct"/>
            <w:vAlign w:val="center"/>
          </w:tcPr>
          <w:p>
            <w:pPr>
              <w:pStyle w:val="17"/>
              <w:keepNext w:val="0"/>
              <w:keepLines w:val="0"/>
              <w:pageBreakBefore w:val="0"/>
              <w:kinsoku/>
              <w:wordWrap/>
              <w:overflowPunct/>
              <w:topLinePunct w:val="0"/>
              <w:autoSpaceDE/>
              <w:autoSpaceDN/>
              <w:bidi w:val="0"/>
              <w:adjustRightInd/>
              <w:snapToGrid/>
              <w:spacing w:line="400" w:lineRule="exact"/>
              <w:textAlignment w:val="auto"/>
            </w:pPr>
          </w:p>
        </w:tc>
        <w:tc>
          <w:tcPr>
            <w:tcW w:w="312" w:type="pct"/>
            <w:vAlign w:val="center"/>
          </w:tcPr>
          <w:p>
            <w:pPr>
              <w:pStyle w:val="17"/>
              <w:keepNext w:val="0"/>
              <w:keepLines w:val="0"/>
              <w:pageBreakBefore w:val="0"/>
              <w:kinsoku/>
              <w:wordWrap/>
              <w:overflowPunct/>
              <w:topLinePunct w:val="0"/>
              <w:autoSpaceDE/>
              <w:autoSpaceDN/>
              <w:bidi w:val="0"/>
              <w:adjustRightInd/>
              <w:snapToGrid/>
              <w:spacing w:line="400" w:lineRule="exact"/>
              <w:textAlignment w:val="auto"/>
            </w:pPr>
          </w:p>
        </w:tc>
        <w:tc>
          <w:tcPr>
            <w:tcW w:w="312" w:type="pct"/>
            <w:vAlign w:val="center"/>
          </w:tcPr>
          <w:p>
            <w:pPr>
              <w:pStyle w:val="17"/>
              <w:keepNext w:val="0"/>
              <w:keepLines w:val="0"/>
              <w:pageBreakBefore w:val="0"/>
              <w:kinsoku/>
              <w:wordWrap/>
              <w:overflowPunct/>
              <w:topLinePunct w:val="0"/>
              <w:autoSpaceDE/>
              <w:autoSpaceDN/>
              <w:bidi w:val="0"/>
              <w:adjustRightInd/>
              <w:snapToGrid/>
              <w:spacing w:line="400" w:lineRule="exact"/>
              <w:textAlignment w:val="auto"/>
            </w:pPr>
          </w:p>
        </w:tc>
        <w:tc>
          <w:tcPr>
            <w:tcW w:w="312" w:type="pct"/>
            <w:vAlign w:val="center"/>
          </w:tcPr>
          <w:p>
            <w:pPr>
              <w:pStyle w:val="17"/>
              <w:keepNext w:val="0"/>
              <w:keepLines w:val="0"/>
              <w:pageBreakBefore w:val="0"/>
              <w:kinsoku/>
              <w:wordWrap/>
              <w:overflowPunct/>
              <w:topLinePunct w:val="0"/>
              <w:autoSpaceDE/>
              <w:autoSpaceDN/>
              <w:bidi w:val="0"/>
              <w:adjustRightInd/>
              <w:snapToGrid/>
              <w:spacing w:line="400" w:lineRule="exact"/>
              <w:textAlignment w:val="auto"/>
            </w:pPr>
          </w:p>
        </w:tc>
        <w:tc>
          <w:tcPr>
            <w:tcW w:w="312" w:type="pct"/>
            <w:vAlign w:val="center"/>
          </w:tcPr>
          <w:p>
            <w:pPr>
              <w:pStyle w:val="17"/>
              <w:keepNext w:val="0"/>
              <w:keepLines w:val="0"/>
              <w:pageBreakBefore w:val="0"/>
              <w:kinsoku/>
              <w:wordWrap/>
              <w:overflowPunct/>
              <w:topLinePunct w:val="0"/>
              <w:autoSpaceDE/>
              <w:autoSpaceDN/>
              <w:bidi w:val="0"/>
              <w:adjustRightInd/>
              <w:snapToGrid/>
              <w:spacing w:line="400" w:lineRule="exact"/>
              <w:textAlignment w:val="auto"/>
            </w:pPr>
          </w:p>
        </w:tc>
        <w:tc>
          <w:tcPr>
            <w:tcW w:w="318" w:type="pct"/>
            <w:vAlign w:val="center"/>
          </w:tcPr>
          <w:p>
            <w:pPr>
              <w:pStyle w:val="17"/>
              <w:keepNext w:val="0"/>
              <w:keepLines w:val="0"/>
              <w:pageBreakBefore w:val="0"/>
              <w:kinsoku/>
              <w:wordWrap/>
              <w:overflowPunct/>
              <w:topLinePunct w:val="0"/>
              <w:autoSpaceDE/>
              <w:autoSpaceDN/>
              <w:bidi w:val="0"/>
              <w:adjustRightInd/>
              <w:snapToGrid/>
              <w:spacing w:line="400" w:lineRule="exact"/>
              <w:textAlignment w:val="auto"/>
            </w:pPr>
          </w:p>
        </w:tc>
        <w:tc>
          <w:tcPr>
            <w:tcW w:w="312" w:type="pct"/>
            <w:vAlign w:val="center"/>
          </w:tcPr>
          <w:p>
            <w:pPr>
              <w:pStyle w:val="17"/>
              <w:keepNext w:val="0"/>
              <w:keepLines w:val="0"/>
              <w:pageBreakBefore w:val="0"/>
              <w:kinsoku/>
              <w:wordWrap/>
              <w:overflowPunct/>
              <w:topLinePunct w:val="0"/>
              <w:autoSpaceDE/>
              <w:autoSpaceDN/>
              <w:bidi w:val="0"/>
              <w:adjustRightInd/>
              <w:snapToGrid/>
              <w:spacing w:line="400" w:lineRule="exact"/>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55" w:type="pct"/>
            <w:vAlign w:val="center"/>
          </w:tcPr>
          <w:p>
            <w:pPr>
              <w:pStyle w:val="14"/>
              <w:keepNext w:val="0"/>
              <w:keepLines w:val="0"/>
              <w:pageBreakBefore w:val="0"/>
              <w:kinsoku/>
              <w:wordWrap/>
              <w:overflowPunct/>
              <w:topLinePunct w:val="0"/>
              <w:autoSpaceDE/>
              <w:autoSpaceDN/>
              <w:bidi w:val="0"/>
              <w:adjustRightInd/>
              <w:snapToGrid/>
              <w:spacing w:line="400" w:lineRule="exact"/>
              <w:textAlignment w:val="auto"/>
            </w:pPr>
          </w:p>
        </w:tc>
        <w:tc>
          <w:tcPr>
            <w:tcW w:w="313" w:type="pct"/>
            <w:vAlign w:val="center"/>
          </w:tcPr>
          <w:p>
            <w:pPr>
              <w:pStyle w:val="13"/>
              <w:keepNext w:val="0"/>
              <w:keepLines w:val="0"/>
              <w:pageBreakBefore w:val="0"/>
              <w:kinsoku/>
              <w:wordWrap/>
              <w:overflowPunct/>
              <w:topLinePunct w:val="0"/>
              <w:autoSpaceDE/>
              <w:autoSpaceDN/>
              <w:bidi w:val="0"/>
              <w:adjustRightInd/>
              <w:snapToGrid/>
              <w:spacing w:line="400" w:lineRule="exact"/>
              <w:textAlignment w:val="auto"/>
            </w:pPr>
          </w:p>
        </w:tc>
        <w:tc>
          <w:tcPr>
            <w:tcW w:w="367" w:type="pct"/>
            <w:vAlign w:val="center"/>
          </w:tcPr>
          <w:p>
            <w:pPr>
              <w:pStyle w:val="14"/>
              <w:keepNext w:val="0"/>
              <w:keepLines w:val="0"/>
              <w:pageBreakBefore w:val="0"/>
              <w:kinsoku/>
              <w:wordWrap/>
              <w:overflowPunct/>
              <w:topLinePunct w:val="0"/>
              <w:autoSpaceDE/>
              <w:autoSpaceDN/>
              <w:bidi w:val="0"/>
              <w:adjustRightInd/>
              <w:snapToGrid/>
              <w:spacing w:line="400" w:lineRule="exact"/>
              <w:textAlignment w:val="auto"/>
            </w:pPr>
          </w:p>
        </w:tc>
        <w:tc>
          <w:tcPr>
            <w:tcW w:w="367" w:type="pct"/>
            <w:vAlign w:val="center"/>
          </w:tcPr>
          <w:p>
            <w:pPr>
              <w:pStyle w:val="14"/>
              <w:keepNext w:val="0"/>
              <w:keepLines w:val="0"/>
              <w:pageBreakBefore w:val="0"/>
              <w:kinsoku/>
              <w:wordWrap/>
              <w:overflowPunct/>
              <w:topLinePunct w:val="0"/>
              <w:autoSpaceDE/>
              <w:autoSpaceDN/>
              <w:bidi w:val="0"/>
              <w:adjustRightInd/>
              <w:snapToGrid/>
              <w:spacing w:line="400" w:lineRule="exact"/>
              <w:textAlignment w:val="auto"/>
            </w:pPr>
          </w:p>
        </w:tc>
        <w:tc>
          <w:tcPr>
            <w:tcW w:w="229" w:type="pct"/>
            <w:vAlign w:val="center"/>
          </w:tcPr>
          <w:p>
            <w:pPr>
              <w:pStyle w:val="15"/>
              <w:keepNext w:val="0"/>
              <w:keepLines w:val="0"/>
              <w:pageBreakBefore w:val="0"/>
              <w:kinsoku/>
              <w:wordWrap/>
              <w:overflowPunct/>
              <w:topLinePunct w:val="0"/>
              <w:autoSpaceDE/>
              <w:autoSpaceDN/>
              <w:bidi w:val="0"/>
              <w:adjustRightInd/>
              <w:snapToGrid/>
              <w:spacing w:line="400" w:lineRule="exact"/>
              <w:textAlignment w:val="auto"/>
            </w:pPr>
          </w:p>
        </w:tc>
        <w:tc>
          <w:tcPr>
            <w:tcW w:w="275" w:type="pct"/>
            <w:vAlign w:val="center"/>
          </w:tcPr>
          <w:p>
            <w:pPr>
              <w:pStyle w:val="13"/>
              <w:keepNext w:val="0"/>
              <w:keepLines w:val="0"/>
              <w:pageBreakBefore w:val="0"/>
              <w:kinsoku/>
              <w:wordWrap/>
              <w:overflowPunct/>
              <w:topLinePunct w:val="0"/>
              <w:autoSpaceDE/>
              <w:autoSpaceDN/>
              <w:bidi w:val="0"/>
              <w:adjustRightInd/>
              <w:snapToGrid/>
              <w:spacing w:line="400" w:lineRule="exact"/>
              <w:textAlignment w:val="auto"/>
            </w:pPr>
          </w:p>
        </w:tc>
        <w:tc>
          <w:tcPr>
            <w:tcW w:w="275" w:type="pct"/>
            <w:vAlign w:val="center"/>
          </w:tcPr>
          <w:p>
            <w:pPr>
              <w:pStyle w:val="13"/>
              <w:keepNext w:val="0"/>
              <w:keepLines w:val="0"/>
              <w:pageBreakBefore w:val="0"/>
              <w:kinsoku/>
              <w:wordWrap/>
              <w:overflowPunct/>
              <w:topLinePunct w:val="0"/>
              <w:autoSpaceDE/>
              <w:autoSpaceDN/>
              <w:bidi w:val="0"/>
              <w:adjustRightInd/>
              <w:snapToGrid/>
              <w:spacing w:line="400" w:lineRule="exact"/>
              <w:textAlignment w:val="auto"/>
            </w:pPr>
          </w:p>
        </w:tc>
        <w:tc>
          <w:tcPr>
            <w:tcW w:w="312" w:type="pct"/>
            <w:vAlign w:val="center"/>
          </w:tcPr>
          <w:p>
            <w:pPr>
              <w:pStyle w:val="13"/>
              <w:keepNext w:val="0"/>
              <w:keepLines w:val="0"/>
              <w:pageBreakBefore w:val="0"/>
              <w:kinsoku/>
              <w:wordWrap/>
              <w:overflowPunct/>
              <w:topLinePunct w:val="0"/>
              <w:autoSpaceDE/>
              <w:autoSpaceDN/>
              <w:bidi w:val="0"/>
              <w:adjustRightInd/>
              <w:snapToGrid/>
              <w:spacing w:line="400" w:lineRule="exact"/>
              <w:textAlignment w:val="auto"/>
            </w:pPr>
          </w:p>
        </w:tc>
        <w:tc>
          <w:tcPr>
            <w:tcW w:w="312" w:type="pct"/>
            <w:vAlign w:val="center"/>
          </w:tcPr>
          <w:p>
            <w:pPr>
              <w:pStyle w:val="13"/>
              <w:keepNext w:val="0"/>
              <w:keepLines w:val="0"/>
              <w:pageBreakBefore w:val="0"/>
              <w:kinsoku/>
              <w:wordWrap/>
              <w:overflowPunct/>
              <w:topLinePunct w:val="0"/>
              <w:autoSpaceDE/>
              <w:autoSpaceDN/>
              <w:bidi w:val="0"/>
              <w:adjustRightInd/>
              <w:snapToGrid/>
              <w:spacing w:line="400" w:lineRule="exact"/>
              <w:textAlignment w:val="auto"/>
            </w:pPr>
          </w:p>
        </w:tc>
        <w:tc>
          <w:tcPr>
            <w:tcW w:w="312" w:type="pct"/>
            <w:vAlign w:val="center"/>
          </w:tcPr>
          <w:p>
            <w:pPr>
              <w:pStyle w:val="13"/>
              <w:keepNext w:val="0"/>
              <w:keepLines w:val="0"/>
              <w:pageBreakBefore w:val="0"/>
              <w:kinsoku/>
              <w:wordWrap/>
              <w:overflowPunct/>
              <w:topLinePunct w:val="0"/>
              <w:autoSpaceDE/>
              <w:autoSpaceDN/>
              <w:bidi w:val="0"/>
              <w:adjustRightInd/>
              <w:snapToGrid/>
              <w:spacing w:line="400" w:lineRule="exact"/>
              <w:textAlignment w:val="auto"/>
            </w:pPr>
          </w:p>
        </w:tc>
        <w:tc>
          <w:tcPr>
            <w:tcW w:w="312" w:type="pct"/>
            <w:vAlign w:val="center"/>
          </w:tcPr>
          <w:p>
            <w:pPr>
              <w:pStyle w:val="13"/>
              <w:keepNext w:val="0"/>
              <w:keepLines w:val="0"/>
              <w:pageBreakBefore w:val="0"/>
              <w:kinsoku/>
              <w:wordWrap/>
              <w:overflowPunct/>
              <w:topLinePunct w:val="0"/>
              <w:autoSpaceDE/>
              <w:autoSpaceDN/>
              <w:bidi w:val="0"/>
              <w:adjustRightInd/>
              <w:snapToGrid/>
              <w:spacing w:line="400" w:lineRule="exact"/>
              <w:textAlignment w:val="auto"/>
            </w:pPr>
          </w:p>
        </w:tc>
        <w:tc>
          <w:tcPr>
            <w:tcW w:w="312" w:type="pct"/>
            <w:vAlign w:val="center"/>
          </w:tcPr>
          <w:p>
            <w:pPr>
              <w:pStyle w:val="13"/>
              <w:keepNext w:val="0"/>
              <w:keepLines w:val="0"/>
              <w:pageBreakBefore w:val="0"/>
              <w:kinsoku/>
              <w:wordWrap/>
              <w:overflowPunct/>
              <w:topLinePunct w:val="0"/>
              <w:autoSpaceDE/>
              <w:autoSpaceDN/>
              <w:bidi w:val="0"/>
              <w:adjustRightInd/>
              <w:snapToGrid/>
              <w:spacing w:line="400" w:lineRule="exact"/>
              <w:textAlignment w:val="auto"/>
            </w:pPr>
          </w:p>
        </w:tc>
        <w:tc>
          <w:tcPr>
            <w:tcW w:w="312" w:type="pct"/>
            <w:vAlign w:val="center"/>
          </w:tcPr>
          <w:p>
            <w:pPr>
              <w:pStyle w:val="13"/>
              <w:keepNext w:val="0"/>
              <w:keepLines w:val="0"/>
              <w:pageBreakBefore w:val="0"/>
              <w:kinsoku/>
              <w:wordWrap/>
              <w:overflowPunct/>
              <w:topLinePunct w:val="0"/>
              <w:autoSpaceDE/>
              <w:autoSpaceDN/>
              <w:bidi w:val="0"/>
              <w:adjustRightInd/>
              <w:snapToGrid/>
              <w:spacing w:line="400" w:lineRule="exact"/>
              <w:textAlignment w:val="auto"/>
            </w:pPr>
          </w:p>
        </w:tc>
        <w:tc>
          <w:tcPr>
            <w:tcW w:w="312" w:type="pct"/>
            <w:vAlign w:val="center"/>
          </w:tcPr>
          <w:p>
            <w:pPr>
              <w:pStyle w:val="13"/>
              <w:keepNext w:val="0"/>
              <w:keepLines w:val="0"/>
              <w:pageBreakBefore w:val="0"/>
              <w:kinsoku/>
              <w:wordWrap/>
              <w:overflowPunct/>
              <w:topLinePunct w:val="0"/>
              <w:autoSpaceDE/>
              <w:autoSpaceDN/>
              <w:bidi w:val="0"/>
              <w:adjustRightInd/>
              <w:snapToGrid/>
              <w:spacing w:line="400" w:lineRule="exact"/>
              <w:textAlignment w:val="auto"/>
            </w:pPr>
          </w:p>
        </w:tc>
        <w:tc>
          <w:tcPr>
            <w:tcW w:w="318" w:type="pct"/>
            <w:vAlign w:val="center"/>
          </w:tcPr>
          <w:p>
            <w:pPr>
              <w:pStyle w:val="13"/>
              <w:keepNext w:val="0"/>
              <w:keepLines w:val="0"/>
              <w:pageBreakBefore w:val="0"/>
              <w:kinsoku/>
              <w:wordWrap/>
              <w:overflowPunct/>
              <w:topLinePunct w:val="0"/>
              <w:autoSpaceDE/>
              <w:autoSpaceDN/>
              <w:bidi w:val="0"/>
              <w:adjustRightInd/>
              <w:snapToGrid/>
              <w:spacing w:line="400" w:lineRule="exact"/>
              <w:textAlignment w:val="auto"/>
            </w:pPr>
          </w:p>
        </w:tc>
        <w:tc>
          <w:tcPr>
            <w:tcW w:w="312" w:type="pct"/>
            <w:vAlign w:val="center"/>
          </w:tcPr>
          <w:p>
            <w:pPr>
              <w:pStyle w:val="13"/>
              <w:keepNext w:val="0"/>
              <w:keepLines w:val="0"/>
              <w:pageBreakBefore w:val="0"/>
              <w:kinsoku/>
              <w:wordWrap/>
              <w:overflowPunct/>
              <w:topLinePunct w:val="0"/>
              <w:autoSpaceDE/>
              <w:autoSpaceDN/>
              <w:bidi w:val="0"/>
              <w:adjustRightInd/>
              <w:snapToGrid/>
              <w:spacing w:line="400" w:lineRule="exact"/>
              <w:textAlignment w:val="auto"/>
            </w:pPr>
          </w:p>
        </w:tc>
      </w:tr>
    </w:tbl>
    <w:p>
      <w:pPr>
        <w:spacing w:line="500"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00" w:lineRule="exact"/>
        <w:ind w:firstLine="420"/>
        <w:rPr>
          <w:rFonts w:ascii="方正仿宋_GBK" w:hAnsi="方正仿宋_GBK" w:eastAsia="方正仿宋_GBK" w:cs="方正仿宋_GBK"/>
          <w:color w:val="000000"/>
        </w:rPr>
      </w:pPr>
    </w:p>
    <w:p>
      <w:pPr>
        <w:spacing w:line="500" w:lineRule="exact"/>
        <w:ind w:firstLine="420"/>
        <w:rPr>
          <w:rFonts w:ascii="Times New Roman" w:hAnsi="Times New Roman" w:eastAsia="黑体" w:cs="Times New Roman"/>
          <w:sz w:val="32"/>
          <w:szCs w:val="32"/>
        </w:rPr>
      </w:pPr>
    </w:p>
    <w:p>
      <w:pPr>
        <w:spacing w:line="500" w:lineRule="exact"/>
        <w:ind w:firstLine="420"/>
        <w:rPr>
          <w:rFonts w:ascii="Times New Roman" w:hAnsi="Times New Roman" w:eastAsia="黑体" w:cs="Times New Roman"/>
          <w:sz w:val="32"/>
          <w:szCs w:val="32"/>
        </w:rPr>
      </w:pPr>
    </w:p>
    <w:p>
      <w:pPr>
        <w:spacing w:line="500" w:lineRule="exact"/>
        <w:ind w:firstLine="420"/>
        <w:rPr>
          <w:rFonts w:ascii="Times New Roman" w:hAnsi="Times New Roman" w:eastAsia="黑体" w:cs="Times New Roman"/>
          <w:sz w:val="32"/>
          <w:szCs w:val="32"/>
        </w:rPr>
      </w:pPr>
    </w:p>
    <w:p>
      <w:pPr>
        <w:spacing w:line="500" w:lineRule="exact"/>
        <w:ind w:firstLine="420"/>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lang w:eastAsia="zh-CN"/>
        </w:rPr>
        <w:t>广阳区</w:t>
      </w:r>
      <w:r>
        <w:rPr>
          <w:rFonts w:hint="eastAsia" w:ascii="Times New Roman" w:hAnsi="Times New Roman" w:eastAsia="仿宋_GB2312" w:cs="Times New Roman"/>
          <w:sz w:val="32"/>
          <w:szCs w:val="32"/>
          <w:lang w:val="en-US" w:eastAsia="zh-CN"/>
        </w:rPr>
        <w:t>第七幼儿园</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廊坊市</w:t>
            </w:r>
            <w:r>
              <w:rPr>
                <w:rFonts w:hint="eastAsia" w:ascii="Times New Roman" w:hAnsi="Times New Roman" w:eastAsia="仿宋_GB2312" w:cs="Times New Roman"/>
                <w:b/>
                <w:bCs/>
                <w:kern w:val="0"/>
                <w:sz w:val="32"/>
                <w:szCs w:val="32"/>
                <w:lang w:eastAsia="zh-CN"/>
              </w:rPr>
              <w:t>广阳区</w:t>
            </w:r>
            <w:r>
              <w:rPr>
                <w:rFonts w:hint="eastAsia" w:ascii="Times New Roman" w:hAnsi="Times New Roman" w:eastAsia="仿宋_GB2312" w:cs="Times New Roman"/>
                <w:b/>
                <w:bCs/>
                <w:kern w:val="0"/>
                <w:sz w:val="32"/>
                <w:szCs w:val="32"/>
                <w:lang w:val="en-US" w:eastAsia="zh-CN"/>
              </w:rPr>
              <w:t>第七幼儿园</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编制部门：廊坊市</w:t>
            </w:r>
            <w:r>
              <w:rPr>
                <w:rFonts w:hint="eastAsia" w:ascii="Times New Roman" w:hAnsi="Times New Roman" w:eastAsia="仿宋_GB2312" w:cs="Times New Roman"/>
                <w:kern w:val="0"/>
                <w:sz w:val="22"/>
                <w:lang w:eastAsia="zh-CN"/>
              </w:rPr>
              <w:t>广阳区</w:t>
            </w:r>
            <w:r>
              <w:rPr>
                <w:rFonts w:hint="eastAsia" w:ascii="Times New Roman" w:hAnsi="Times New Roman" w:eastAsia="仿宋_GB2312" w:cs="Times New Roman"/>
                <w:kern w:val="0"/>
                <w:sz w:val="22"/>
                <w:lang w:val="en-US" w:eastAsia="zh-CN"/>
              </w:rPr>
              <w:t>第七幼儿园</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ascii="Times New Roman" w:hAnsi="Times New Roman" w:eastAsia="仿宋_GB2312" w:cs="Times New Roman"/>
                <w:kern w:val="0"/>
                <w:sz w:val="22"/>
              </w:rPr>
              <w:t xml:space="preserve">1年12月31日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0</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footerReference r:id="rId3" w:type="default"/>
      <w:pgSz w:w="16838" w:h="11906" w:orient="landscape"/>
      <w:pgMar w:top="1757" w:right="1440" w:bottom="1757" w:left="1440" w:header="851" w:footer="992" w:gutter="0"/>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书宋_GBK">
    <w:altName w:val="微软雅黑"/>
    <w:panose1 w:val="00000000000000000000"/>
    <w:charset w:val="86"/>
    <w:family w:val="roman"/>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仿宋_GBK">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UnicodeMS">
    <w:altName w:val="Malgun Gothic"/>
    <w:panose1 w:val="00000000000000000000"/>
    <w:charset w:val="81"/>
    <w:family w:val="auto"/>
    <w:pitch w:val="default"/>
    <w:sig w:usb0="00000000" w:usb1="00000000" w:usb2="00000010" w:usb3="00000000" w:csb0="00080001" w:csb1="00000000"/>
  </w:font>
  <w:font w:name="Malgun Gothic">
    <w:panose1 w:val="020B0503020000020004"/>
    <w:charset w:val="81"/>
    <w:family w:val="auto"/>
    <w:pitch w:val="default"/>
    <w:sig w:usb0="900002AF" w:usb1="01D77CFB" w:usb2="00000012" w:usb3="00000000" w:csb0="00080001"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11</w:t>
    </w:r>
    <w:r>
      <w:rPr>
        <w:lang w:val="zh-CN"/>
      </w:rPr>
      <w:fldChar w:fldCharType="end"/>
    </w:r>
    <w:r>
      <w:rPr>
        <w:rFonts w:hint="eastAsia"/>
      </w:rPr>
      <w:t>-</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220D89"/>
    <w:multiLevelType w:val="singleLevel"/>
    <w:tmpl w:val="6C220D89"/>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7CC"/>
    <w:rsid w:val="000230E6"/>
    <w:rsid w:val="000F6018"/>
    <w:rsid w:val="0025632D"/>
    <w:rsid w:val="003059E0"/>
    <w:rsid w:val="004A54AA"/>
    <w:rsid w:val="00944233"/>
    <w:rsid w:val="00B40732"/>
    <w:rsid w:val="00B80935"/>
    <w:rsid w:val="00D347CC"/>
    <w:rsid w:val="00DC72B4"/>
    <w:rsid w:val="07F21901"/>
    <w:rsid w:val="0CEC1180"/>
    <w:rsid w:val="0D172C0E"/>
    <w:rsid w:val="10A932D9"/>
    <w:rsid w:val="209E281B"/>
    <w:rsid w:val="22F81935"/>
    <w:rsid w:val="2F2640E3"/>
    <w:rsid w:val="3DF77D5A"/>
    <w:rsid w:val="419123D6"/>
    <w:rsid w:val="48B97D08"/>
    <w:rsid w:val="567D7972"/>
    <w:rsid w:val="5F7003D6"/>
    <w:rsid w:val="641E58CD"/>
    <w:rsid w:val="6CAB301D"/>
    <w:rsid w:val="6D5D5327"/>
    <w:rsid w:val="73693C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3">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4">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5">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16">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18">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19">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11</Pages>
  <Words>504</Words>
  <Characters>2877</Characters>
  <Lines>23</Lines>
  <Paragraphs>6</Paragraphs>
  <TotalTime>19</TotalTime>
  <ScaleCrop>false</ScaleCrop>
  <LinksUpToDate>false</LinksUpToDate>
  <CharactersWithSpaces>3375</CharactersWithSpaces>
  <Application>WPS Office_11.1.0.11339_F1E327BC-269C-435d-A152-05C5408002CA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lenovo</cp:lastModifiedBy>
  <cp:lastPrinted>2018-01-30T06:12:00Z</cp:lastPrinted>
  <dcterms:modified xsi:type="dcterms:W3CDTF">2022-07-07T02:06:26Z</dcterms:modified>
  <cp:revision>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1ACC0B7F52274D998E0936B3339819FD</vt:lpwstr>
  </property>
</Properties>
</file>