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10" w:name="_GoBack"/>
      <w:r>
        <w:rPr>
          <w:rFonts w:ascii="Times New Roman" w:hAnsi="Times New Roman" w:eastAsia="方正小标宋简体" w:cs="Times New Roman"/>
          <w:sz w:val="44"/>
          <w:szCs w:val="44"/>
        </w:rPr>
        <w:t>第</w:t>
      </w:r>
      <w:r>
        <w:rPr>
          <w:rFonts w:hint="eastAsia" w:ascii="Times New Roman" w:hAnsi="Times New Roman" w:eastAsia="方正小标宋简体" w:cs="Times New Roman"/>
          <w:sz w:val="44"/>
          <w:szCs w:val="44"/>
        </w:rPr>
        <w:t>十二小</w:t>
      </w:r>
      <w:r>
        <w:rPr>
          <w:rFonts w:ascii="Times New Roman" w:hAnsi="Times New Roman" w:eastAsia="方正小标宋简体" w:cs="Times New Roman"/>
          <w:sz w:val="44"/>
          <w:szCs w:val="44"/>
        </w:rPr>
        <w:t>学20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10"/>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按照《中华人民共和国预算法》、《中华人民共和国预算法实施条例》、《地方预决算公开操作规程》和《河北省省级预算公开办法》规定，现将廊坊市第</w:t>
      </w:r>
      <w:r>
        <w:rPr>
          <w:rFonts w:hint="eastAsia" w:ascii="Times New Roman" w:hAnsi="Times New Roman" w:eastAsia="仿宋_GB2312" w:cs="Times New Roman"/>
          <w:sz w:val="32"/>
          <w:szCs w:val="32"/>
        </w:rPr>
        <w:t>十二小</w:t>
      </w:r>
      <w:r>
        <w:rPr>
          <w:rFonts w:ascii="Times New Roman" w:hAnsi="Times New Roman" w:eastAsia="仿宋_GB2312" w:cs="Times New Roman"/>
          <w:sz w:val="32"/>
          <w:szCs w:val="32"/>
        </w:rPr>
        <w:t>学20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1、贯彻执行党和国家的教育方针、政策、法律法规，制定我校的长远规划和年度计划，并组织实施。</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2、负责教育基本信息的统计、分析。</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3、推进义务教育均衡发展和促进教育公平，全面实施素质教育。</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4、负责学校教师队伍的建设和管理，提高教师队伍素质</w:t>
      </w:r>
    </w:p>
    <w:p>
      <w:pPr>
        <w:widowControl/>
        <w:jc w:val="left"/>
        <w:rPr>
          <w:rFonts w:ascii="仿宋_GB2312" w:hAnsi="宋体" w:eastAsia="仿宋_GB2312" w:cs="宋体"/>
          <w:color w:val="000000"/>
          <w:kern w:val="0"/>
          <w:sz w:val="32"/>
          <w:szCs w:val="32"/>
        </w:rPr>
      </w:pP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5、负责本部门教育经费的统筹管理，教育经费预决算工作，教育经费的管理和使用；统筹规划和管理学校基本建设和设施的配置及计划统计工作。</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6、管理学校的党建、思想政治、宣传统战和维护稳定以及德育、体育、卫生防疫与艺术教育、国防教育工作。</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7、负责做好学校的学生综合评价工作；负责管理本校教师学历教育及培训工作。</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8、负责组织开展学校教育的督导评估、检查验收、质量监测等工作。</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9、负责学校党的政治建设、思想建设、组织建设、作风建设、纪律建设和制度建设。</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10、负责学校学生和教师的思想政治工作，学校思想政治队伍建设和学校校本课程教育教学。</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11、负责学校安全稳定工作。</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12、做好上级部门交办的其他事项。</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ind w:firstLine="630" w:firstLineChars="196"/>
        <w:jc w:val="left"/>
        <w:textAlignment w:val="baseline"/>
        <w:rPr>
          <w:rFonts w:ascii="Times New Roman" w:hAnsi="Times New Roman" w:eastAsia="楷体_GB2312" w:cs="Times New Roman"/>
          <w:b/>
          <w:sz w:val="32"/>
          <w:szCs w:val="32"/>
        </w:rPr>
      </w:pPr>
    </w:p>
    <w:p>
      <w:pPr>
        <w:spacing w:line="584" w:lineRule="exact"/>
        <w:ind w:firstLine="630" w:firstLineChars="196"/>
        <w:jc w:val="left"/>
        <w:textAlignment w:val="baseline"/>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9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1559"/>
        <w:gridCol w:w="1417"/>
        <w:gridCol w:w="3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1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4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524" w:type="dxa"/>
            <w:vMerge w:val="continue"/>
            <w:shd w:val="clear" w:color="auto" w:fill="auto"/>
            <w:vAlign w:val="center"/>
          </w:tcPr>
          <w:p/>
        </w:tc>
        <w:tc>
          <w:tcPr>
            <w:tcW w:w="1559" w:type="dxa"/>
            <w:vMerge w:val="continue"/>
            <w:shd w:val="clear" w:color="auto" w:fill="auto"/>
            <w:vAlign w:val="center"/>
          </w:tcPr>
          <w:p/>
        </w:tc>
        <w:tc>
          <w:tcPr>
            <w:tcW w:w="1417" w:type="dxa"/>
            <w:vMerge w:val="continue"/>
            <w:shd w:val="clear" w:color="auto" w:fill="auto"/>
            <w:vAlign w:val="center"/>
          </w:tcPr>
          <w:p/>
        </w:tc>
        <w:tc>
          <w:tcPr>
            <w:tcW w:w="3448"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廊坊市第十二小学</w:t>
            </w:r>
          </w:p>
        </w:tc>
        <w:tc>
          <w:tcPr>
            <w:tcW w:w="15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417" w:type="dxa"/>
            <w:shd w:val="clear" w:color="auto" w:fill="auto"/>
            <w:vAlign w:val="center"/>
          </w:tcPr>
          <w:p>
            <w:pPr>
              <w:spacing w:line="584" w:lineRule="exact"/>
              <w:rPr>
                <w:rFonts w:ascii="Times New Roman" w:hAnsi="Times New Roman" w:eastAsia="仿宋_GB2312" w:cs="Times New Roman"/>
                <w:b/>
              </w:rPr>
            </w:pPr>
          </w:p>
        </w:tc>
        <w:tc>
          <w:tcPr>
            <w:tcW w:w="3448" w:type="dxa"/>
            <w:shd w:val="clear" w:color="auto" w:fill="auto"/>
            <w:vAlign w:val="center"/>
          </w:tcPr>
          <w:p>
            <w:pPr>
              <w:spacing w:line="584"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部门预算的编制实行综合预算制度，即全部收入和支出都反映在预算中。廊坊市第</w:t>
      </w:r>
      <w:r>
        <w:rPr>
          <w:rFonts w:hint="eastAsia" w:ascii="Times New Roman" w:hAnsi="Times New Roman" w:eastAsia="仿宋_GB2312" w:cs="Times New Roman"/>
          <w:sz w:val="32"/>
          <w:szCs w:val="32"/>
        </w:rPr>
        <w:t>十二小</w:t>
      </w:r>
      <w:r>
        <w:rPr>
          <w:rFonts w:ascii="Times New Roman" w:hAnsi="Times New Roman" w:eastAsia="仿宋_GB2312" w:cs="Times New Roman"/>
          <w:sz w:val="32"/>
          <w:szCs w:val="32"/>
        </w:rPr>
        <w:t>学的收支包含在部门预算中。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1405.15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1405.15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收支预算总表支出栏、基本支出表、项目支出表按经济分类和支出功能分类科目编制，反映廊坊市第</w:t>
      </w:r>
      <w:r>
        <w:rPr>
          <w:rFonts w:hint="eastAsia" w:ascii="Times New Roman" w:hAnsi="Times New Roman" w:eastAsia="仿宋_GB2312" w:cs="Times New Roman"/>
          <w:sz w:val="32"/>
          <w:szCs w:val="32"/>
        </w:rPr>
        <w:t>十二小</w:t>
      </w:r>
      <w:r>
        <w:rPr>
          <w:rFonts w:ascii="Times New Roman" w:hAnsi="Times New Roman" w:eastAsia="仿宋_GB2312" w:cs="Times New Roman"/>
          <w:sz w:val="32"/>
          <w:szCs w:val="32"/>
        </w:rPr>
        <w:t>学</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1405.15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646.09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638.07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8.02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759.06</w:t>
      </w:r>
      <w:r>
        <w:rPr>
          <w:rFonts w:ascii="Times New Roman" w:hAnsi="Times New Roman" w:eastAsia="仿宋_GB2312" w:cs="Times New Roman"/>
          <w:sz w:val="32"/>
          <w:szCs w:val="32"/>
        </w:rPr>
        <w:t>万元</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1405.15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增加561.37</w:t>
      </w:r>
      <w:r>
        <w:rPr>
          <w:rFonts w:ascii="Times New Roman" w:hAnsi="Times New Roman" w:eastAsia="仿宋_GB2312" w:cs="Times New Roman"/>
          <w:sz w:val="32"/>
          <w:szCs w:val="32"/>
        </w:rPr>
        <w:t>万元，其中：基本支出减少55.56万元，主要为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616.93</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000000" w:themeColor="text1"/>
          <w:sz w:val="32"/>
          <w:szCs w:val="32"/>
          <w14:textFill>
            <w14:solidFill>
              <w14:schemeClr w14:val="tx1"/>
            </w14:solidFill>
          </w14:textFill>
        </w:rPr>
        <w:t>教育经费、合同制教师人员经费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与20</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1年相比</w:t>
      </w:r>
      <w:r>
        <w:rPr>
          <w:rFonts w:hint="eastAsia" w:ascii="Times New Roman" w:hAnsi="Times New Roman" w:eastAsia="仿宋_GB2312" w:cs="Times New Roman"/>
          <w:color w:val="000000" w:themeColor="text1"/>
          <w:sz w:val="32"/>
          <w:szCs w:val="32"/>
          <w14:textFill>
            <w14:solidFill>
              <w14:schemeClr w14:val="tx1"/>
            </w14:solidFill>
          </w14:textFill>
        </w:rPr>
        <w:t>持平，</w:t>
      </w:r>
      <w:r>
        <w:rPr>
          <w:rFonts w:ascii="Times New Roman" w:hAnsi="Times New Roman" w:eastAsia="仿宋_GB2312" w:cs="Times New Roman"/>
          <w:color w:val="000000" w:themeColor="text1"/>
          <w:sz w:val="32"/>
          <w:szCs w:val="32"/>
          <w14:textFill>
            <w14:solidFill>
              <w14:schemeClr w14:val="tx1"/>
            </w14:solidFill>
          </w14:textFill>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1、提高义务教育水平，免除城市区中小学生学杂费，提供免费教科书，解决大班额问题及入学难问题。对贫困中小学生进行补助。</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2、按质按量完成教育教学方面的各项任务，稳步提升学校的教育教学质量，学生综合素质评价优秀率达到85%,合格率达到100%。</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4、提升学校基础设施设备的整体水平。加强学校基础设施设备的维护,确保校园安全,落实校园防火及其他安全隐患的预防工作。确保校园各设施设备的正常运行。</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widowControl/>
        <w:ind w:firstLine="320" w:firstLineChars="1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320" w:firstLineChars="100"/>
        <w:rPr>
          <w:rFonts w:ascii="宋体" w:hAnsi="宋体" w:cs="宋体"/>
          <w:color w:val="000000"/>
          <w:kern w:val="0"/>
          <w:sz w:val="28"/>
          <w:szCs w:val="28"/>
        </w:rPr>
      </w:pPr>
      <w:r>
        <w:rPr>
          <w:rFonts w:hint="eastAsia" w:ascii="仿宋_GB2312" w:hAnsi="宋体" w:eastAsia="仿宋_GB2312" w:cs="宋体"/>
          <w:color w:val="000000"/>
          <w:kern w:val="0"/>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320" w:firstLineChars="10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1、成立学校监督小组，监督学校工作，强化工作落实。</w:t>
      </w:r>
    </w:p>
    <w:p>
      <w:pPr>
        <w:widowControl/>
        <w:ind w:firstLine="320" w:firstLineChars="10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widowControl/>
        <w:ind w:firstLine="320" w:firstLineChars="10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widowControl/>
        <w:ind w:firstLine="320" w:firstLineChars="10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widowControl/>
        <w:ind w:firstLine="320" w:firstLineChars="10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widowControl/>
        <w:ind w:firstLine="320" w:firstLineChars="10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8、加强政治理论学习，强化党风廉政建设。做好师德传承活动，落实老中青传帮带。弘扬办学精神。加强师德宣传与学习活动。开展形式多样、扎实有效的师德教育活动。</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7"/>
        <w:gridCol w:w="992"/>
        <w:gridCol w:w="2126"/>
        <w:gridCol w:w="3544"/>
        <w:gridCol w:w="1984"/>
        <w:gridCol w:w="567"/>
        <w:gridCol w:w="581"/>
        <w:gridCol w:w="140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2" w:hRule="atLeast"/>
          <w:tblHeader/>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5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5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7" w:hRule="atLeast"/>
          <w:tblHeader/>
          <w:jc w:val="center"/>
        </w:trPr>
        <w:tc>
          <w:tcPr>
            <w:tcW w:w="577" w:type="dxa"/>
            <w:vMerge w:val="continue"/>
            <w:tcBorders>
              <w:tl2br w:val="nil"/>
              <w:tr2bl w:val="nil"/>
            </w:tcBorders>
            <w:vAlign w:val="center"/>
          </w:tcPr>
          <w:p/>
        </w:tc>
        <w:tc>
          <w:tcPr>
            <w:tcW w:w="992" w:type="dxa"/>
            <w:vMerge w:val="continue"/>
            <w:tcBorders>
              <w:tl2br w:val="nil"/>
              <w:tr2bl w:val="nil"/>
            </w:tcBorders>
            <w:vAlign w:val="center"/>
          </w:tcPr>
          <w:p/>
        </w:tc>
        <w:tc>
          <w:tcPr>
            <w:tcW w:w="2126" w:type="dxa"/>
            <w:vMerge w:val="continue"/>
            <w:tcBorders>
              <w:tl2br w:val="nil"/>
              <w:tr2bl w:val="nil"/>
            </w:tcBorders>
            <w:vAlign w:val="center"/>
          </w:tcPr>
          <w:p/>
        </w:tc>
        <w:tc>
          <w:tcPr>
            <w:tcW w:w="3544" w:type="dxa"/>
            <w:vMerge w:val="continue"/>
            <w:tcBorders>
              <w:tl2br w:val="nil"/>
              <w:tr2bl w:val="nil"/>
            </w:tcBorders>
            <w:vAlign w:val="center"/>
          </w:tcPr>
          <w:p/>
        </w:tc>
        <w:tc>
          <w:tcPr>
            <w:tcW w:w="1984"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8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40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5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6" w:hRule="atLeast"/>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小学生毕业生合格率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20分毕业生合格率100%得满分，否则不得分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小学生毕业生合格率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10分不低于95%得满分，否则不得分每减少1%扣1分，扣完为止</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20分合格率100%得满分，否则不得分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2"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10分及时完成得满分，否则不得分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及时</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教育经费使用控制率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10分教育经费决算数不大于调整预算数得满分，否则不得分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支出的公用经费总额与预算安排的比率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决算数不大于调整预算数</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义务教育高质量发展</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10分学生、家长、社会对学校整体满意度达到95%得满分，每降低1%扣1分，扣完为止。</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2"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126"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354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10分在校师生的满意度达到95%得满分，每降低1%扣1分，扣完为止。</w:t>
            </w:r>
          </w:p>
        </w:tc>
        <w:tc>
          <w:tcPr>
            <w:tcW w:w="198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26"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354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10分家长的满意度达到95%得满分，每降低1%扣1分，扣完为止。</w:t>
            </w:r>
          </w:p>
        </w:tc>
        <w:tc>
          <w:tcPr>
            <w:tcW w:w="198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8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89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w:t>
            </w:r>
          </w:p>
          <w:p>
            <w:pPr>
              <w:pStyle w:val="14"/>
              <w:rPr>
                <w:rFonts w:hint="eastAsia" w:ascii="仿宋_GB2312" w:hAnsi="仿宋_GB2312" w:eastAsia="仿宋_GB2312" w:cs="仿宋_GB2312"/>
              </w:rPr>
            </w:pPr>
            <w:r>
              <w:rPr>
                <w:rFonts w:hint="eastAsia" w:ascii="仿宋_GB2312" w:hAnsi="仿宋_GB2312" w:eastAsia="仿宋_GB2312" w:cs="仿宋_GB2312"/>
              </w:rPr>
              <w:t>3.促进义务教育发展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3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24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1804人</w:t>
            </w:r>
          </w:p>
        </w:tc>
        <w:tc>
          <w:tcPr>
            <w:tcW w:w="32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2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2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使用生均公用经费，用于保障学校正常运转的项目支出成本等于XXX元/生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735元/人</w:t>
            </w:r>
          </w:p>
        </w:tc>
        <w:tc>
          <w:tcPr>
            <w:tcW w:w="32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2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2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9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90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1.目标内容1廊坊市第十二小学2022年在校学生1804人，按照义务教育生均公用经费标准申请财政预算资金，通过合理、合规使用资金达到保证学校正常运转，改善办学条件，促进义务教育发展。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13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1804人</w:t>
            </w:r>
          </w:p>
        </w:tc>
        <w:tc>
          <w:tcPr>
            <w:tcW w:w="313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13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13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使用生均公用经费，用于保障学校正常运转的项目支出成本等于XXX元/生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735元/人</w:t>
            </w:r>
          </w:p>
        </w:tc>
        <w:tc>
          <w:tcPr>
            <w:tcW w:w="313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13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13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3.非公办教师经费绩效目标表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1.消除信访隐患、关心关爱家庭困难教师、支持教育事业发展的原则，根据吴兰老师自身实际，解决其待遇问题。</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保障人数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保障人数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1人</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工资(福利)等发放精准性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工资福利等发放人员范围的精准性和发放数据的准确性</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社会保障缴纳数据的准确性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社会保障缴纳数据的准确性</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工资(福利)发放及时性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工资福利等发放的时效情况</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按规定时间发放</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保持干部队伍稳定</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通过按时按标准发放工资福利等，进一步增强归属感，保持相对稳定</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保持相对稳定</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人员满意度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人员对工资福利等发放工作的满意程度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4.合同制教师人员经费绩效目标表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502"/>
        <w:gridCol w:w="1590"/>
        <w:gridCol w:w="1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50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9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21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26人工资福利</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58人</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5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21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08"/>
      <w:r>
        <w:rPr>
          <w:rFonts w:hint="eastAsia" w:ascii="仿宋_GB2312" w:hAnsi="仿宋_GB2312" w:eastAsia="仿宋_GB2312" w:cs="仿宋_GB2312"/>
          <w:color w:val="000000"/>
          <w:sz w:val="28"/>
        </w:rPr>
        <w:t>5.教育经费绩效目标表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≤7.26万元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5" w:name="_Toc_4_4_0000000009"/>
      <w:r>
        <w:rPr>
          <w:rFonts w:hint="eastAsia" w:ascii="仿宋_GB2312" w:hAnsi="仿宋_GB2312" w:eastAsia="仿宋_GB2312" w:cs="仿宋_GB2312"/>
          <w:color w:val="000000"/>
          <w:sz w:val="28"/>
        </w:rPr>
        <w:t>6.特殊教育资金[中央]绩效目标表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1.目标内容1方便特殊学生日常生活学习，提升整体教学质量</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12人</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12月底</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72000元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6" w:name="_Toc_4_4_0000000010"/>
      <w:r>
        <w:rPr>
          <w:rFonts w:hint="eastAsia" w:ascii="仿宋_GB2312" w:hAnsi="仿宋_GB2312" w:eastAsia="仿宋_GB2312" w:cs="仿宋_GB2312"/>
          <w:color w:val="000000"/>
          <w:sz w:val="28"/>
        </w:rPr>
        <w:t>7.消防设施维修改造项目质保金绩效目标表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1.消除消防安全隐患，学校安全得到全面提升。</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项目进度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按计划完成项目</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按计划完成项目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基础设施验收通过率（%）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基础设施验收通过率（%）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验收方案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工程竣工及时率（%）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工程竣工及时率（%）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项目实际成本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项目实际成本</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项目工程款质保金0.861万元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可持续性服务</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可持续性服务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改善校容校貌，提升办学水平</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竣工验收效果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通过问卷调查，满意和较满意的对象占所有调查对象的比例</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通过问卷调查，满意和较满意的对象占所有调查对象的比例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jc w:val="left"/>
        <w:outlineLvl w:val="3"/>
        <w:rPr>
          <w:rFonts w:ascii="Times New Roman" w:hAnsi="Times New Roman" w:eastAsia="黑体" w:cs="Times New Roman"/>
          <w:sz w:val="32"/>
          <w:szCs w:val="32"/>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52、非公办教师吴兰经费绩效目标表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hint="eastAsia" w:ascii="方正仿宋_GBK" w:eastAsia="方正仿宋_GBK"/>
          <w:b/>
          <w:sz w:val="28"/>
        </w:rPr>
        <w:t xml:space="preserve">   </w:t>
      </w: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7"/>
    <w:p>
      <w:pPr>
        <w:jc w:val="center"/>
        <w:outlineLvl w:val="1"/>
        <w:rPr>
          <w:rFonts w:ascii="方正小标宋_GBK" w:eastAsia="方正小标宋_GBK" w:cs="Times New Roman"/>
          <w:sz w:val="32"/>
        </w:rPr>
      </w:pPr>
      <w:bookmarkStart w:id="8" w:name="_Toc64920910"/>
      <w:r>
        <w:rPr>
          <w:rFonts w:hint="eastAsia" w:ascii="方正小标宋_GBK" w:eastAsia="方正小标宋_GBK" w:cs="Times New Roman"/>
          <w:sz w:val="32"/>
        </w:rPr>
        <w:t>部门政府采购预算</w:t>
      </w:r>
      <w:bookmarkEnd w:id="8"/>
    </w:p>
    <w:p>
      <w:pPr>
        <w:outlineLvl w:val="1"/>
        <w:rPr>
          <w:rFonts w:ascii="方正小标宋_GBK" w:eastAsia="方正小标宋_GBK" w:cs="Times New Roman"/>
          <w:sz w:val="32"/>
        </w:rPr>
      </w:pPr>
      <w:r>
        <w:rPr>
          <w:rFonts w:hint="eastAsia"/>
        </w:rPr>
        <w:t>[</w:t>
      </w:r>
      <w:r>
        <w:t>459001]</w:t>
      </w:r>
      <w:r>
        <w:rPr>
          <w:rFonts w:hint="eastAsia"/>
        </w:rPr>
        <w:t>廊坊市第十二小学</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668"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政府采购金额（当年部门预算安排资金）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2" w:hRule="atLeas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356" w:type="pct"/>
            <w:vAlign w:val="center"/>
          </w:tcPr>
          <w:p>
            <w:pPr>
              <w:pStyle w:val="14"/>
            </w:pPr>
          </w:p>
        </w:tc>
        <w:tc>
          <w:tcPr>
            <w:tcW w:w="313" w:type="pct"/>
            <w:vAlign w:val="center"/>
          </w:tcPr>
          <w:p>
            <w:pPr>
              <w:pStyle w:val="13"/>
            </w:pPr>
          </w:p>
        </w:tc>
        <w:tc>
          <w:tcPr>
            <w:tcW w:w="368" w:type="pct"/>
            <w:vAlign w:val="center"/>
          </w:tcPr>
          <w:p>
            <w:pPr>
              <w:pStyle w:val="14"/>
            </w:pPr>
          </w:p>
        </w:tc>
        <w:tc>
          <w:tcPr>
            <w:tcW w:w="368" w:type="pct"/>
            <w:vAlign w:val="center"/>
          </w:tcPr>
          <w:p>
            <w:pPr>
              <w:pStyle w:val="14"/>
            </w:pPr>
          </w:p>
        </w:tc>
        <w:tc>
          <w:tcPr>
            <w:tcW w:w="230" w:type="pct"/>
            <w:vAlign w:val="center"/>
          </w:tcPr>
          <w:p>
            <w:pPr>
              <w:pStyle w:val="15"/>
            </w:pPr>
          </w:p>
        </w:tc>
        <w:tc>
          <w:tcPr>
            <w:tcW w:w="276" w:type="pct"/>
            <w:vAlign w:val="center"/>
          </w:tcPr>
          <w:p>
            <w:pPr>
              <w:pStyle w:val="13"/>
            </w:pPr>
          </w:p>
        </w:tc>
        <w:tc>
          <w:tcPr>
            <w:tcW w:w="276"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廊坊市第</w:t>
      </w:r>
      <w:r>
        <w:rPr>
          <w:rFonts w:hint="eastAsia" w:ascii="Times New Roman" w:hAnsi="Times New Roman" w:eastAsia="仿宋_GB2312" w:cs="Times New Roman"/>
          <w:sz w:val="32"/>
          <w:szCs w:val="32"/>
        </w:rPr>
        <w:t>十二小</w:t>
      </w:r>
      <w:r>
        <w:rPr>
          <w:rFonts w:ascii="Times New Roman" w:hAnsi="Times New Roman" w:eastAsia="仿宋_GB2312" w:cs="Times New Roman"/>
          <w:sz w:val="32"/>
          <w:szCs w:val="32"/>
        </w:rPr>
        <w:t>学上年末固定资产金额为</w:t>
      </w:r>
      <w:r>
        <w:rPr>
          <w:rFonts w:hint="eastAsia" w:ascii="Times New Roman" w:hAnsi="Times New Roman" w:eastAsia="仿宋_GB2312" w:cs="Times New Roman"/>
          <w:sz w:val="32"/>
          <w:szCs w:val="32"/>
        </w:rPr>
        <w:t>741.010434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bookmarkStart w:id="9" w:name="_Hlk98267655"/>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bookmarkEnd w:id="9"/>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廊坊市第</w:t>
            </w:r>
            <w:r>
              <w:rPr>
                <w:rFonts w:hint="eastAsia" w:ascii="Times New Roman" w:hAnsi="Times New Roman" w:eastAsia="仿宋_GB2312" w:cs="Times New Roman"/>
                <w:b/>
                <w:bCs/>
                <w:kern w:val="0"/>
                <w:sz w:val="32"/>
                <w:szCs w:val="32"/>
              </w:rPr>
              <w:t>十二小</w:t>
            </w:r>
            <w:r>
              <w:rPr>
                <w:rFonts w:ascii="Times New Roman" w:hAnsi="Times New Roman" w:eastAsia="仿宋_GB2312" w:cs="Times New Roman"/>
                <w:b/>
                <w:bCs/>
                <w:kern w:val="0"/>
                <w:sz w:val="32"/>
                <w:szCs w:val="32"/>
              </w:rPr>
              <w:t>学固定资产占用情况表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编制部门：廊坊市第</w:t>
            </w:r>
            <w:r>
              <w:rPr>
                <w:rFonts w:hint="eastAsia" w:ascii="Times New Roman" w:hAnsi="Times New Roman" w:eastAsia="仿宋_GB2312" w:cs="Times New Roman"/>
                <w:kern w:val="0"/>
                <w:sz w:val="22"/>
              </w:rPr>
              <w:t>十二小</w:t>
            </w:r>
            <w:r>
              <w:rPr>
                <w:rFonts w:ascii="Times New Roman" w:hAnsi="Times New Roman" w:eastAsia="仿宋_GB2312" w:cs="Times New Roman"/>
                <w:kern w:val="0"/>
                <w:sz w:val="22"/>
              </w:rPr>
              <w:t>学</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741.010434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5257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4816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 xml:space="preserve"> </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 xml:space="preserve"> 237.710434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47724"/>
    <w:rsid w:val="00070736"/>
    <w:rsid w:val="000F6018"/>
    <w:rsid w:val="001A1291"/>
    <w:rsid w:val="00216DA5"/>
    <w:rsid w:val="0024206B"/>
    <w:rsid w:val="0025632D"/>
    <w:rsid w:val="002F36BA"/>
    <w:rsid w:val="003059E0"/>
    <w:rsid w:val="00336AFA"/>
    <w:rsid w:val="003C0A5C"/>
    <w:rsid w:val="00437FE7"/>
    <w:rsid w:val="00474C13"/>
    <w:rsid w:val="004A54AA"/>
    <w:rsid w:val="004C0827"/>
    <w:rsid w:val="004C3D1C"/>
    <w:rsid w:val="00523A3A"/>
    <w:rsid w:val="0065176D"/>
    <w:rsid w:val="00660389"/>
    <w:rsid w:val="0068194A"/>
    <w:rsid w:val="00692AEE"/>
    <w:rsid w:val="0078104A"/>
    <w:rsid w:val="007C7867"/>
    <w:rsid w:val="007D6A12"/>
    <w:rsid w:val="007F6DF3"/>
    <w:rsid w:val="0081323A"/>
    <w:rsid w:val="00832A82"/>
    <w:rsid w:val="00832CE5"/>
    <w:rsid w:val="00944233"/>
    <w:rsid w:val="00961F07"/>
    <w:rsid w:val="009735EC"/>
    <w:rsid w:val="009A45F5"/>
    <w:rsid w:val="009B5858"/>
    <w:rsid w:val="00A505F1"/>
    <w:rsid w:val="00A6203D"/>
    <w:rsid w:val="00A90D8D"/>
    <w:rsid w:val="00AD039B"/>
    <w:rsid w:val="00B03564"/>
    <w:rsid w:val="00B40732"/>
    <w:rsid w:val="00B45ED6"/>
    <w:rsid w:val="00B80935"/>
    <w:rsid w:val="00C463C3"/>
    <w:rsid w:val="00D24536"/>
    <w:rsid w:val="00D33460"/>
    <w:rsid w:val="00D347CC"/>
    <w:rsid w:val="00D409D5"/>
    <w:rsid w:val="00DA729A"/>
    <w:rsid w:val="00DC72B4"/>
    <w:rsid w:val="00E72308"/>
    <w:rsid w:val="00E91492"/>
    <w:rsid w:val="00F231BC"/>
    <w:rsid w:val="00FA5065"/>
    <w:rsid w:val="00FC2E3B"/>
    <w:rsid w:val="00FE7AFD"/>
    <w:rsid w:val="02AC29FE"/>
    <w:rsid w:val="0CEC1180"/>
    <w:rsid w:val="179221D2"/>
    <w:rsid w:val="2D14796C"/>
    <w:rsid w:val="2FC77CFE"/>
    <w:rsid w:val="33D43249"/>
    <w:rsid w:val="3A615737"/>
    <w:rsid w:val="3C335F67"/>
    <w:rsid w:val="546672AB"/>
    <w:rsid w:val="629B1E0F"/>
    <w:rsid w:val="73693C55"/>
    <w:rsid w:val="74963906"/>
    <w:rsid w:val="7C7D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1201</Words>
  <Characters>6846</Characters>
  <Lines>57</Lines>
  <Paragraphs>16</Paragraphs>
  <TotalTime>2</TotalTime>
  <ScaleCrop>false</ScaleCrop>
  <LinksUpToDate>false</LinksUpToDate>
  <CharactersWithSpaces>8031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2022-07-07T01:41:16Z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2021C40429A7400D8413362017679A9E</vt:lpwstr>
  </property>
</Properties>
</file>