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廊坊市广阳区</w:t>
      </w:r>
      <w:bookmarkStart w:id="5" w:name="_GoBack"/>
      <w:r>
        <w:rPr>
          <w:rFonts w:ascii="Times New Roman" w:hAnsi="Times New Roman" w:eastAsia="方正小标宋简体" w:cs="Times New Roman"/>
          <w:sz w:val="44"/>
          <w:szCs w:val="44"/>
        </w:rPr>
        <w:t>教师进修学校20</w:t>
      </w:r>
      <w:r>
        <w:rPr>
          <w:rFonts w:hint="eastAsia" w:ascii="Times New Roman" w:hAnsi="Times New Roman" w:eastAsia="方正小标宋简体" w:cs="Times New Roman"/>
          <w:sz w:val="44"/>
          <w:szCs w:val="44"/>
        </w:rPr>
        <w:t>2</w:t>
      </w:r>
      <w:r>
        <w:rPr>
          <w:rFonts w:ascii="Times New Roman" w:hAnsi="Times New Roman" w:eastAsia="方正小标宋简体" w:cs="Times New Roman"/>
          <w:sz w:val="44"/>
          <w:szCs w:val="44"/>
        </w:rPr>
        <w:t>2年部门预算信息公开</w:t>
      </w:r>
      <w:r>
        <w:rPr>
          <w:rFonts w:hint="eastAsia" w:ascii="Times New Roman" w:hAnsi="Times New Roman" w:eastAsia="方正小标宋简体" w:cs="Times New Roman"/>
          <w:sz w:val="44"/>
          <w:szCs w:val="44"/>
        </w:rPr>
        <w:t>情况说明</w:t>
      </w:r>
      <w:bookmarkEnd w:id="5"/>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按照《中华人民共和国预算法》、《中华人民共和国预算法实施条例》、《地方预决算公开操作规程》和《河北省省级预算公开办法》规定，现将廊坊市广阳区教师进修学校20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widowControl/>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1、贯彻执行党和国家的教育方针、政策、法律法规，制定我校的长远规划和年度计划，并组织实施。</w:t>
      </w:r>
    </w:p>
    <w:p>
      <w:pPr>
        <w:widowControl/>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2、负责教育基本信息的统计、分析。</w:t>
      </w:r>
    </w:p>
    <w:p>
      <w:pPr>
        <w:widowControl/>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3、推进义务教育均衡发展和促进教育公平，全面实施素质教育。</w:t>
      </w:r>
    </w:p>
    <w:p>
      <w:pPr>
        <w:widowControl/>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4、负责学校教师队伍的建设和管理，提高教师队伍素质</w:t>
      </w:r>
    </w:p>
    <w:p>
      <w:pPr>
        <w:widowControl/>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5、负责本部门教育经费的统筹管理，教育经费预决算工作，教育经费的管理和使用；统筹规划和管理学校基本建设和设施的配置及计划统计工作。</w:t>
      </w:r>
    </w:p>
    <w:p>
      <w:pPr>
        <w:widowControl/>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6、管理学校的党建、思想政治、宣传统战和维护稳定以及德育、体育、卫生防疫与艺术教育、国防教育工作。</w:t>
      </w:r>
    </w:p>
    <w:p>
      <w:pPr>
        <w:widowControl/>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7、</w:t>
      </w:r>
      <w:r>
        <w:rPr>
          <w:rFonts w:hint="eastAsia" w:ascii="仿宋_GB2312" w:eastAsia="仿宋_GB2312" w:cs="Courier New" w:hAnsiTheme="majorEastAsia"/>
          <w:color w:val="000000"/>
          <w:sz w:val="32"/>
          <w:szCs w:val="32"/>
        </w:rPr>
        <w:t>配合教育局职能部门做好教育政策制定、教育改革、教育科研、教育信息化建设</w:t>
      </w:r>
      <w:r>
        <w:rPr>
          <w:rFonts w:hint="eastAsia" w:ascii="仿宋_GB2312" w:eastAsia="仿宋_GB2312" w:cs="宋体"/>
          <w:color w:val="000000"/>
          <w:kern w:val="0"/>
          <w:sz w:val="32"/>
          <w:szCs w:val="32"/>
        </w:rPr>
        <w:t>。</w:t>
      </w:r>
    </w:p>
    <w:p>
      <w:pPr>
        <w:widowControl/>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8、负责组织开展学校教育的督导评估、检查验收、质量监测等工作。</w:t>
      </w:r>
    </w:p>
    <w:p>
      <w:pPr>
        <w:widowControl/>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9、负责学校党的政治建设、思想建设、组织建设、作风建设、纪律建设和制度建设。</w:t>
      </w:r>
    </w:p>
    <w:p>
      <w:pPr>
        <w:widowControl/>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10、</w:t>
      </w:r>
      <w:r>
        <w:rPr>
          <w:rFonts w:hint="eastAsia" w:ascii="仿宋_GB2312" w:eastAsia="仿宋_GB2312" w:cs="Courier New" w:hAnsiTheme="majorEastAsia"/>
          <w:color w:val="000000"/>
          <w:sz w:val="32"/>
          <w:szCs w:val="32"/>
        </w:rPr>
        <w:t>培训中小学骨干教师、学科教师，提高中小学教师的业务水平和教学能力等工作</w:t>
      </w:r>
      <w:r>
        <w:rPr>
          <w:rFonts w:hint="eastAsia" w:ascii="仿宋_GB2312" w:eastAsia="仿宋_GB2312" w:cs="宋体"/>
          <w:color w:val="000000"/>
          <w:kern w:val="0"/>
          <w:sz w:val="32"/>
          <w:szCs w:val="32"/>
        </w:rPr>
        <w:t>。</w:t>
      </w:r>
    </w:p>
    <w:p>
      <w:pPr>
        <w:widowControl/>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11、负责学校安全稳定工作。</w:t>
      </w:r>
    </w:p>
    <w:p>
      <w:pPr>
        <w:widowControl/>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12、做好上级部门交办的其他事项。</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94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524"/>
        <w:gridCol w:w="1559"/>
        <w:gridCol w:w="1417"/>
        <w:gridCol w:w="344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352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559"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417"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3448"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3524" w:type="dxa"/>
            <w:vMerge w:val="continue"/>
            <w:shd w:val="clear" w:color="auto" w:fill="auto"/>
            <w:vAlign w:val="center"/>
          </w:tcPr>
          <w:p/>
        </w:tc>
        <w:tc>
          <w:tcPr>
            <w:tcW w:w="1559" w:type="dxa"/>
            <w:vMerge w:val="continue"/>
            <w:shd w:val="clear" w:color="auto" w:fill="auto"/>
            <w:vAlign w:val="center"/>
          </w:tcPr>
          <w:p/>
        </w:tc>
        <w:tc>
          <w:tcPr>
            <w:tcW w:w="1417" w:type="dxa"/>
            <w:vMerge w:val="continue"/>
            <w:shd w:val="clear" w:color="auto" w:fill="auto"/>
            <w:vAlign w:val="center"/>
          </w:tcPr>
          <w:p/>
        </w:tc>
        <w:tc>
          <w:tcPr>
            <w:tcW w:w="3448"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52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廊坊市</w:t>
            </w:r>
            <w:r>
              <w:rPr>
                <w:rFonts w:ascii="Times New Roman" w:hAnsi="Times New Roman" w:eastAsia="仿宋_GB2312" w:cs="Times New Roman"/>
                <w:b/>
              </w:rPr>
              <w:t>广阳区教师进修学校</w:t>
            </w:r>
          </w:p>
        </w:tc>
        <w:tc>
          <w:tcPr>
            <w:tcW w:w="155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事业</w:t>
            </w:r>
          </w:p>
        </w:tc>
        <w:tc>
          <w:tcPr>
            <w:tcW w:w="1417" w:type="dxa"/>
            <w:shd w:val="clear" w:color="auto" w:fill="auto"/>
            <w:vAlign w:val="center"/>
          </w:tcPr>
          <w:p>
            <w:pPr>
              <w:spacing w:line="584" w:lineRule="exact"/>
              <w:rPr>
                <w:rFonts w:ascii="Times New Roman" w:hAnsi="Times New Roman" w:eastAsia="仿宋_GB2312" w:cs="Times New Roman"/>
                <w:b/>
              </w:rPr>
            </w:pPr>
          </w:p>
        </w:tc>
        <w:tc>
          <w:tcPr>
            <w:tcW w:w="3448" w:type="dxa"/>
            <w:shd w:val="clear" w:color="auto" w:fill="auto"/>
            <w:vAlign w:val="center"/>
          </w:tcPr>
          <w:p>
            <w:pPr>
              <w:spacing w:line="584" w:lineRule="exact"/>
              <w:jc w:val="center"/>
              <w:rPr>
                <w:rFonts w:ascii="仿宋_GB2312" w:eastAsia="仿宋_GB2312" w:cs="Times New Roman"/>
                <w:b/>
                <w:szCs w:val="21"/>
              </w:rPr>
            </w:pPr>
            <w:r>
              <w:rPr>
                <w:rFonts w:hint="eastAsia" w:ascii="仿宋_GB2312" w:eastAsia="仿宋_GB2312" w:cs="Times New Roman"/>
                <w:b/>
                <w:szCs w:val="21"/>
              </w:rPr>
              <w:t>财政性资金基本保证（全额事业）</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部门预算的编制实行综合预算制度，即全部收入和支出都反映在预算中。廊坊市广阳区教师进修学校的收支包含在部门预算中。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2年预算收入313.55万元，其中：一般公共预算收入313.55万元，基金预算收入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0万元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收支预算总表支出栏、基本支出表、项目支出表按经济分类和支出功能分类科目编制，反映廊坊市广阳区教师进修学校</w:t>
      </w:r>
      <w:r>
        <w:rPr>
          <w:rFonts w:hint="eastAsia" w:ascii="Times New Roman" w:hAnsi="Times New Roman" w:eastAsia="仿宋_GB2312" w:cs="Times New Roman"/>
          <w:sz w:val="32"/>
          <w:szCs w:val="32"/>
        </w:rPr>
        <w:t>2022</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2年支出预算313.55万元，其中基本支出313.55万元，包括人员类项目经费309.35万元和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公用项目经费4.2万元；运转类其他及特定目标类项目支出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2年预算收支安排313.55万元，较20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1年预算</w:t>
      </w:r>
      <w:r>
        <w:rPr>
          <w:rFonts w:hint="eastAsia" w:ascii="Times New Roman" w:hAnsi="Times New Roman" w:eastAsia="仿宋_GB2312" w:cs="Times New Roman"/>
          <w:sz w:val="32"/>
          <w:szCs w:val="32"/>
        </w:rPr>
        <w:t>减少102.02</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减少68.32</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人员经费</w:t>
      </w:r>
      <w:r>
        <w:rPr>
          <w:rFonts w:ascii="Times New Roman" w:hAnsi="Times New Roman" w:eastAsia="仿宋_GB2312" w:cs="Times New Roman"/>
          <w:sz w:val="32"/>
          <w:szCs w:val="32"/>
        </w:rPr>
        <w:t>支出</w:t>
      </w:r>
      <w:r>
        <w:rPr>
          <w:rFonts w:hint="eastAsia" w:ascii="Times New Roman" w:hAnsi="Times New Roman" w:eastAsia="仿宋_GB2312" w:cs="Times New Roman"/>
          <w:sz w:val="32"/>
          <w:szCs w:val="32"/>
        </w:rPr>
        <w:t>；项目支出减少33.7万元，主要为2022年继续教育费未做预算</w:t>
      </w:r>
      <w:r>
        <w:rPr>
          <w:rFonts w:ascii="Times New Roman" w:hAnsi="Times New Roman" w:eastAsia="仿宋_GB2312" w:cs="Times New Roman"/>
          <w:sz w:val="32"/>
          <w:szCs w:val="32"/>
        </w:rPr>
        <w:t>。</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2年，我校机关运行经费共计安排4.2万元，主要用于廊坊市广阳区教师进修学校办公区的日常维修、办公用房水电费、办公用房取暖费、办公用房物业管理费等日常运行支出。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四、财政拨款“三公”经费预算情况及增减变化原因</w:t>
      </w:r>
    </w:p>
    <w:p>
      <w:pPr>
        <w:autoSpaceDE w:val="0"/>
        <w:autoSpaceDN w:val="0"/>
        <w:adjustRightInd w:val="0"/>
        <w:spacing w:line="584" w:lineRule="exact"/>
        <w:ind w:firstLine="640" w:firstLineChars="200"/>
        <w:jc w:val="left"/>
        <w:rPr>
          <w:rFonts w:ascii="仿宋_GB2312" w:hAnsi="Times New Roman" w:eastAsia="仿宋_GB2312" w:cs="Times New Roman"/>
          <w:color w:val="000000"/>
          <w:sz w:val="32"/>
          <w:szCs w:val="32"/>
        </w:rPr>
      </w:pPr>
      <w:r>
        <w:rPr>
          <w:rFonts w:hint="eastAsia" w:ascii="仿宋_GB2312" w:hAnsi="Times New Roman" w:eastAsia="仿宋_GB2312" w:cs="Times New Roman"/>
          <w:sz w:val="32"/>
          <w:szCs w:val="32"/>
        </w:rPr>
        <w:t>2022年，我单位财政拨款“三公”经费预算安排0万元。其中，因公出国（境）费0万元；公务用车购置及运维费0万元（其中：公务用车购置费为0万元，公务用车运维费0万元)；公务接待费0万元,</w:t>
      </w:r>
      <w:r>
        <w:rPr>
          <w:rFonts w:ascii="Times New Roman" w:hAnsi="Times New Roman" w:eastAsia="仿宋_GB2312" w:cs="Times New Roman"/>
          <w:sz w:val="32"/>
          <w:szCs w:val="32"/>
        </w:rPr>
        <w:t xml:space="preserve"> 与20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rPr>
        <w:t>持平</w:t>
      </w:r>
      <w:r>
        <w:rPr>
          <w:rFonts w:hint="eastAsia" w:ascii="Times New Roman" w:hAnsi="Times New Roman" w:eastAsia="仿宋_GB2312" w:cs="Times New Roman"/>
          <w:sz w:val="32"/>
          <w:szCs w:val="32"/>
        </w:rPr>
        <w:t>，无增减变化。</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五、预算绩效信息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hint="eastAsia" w:ascii="楷体_GB2312" w:eastAsia="楷体_GB2312" w:cs="Times New Roman"/>
          <w:b/>
          <w:sz w:val="32"/>
          <w:szCs w:val="32"/>
        </w:rPr>
      </w:pPr>
      <w:bookmarkStart w:id="0" w:name="_Toc_2_2_0000000001"/>
      <w:r>
        <w:rPr>
          <w:rFonts w:hint="eastAsia" w:ascii="楷体_GB2312" w:eastAsia="楷体_GB2312" w:cs="Times New Roman"/>
          <w:b/>
          <w:sz w:val="32"/>
          <w:szCs w:val="32"/>
        </w:rPr>
        <w:t>一、总体绩效目标</w:t>
      </w:r>
      <w:bookmarkEnd w:id="0"/>
    </w:p>
    <w:p>
      <w:pPr>
        <w:spacing w:line="584" w:lineRule="exact"/>
        <w:ind w:firstLine="640" w:firstLineChars="200"/>
        <w:rPr>
          <w:rFonts w:hint="eastAsia" w:ascii="楷体_GB2312" w:eastAsia="楷体_GB2312" w:cs="Times New Roman"/>
          <w:b/>
          <w:sz w:val="32"/>
          <w:szCs w:val="32"/>
        </w:rPr>
      </w:pPr>
      <w:r>
        <w:rPr>
          <w:rFonts w:hint="eastAsia" w:ascii="仿宋_GB2312" w:hAnsi="仿宋_GB2312" w:eastAsia="仿宋_GB2312" w:cs="仿宋_GB2312"/>
          <w:b w:val="0"/>
          <w:bCs/>
          <w:sz w:val="32"/>
          <w:szCs w:val="32"/>
        </w:rPr>
        <w:t>提高教育公用经费保障水平，继续完善教育基础设施，推进学校建设，加快提升装备水平，改善办学条件。打造一流教师队伍，补充师资力量，提高专业素质，完善考核机制；优化教育教学管理；建立校舍安全保障机制，提高素质教育水平，开展丰富多彩的教学活动。促进社会文化素质提高。全面加强党的建设，进一步落实从严管党治党要求，以习近平新时代中国特色社会主义思想统领教育系统党建工作，强化主体责任，在提升党建工作质量上下真功、用实劲、求实效。</w:t>
      </w:r>
    </w:p>
    <w:p>
      <w:pPr>
        <w:spacing w:line="584" w:lineRule="exact"/>
        <w:ind w:firstLine="643" w:firstLineChars="200"/>
        <w:rPr>
          <w:rFonts w:hint="eastAsia" w:ascii="楷体_GB2312" w:eastAsia="楷体_GB2312" w:cs="Times New Roman"/>
          <w:b/>
          <w:sz w:val="32"/>
          <w:szCs w:val="32"/>
        </w:rPr>
      </w:pPr>
      <w:bookmarkStart w:id="1" w:name="_Toc_2_2_0000000002"/>
      <w:r>
        <w:rPr>
          <w:rFonts w:hint="eastAsia" w:ascii="楷体_GB2312" w:eastAsia="楷体_GB2312" w:cs="Times New Roman"/>
          <w:b/>
          <w:sz w:val="32"/>
          <w:szCs w:val="32"/>
        </w:rPr>
        <w:t>二、分项绩效目标</w:t>
      </w:r>
      <w:bookmarkEnd w:id="1"/>
    </w:p>
    <w:p>
      <w:pPr>
        <w:spacing w:line="584" w:lineRule="exact"/>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1、按质按量完成培训教育方面的各项任务，稳步提升学校的培训教育质量，培训合格率达到95%。</w:t>
      </w:r>
    </w:p>
    <w:p>
      <w:pPr>
        <w:spacing w:line="584" w:lineRule="exact"/>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公用经费水平逐年提高，改善学校办学条件，保障学校基本教学条件，使学校教学设施和生活设施满足基本工作需要，保障后勤社会化服务资金充足，使学校能够正常运转，教师数量、素质、结构基本适应工作需要。</w:t>
      </w:r>
    </w:p>
    <w:p>
      <w:pPr>
        <w:spacing w:line="584" w:lineRule="exact"/>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3、提升学校基础设施设备的整体水平。加强学校基础设施设备的维护,确保校园安全,落实校园防火及其他安全隐患的预防工作。确保校园各设施设备的正常运行。</w:t>
      </w:r>
    </w:p>
    <w:p>
      <w:pPr>
        <w:spacing w:line="584" w:lineRule="exact"/>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4、开展各类课题研究、校本研究，加强教师培训和教学交流，提高教师教学水平，调动教师积极性，培养专家型教师人才，加强德育培训与研究，举办各类教育教学、学生社会实践活动，建立学生实践教育基地活动。提高学生的综合素质。</w:t>
      </w:r>
    </w:p>
    <w:p>
      <w:pPr>
        <w:spacing w:line="584" w:lineRule="exact"/>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5、学校的文化宣传整体布局,建成学校校史馆,完成各班级、各科室及教师办公室的文化宣传布置。加大学校办学理念、目标的宣传,形成具有特色的校园文化氛围。</w:t>
      </w:r>
    </w:p>
    <w:p>
      <w:pPr>
        <w:spacing w:line="584" w:lineRule="exact"/>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6、办人民满意的学校,教师、学生、家长整体满意度达到90%以上。</w:t>
      </w:r>
    </w:p>
    <w:p>
      <w:pPr>
        <w:spacing w:line="584" w:lineRule="exact"/>
        <w:ind w:firstLine="643" w:firstLineChars="200"/>
        <w:rPr>
          <w:rFonts w:hint="eastAsia" w:ascii="楷体_GB2312" w:eastAsia="楷体_GB2312" w:cs="Times New Roman"/>
          <w:b/>
          <w:sz w:val="32"/>
          <w:szCs w:val="32"/>
        </w:rPr>
      </w:pPr>
      <w:bookmarkStart w:id="2" w:name="_Toc_2_2_0000000003"/>
      <w:r>
        <w:rPr>
          <w:rFonts w:hint="eastAsia" w:ascii="楷体_GB2312" w:eastAsia="楷体_GB2312" w:cs="Times New Roman"/>
          <w:b/>
          <w:sz w:val="32"/>
          <w:szCs w:val="32"/>
        </w:rPr>
        <w:t>三、工作保障措施</w:t>
      </w:r>
      <w:bookmarkEnd w:id="2"/>
    </w:p>
    <w:p>
      <w:pPr>
        <w:spacing w:line="584" w:lineRule="exact"/>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1、成立学校监督小组，监督学校工作，强化工作落实。</w:t>
      </w:r>
    </w:p>
    <w:p>
      <w:pPr>
        <w:spacing w:line="584" w:lineRule="exact"/>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做好工会工作。贯彻落实中央和省、市、区委关于重大节日开展对离退休干部进行走访慰问的指示精神，做好困难党员、群众、老教师、优抚对象、劳动模范的关心帮扶工作，充分体现党和政府对教育工作者的关怀。</w:t>
      </w:r>
    </w:p>
    <w:p>
      <w:pPr>
        <w:spacing w:line="584" w:lineRule="exact"/>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3、树立为教育教学提供优质服务的意识。基本实现规范化、标准化，为教育教学提供全方位的后勤保障。完善各项管理制度，强化人员思想教育和技能培训，实现服务的精细化。做好三重一大工作，大额资金项目进行公开招投标，定期进行项目巡查、召开工作会，完善监督职责。</w:t>
      </w:r>
    </w:p>
    <w:p>
      <w:pPr>
        <w:spacing w:line="584" w:lineRule="exact"/>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4、完善拓展德育队伍建设，树立全员育人观念，并取得一定成绩，形成学校、家庭、社会三位一体的教育格局。完善强化德育评比体制。</w:t>
      </w:r>
    </w:p>
    <w:p>
      <w:pPr>
        <w:spacing w:line="584" w:lineRule="exact"/>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5、加强政治理论学习，强化党风廉政建设。做好师德传承活动，落实老中青传帮带。弘扬办学精神。加强师德宣传与学习活动。开展形式多样、扎实有效的师德教育活动。</w:t>
      </w:r>
    </w:p>
    <w:p>
      <w:pPr>
        <w:spacing w:line="584" w:lineRule="exact"/>
        <w:ind w:firstLine="640" w:firstLineChars="200"/>
        <w:rPr>
          <w:rFonts w:hint="eastAsia" w:ascii="楷体_GB2312" w:eastAsia="楷体_GB2312" w:cs="Times New Roman"/>
          <w:b/>
          <w:sz w:val="32"/>
          <w:szCs w:val="32"/>
        </w:rPr>
      </w:pPr>
      <w:r>
        <w:rPr>
          <w:rFonts w:hint="eastAsia" w:ascii="仿宋_GB2312" w:hAnsi="仿宋_GB2312" w:eastAsia="仿宋_GB2312" w:cs="仿宋_GB2312"/>
          <w:b w:val="0"/>
          <w:bCs/>
          <w:sz w:val="32"/>
          <w:szCs w:val="32"/>
        </w:rPr>
        <w:t>逐步制订、完善相关制度，规范教师师德。加强校本培训和继续教育工作，提升教师能力。落实教师评价工作，完善考核机制。搭建教师发展平台。</w:t>
      </w:r>
    </w:p>
    <w:p>
      <w:pPr>
        <w:spacing w:line="584" w:lineRule="exact"/>
        <w:ind w:firstLine="643" w:firstLineChars="200"/>
        <w:rPr>
          <w:rFonts w:hint="eastAsia" w:ascii="楷体_GB2312" w:eastAsia="楷体_GB2312" w:cs="Times New Roman"/>
          <w:b/>
          <w:sz w:val="32"/>
          <w:szCs w:val="32"/>
        </w:rPr>
      </w:pPr>
    </w:p>
    <w:p>
      <w:pPr>
        <w:spacing w:line="584" w:lineRule="exact"/>
        <w:ind w:firstLine="643" w:firstLineChars="200"/>
        <w:rPr>
          <w:rFonts w:hint="eastAsia" w:ascii="楷体_GB2312" w:eastAsia="楷体_GB2312" w:cs="Times New Roman"/>
          <w:b/>
          <w:sz w:val="32"/>
          <w:szCs w:val="32"/>
        </w:rPr>
      </w:pP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p>
      <w:pPr>
        <w:spacing w:line="584" w:lineRule="exact"/>
        <w:rPr>
          <w:rFonts w:ascii="仿宋_GB2312" w:eastAsia="仿宋_GB2312" w:cs="Times New Roman"/>
          <w:sz w:val="32"/>
          <w:szCs w:val="32"/>
        </w:rPr>
      </w:pPr>
    </w:p>
    <w:tbl>
      <w:tblPr>
        <w:tblStyle w:val="8"/>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1" w:type="dxa"/>
          <w:bottom w:w="0" w:type="dxa"/>
          <w:right w:w="11" w:type="dxa"/>
        </w:tblCellMar>
      </w:tblPr>
      <w:tblGrid>
        <w:gridCol w:w="1043"/>
        <w:gridCol w:w="906"/>
        <w:gridCol w:w="1980"/>
        <w:gridCol w:w="2958"/>
        <w:gridCol w:w="2511"/>
        <w:gridCol w:w="1029"/>
        <w:gridCol w:w="903"/>
        <w:gridCol w:w="928"/>
        <w:gridCol w:w="1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65" w:hRule="exact"/>
          <w:jc w:val="center"/>
        </w:trPr>
        <w:tc>
          <w:tcPr>
            <w:tcW w:w="373" w:type="pct"/>
            <w:vMerge w:val="restart"/>
            <w:vAlign w:val="center"/>
          </w:tcPr>
          <w:p>
            <w:pPr>
              <w:jc w:val="center"/>
              <w:rPr>
                <w:rFonts w:ascii="宋体" w:hAnsi="宋体" w:cs="宋体"/>
                <w:sz w:val="21"/>
                <w:szCs w:val="21"/>
              </w:rPr>
            </w:pPr>
            <w:r>
              <w:rPr>
                <w:rFonts w:hint="eastAsia" w:ascii="宋体" w:hAnsi="宋体" w:cs="宋体"/>
                <w:b/>
                <w:sz w:val="21"/>
                <w:szCs w:val="21"/>
              </w:rPr>
              <w:t>一级指标</w:t>
            </w:r>
          </w:p>
        </w:tc>
        <w:tc>
          <w:tcPr>
            <w:tcW w:w="324" w:type="pct"/>
            <w:vMerge w:val="restart"/>
            <w:vAlign w:val="center"/>
          </w:tcPr>
          <w:p>
            <w:pPr>
              <w:spacing w:line="300" w:lineRule="exact"/>
              <w:jc w:val="center"/>
              <w:textAlignment w:val="center"/>
              <w:rPr>
                <w:rFonts w:ascii="宋体" w:hAnsi="宋体" w:cs="宋体"/>
                <w:color w:val="000000"/>
                <w:kern w:val="0"/>
                <w:sz w:val="21"/>
                <w:szCs w:val="21"/>
              </w:rPr>
            </w:pPr>
            <w:r>
              <w:rPr>
                <w:rFonts w:hint="eastAsia" w:ascii="宋体" w:hAnsi="宋体" w:cs="宋体"/>
                <w:b/>
                <w:sz w:val="21"/>
                <w:szCs w:val="21"/>
              </w:rPr>
              <w:t>二级指标</w:t>
            </w:r>
          </w:p>
        </w:tc>
        <w:tc>
          <w:tcPr>
            <w:tcW w:w="708" w:type="pct"/>
            <w:vMerge w:val="restart"/>
            <w:vAlign w:val="center"/>
          </w:tcPr>
          <w:p>
            <w:pPr>
              <w:widowControl/>
              <w:spacing w:line="300" w:lineRule="exact"/>
              <w:jc w:val="center"/>
              <w:textAlignment w:val="center"/>
              <w:rPr>
                <w:rFonts w:ascii="宋体" w:hAnsi="宋体" w:cs="宋体"/>
                <w:color w:val="000000"/>
                <w:kern w:val="0"/>
                <w:sz w:val="21"/>
                <w:szCs w:val="21"/>
              </w:rPr>
            </w:pPr>
            <w:r>
              <w:rPr>
                <w:rFonts w:hint="eastAsia" w:ascii="宋体" w:hAnsi="宋体" w:cs="宋体"/>
                <w:b/>
                <w:sz w:val="21"/>
                <w:szCs w:val="21"/>
              </w:rPr>
              <w:t>三级指标</w:t>
            </w:r>
          </w:p>
        </w:tc>
        <w:tc>
          <w:tcPr>
            <w:tcW w:w="1058" w:type="pct"/>
            <w:vMerge w:val="restart"/>
            <w:vAlign w:val="center"/>
          </w:tcPr>
          <w:p>
            <w:pPr>
              <w:widowControl/>
              <w:spacing w:line="300" w:lineRule="exact"/>
              <w:jc w:val="center"/>
              <w:textAlignment w:val="center"/>
              <w:rPr>
                <w:rFonts w:ascii="宋体" w:hAnsi="宋体" w:cs="宋体"/>
                <w:b/>
                <w:sz w:val="21"/>
                <w:szCs w:val="21"/>
              </w:rPr>
            </w:pPr>
            <w:r>
              <w:rPr>
                <w:rFonts w:hint="eastAsia" w:ascii="宋体" w:hAnsi="宋体" w:cs="宋体"/>
                <w:b/>
                <w:sz w:val="21"/>
                <w:szCs w:val="21"/>
              </w:rPr>
              <w:t>评（扣）分标准</w:t>
            </w:r>
          </w:p>
        </w:tc>
        <w:tc>
          <w:tcPr>
            <w:tcW w:w="898" w:type="pct"/>
            <w:vMerge w:val="restart"/>
            <w:vAlign w:val="center"/>
          </w:tcPr>
          <w:p>
            <w:pPr>
              <w:widowControl/>
              <w:adjustRightInd w:val="0"/>
              <w:snapToGrid w:val="0"/>
              <w:jc w:val="center"/>
              <w:rPr>
                <w:rFonts w:ascii="宋体" w:hAnsi="宋体" w:cs="宋体"/>
                <w:b/>
                <w:sz w:val="21"/>
                <w:szCs w:val="21"/>
              </w:rPr>
            </w:pPr>
            <w:r>
              <w:rPr>
                <w:rFonts w:hint="eastAsia" w:ascii="宋体" w:hAnsi="宋体" w:cs="宋体"/>
                <w:b/>
                <w:sz w:val="21"/>
                <w:szCs w:val="21"/>
              </w:rPr>
              <w:t>绩效指标</w:t>
            </w:r>
          </w:p>
          <w:p>
            <w:pPr>
              <w:widowControl/>
              <w:spacing w:line="300" w:lineRule="exact"/>
              <w:jc w:val="center"/>
              <w:textAlignment w:val="center"/>
              <w:rPr>
                <w:rFonts w:ascii="宋体" w:hAnsi="宋体" w:cs="宋体"/>
                <w:color w:val="000000"/>
                <w:kern w:val="0"/>
                <w:sz w:val="21"/>
                <w:szCs w:val="21"/>
              </w:rPr>
            </w:pPr>
            <w:r>
              <w:rPr>
                <w:rFonts w:hint="eastAsia" w:ascii="宋体" w:hAnsi="宋体" w:cs="宋体"/>
                <w:b/>
                <w:sz w:val="21"/>
                <w:szCs w:val="21"/>
              </w:rPr>
              <w:t>描述</w:t>
            </w:r>
          </w:p>
        </w:tc>
        <w:tc>
          <w:tcPr>
            <w:tcW w:w="1023" w:type="pct"/>
            <w:gridSpan w:val="3"/>
            <w:vAlign w:val="center"/>
          </w:tcPr>
          <w:p>
            <w:pPr>
              <w:widowControl/>
              <w:adjustRightInd w:val="0"/>
              <w:snapToGrid w:val="0"/>
              <w:jc w:val="center"/>
              <w:rPr>
                <w:rFonts w:ascii="宋体" w:hAnsi="宋体" w:cs="宋体"/>
                <w:b/>
                <w:sz w:val="21"/>
                <w:szCs w:val="21"/>
              </w:rPr>
            </w:pPr>
            <w:r>
              <w:rPr>
                <w:rFonts w:hint="eastAsia" w:ascii="宋体" w:hAnsi="宋体" w:cs="宋体"/>
                <w:b/>
                <w:sz w:val="21"/>
                <w:szCs w:val="21"/>
              </w:rPr>
              <w:t>指标值</w:t>
            </w:r>
          </w:p>
        </w:tc>
        <w:tc>
          <w:tcPr>
            <w:tcW w:w="613" w:type="pct"/>
            <w:vMerge w:val="restart"/>
            <w:vAlign w:val="center"/>
          </w:tcPr>
          <w:p>
            <w:pPr>
              <w:widowControl/>
              <w:adjustRightInd w:val="0"/>
              <w:snapToGrid w:val="0"/>
              <w:jc w:val="center"/>
              <w:rPr>
                <w:rFonts w:ascii="宋体" w:hAnsi="宋体" w:cs="宋体"/>
                <w:b/>
                <w:sz w:val="21"/>
                <w:szCs w:val="21"/>
              </w:rPr>
            </w:pPr>
            <w:r>
              <w:rPr>
                <w:rFonts w:hint="eastAsia" w:ascii="宋体" w:hAnsi="宋体" w:cs="宋体"/>
                <w:b/>
                <w:sz w:val="21"/>
                <w:szCs w:val="21"/>
              </w:rPr>
              <w:t>指标值</w:t>
            </w:r>
          </w:p>
          <w:p>
            <w:pPr>
              <w:widowControl/>
              <w:adjustRightInd w:val="0"/>
              <w:snapToGrid w:val="0"/>
              <w:jc w:val="center"/>
              <w:rPr>
                <w:rFonts w:ascii="宋体" w:hAnsi="宋体" w:cs="宋体"/>
                <w:b/>
                <w:sz w:val="21"/>
                <w:szCs w:val="21"/>
              </w:rPr>
            </w:pPr>
            <w:r>
              <w:rPr>
                <w:rFonts w:hint="eastAsia" w:ascii="宋体" w:hAnsi="宋体" w:cs="宋体"/>
                <w:b/>
                <w:sz w:val="21"/>
                <w:szCs w:val="21"/>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70" w:hRule="exact"/>
          <w:jc w:val="center"/>
        </w:trPr>
        <w:tc>
          <w:tcPr>
            <w:tcW w:w="373" w:type="pct"/>
            <w:vMerge w:val="continue"/>
            <w:vAlign w:val="center"/>
          </w:tcPr>
          <w:p>
            <w:pPr>
              <w:jc w:val="center"/>
              <w:rPr>
                <w:rFonts w:ascii="宋体" w:hAnsi="宋体" w:cs="宋体"/>
                <w:b/>
                <w:sz w:val="21"/>
                <w:szCs w:val="21"/>
              </w:rPr>
            </w:pPr>
          </w:p>
        </w:tc>
        <w:tc>
          <w:tcPr>
            <w:tcW w:w="324" w:type="pct"/>
            <w:vMerge w:val="continue"/>
            <w:vAlign w:val="center"/>
          </w:tcPr>
          <w:p>
            <w:pPr>
              <w:spacing w:line="300" w:lineRule="exact"/>
              <w:jc w:val="center"/>
              <w:textAlignment w:val="center"/>
              <w:rPr>
                <w:rFonts w:ascii="宋体" w:hAnsi="宋体" w:cs="宋体"/>
                <w:b/>
                <w:sz w:val="21"/>
                <w:szCs w:val="21"/>
              </w:rPr>
            </w:pPr>
          </w:p>
        </w:tc>
        <w:tc>
          <w:tcPr>
            <w:tcW w:w="708" w:type="pct"/>
            <w:vMerge w:val="continue"/>
            <w:vAlign w:val="center"/>
          </w:tcPr>
          <w:p>
            <w:pPr>
              <w:widowControl/>
              <w:spacing w:line="300" w:lineRule="exact"/>
              <w:jc w:val="center"/>
              <w:textAlignment w:val="center"/>
              <w:rPr>
                <w:rFonts w:ascii="宋体" w:hAnsi="宋体" w:cs="宋体"/>
                <w:b/>
                <w:sz w:val="21"/>
                <w:szCs w:val="21"/>
              </w:rPr>
            </w:pPr>
          </w:p>
        </w:tc>
        <w:tc>
          <w:tcPr>
            <w:tcW w:w="1058" w:type="pct"/>
            <w:vMerge w:val="continue"/>
            <w:vAlign w:val="center"/>
          </w:tcPr>
          <w:p>
            <w:pPr>
              <w:widowControl/>
              <w:adjustRightInd w:val="0"/>
              <w:snapToGrid w:val="0"/>
              <w:jc w:val="center"/>
              <w:rPr>
                <w:rFonts w:ascii="宋体" w:hAnsi="宋体" w:cs="宋体"/>
                <w:b/>
                <w:sz w:val="21"/>
                <w:szCs w:val="21"/>
              </w:rPr>
            </w:pPr>
          </w:p>
        </w:tc>
        <w:tc>
          <w:tcPr>
            <w:tcW w:w="898" w:type="pct"/>
            <w:vMerge w:val="continue"/>
            <w:vAlign w:val="center"/>
          </w:tcPr>
          <w:p>
            <w:pPr>
              <w:widowControl/>
              <w:adjustRightInd w:val="0"/>
              <w:snapToGrid w:val="0"/>
              <w:jc w:val="center"/>
              <w:rPr>
                <w:rFonts w:ascii="宋体" w:hAnsi="宋体" w:cs="宋体"/>
                <w:b/>
                <w:sz w:val="21"/>
                <w:szCs w:val="21"/>
              </w:rPr>
            </w:pPr>
          </w:p>
        </w:tc>
        <w:tc>
          <w:tcPr>
            <w:tcW w:w="368" w:type="pct"/>
            <w:vAlign w:val="center"/>
          </w:tcPr>
          <w:p>
            <w:pPr>
              <w:widowControl/>
              <w:adjustRightInd w:val="0"/>
              <w:snapToGrid w:val="0"/>
              <w:jc w:val="center"/>
              <w:rPr>
                <w:rFonts w:ascii="宋体" w:hAnsi="宋体" w:cs="宋体"/>
                <w:b/>
                <w:sz w:val="21"/>
                <w:szCs w:val="21"/>
              </w:rPr>
            </w:pPr>
            <w:r>
              <w:rPr>
                <w:rFonts w:hint="eastAsia" w:ascii="宋体" w:hAnsi="宋体" w:cs="宋体"/>
                <w:b/>
                <w:sz w:val="21"/>
                <w:szCs w:val="21"/>
              </w:rPr>
              <w:t>符号</w:t>
            </w:r>
          </w:p>
        </w:tc>
        <w:tc>
          <w:tcPr>
            <w:tcW w:w="323" w:type="pct"/>
            <w:vAlign w:val="center"/>
          </w:tcPr>
          <w:p>
            <w:pPr>
              <w:widowControl/>
              <w:adjustRightInd w:val="0"/>
              <w:snapToGrid w:val="0"/>
              <w:jc w:val="center"/>
              <w:rPr>
                <w:rFonts w:ascii="宋体" w:hAnsi="宋体" w:cs="宋体"/>
                <w:b/>
                <w:sz w:val="21"/>
                <w:szCs w:val="21"/>
              </w:rPr>
            </w:pPr>
            <w:r>
              <w:rPr>
                <w:rFonts w:hint="eastAsia" w:ascii="宋体" w:hAnsi="宋体" w:cs="宋体"/>
                <w:b/>
                <w:sz w:val="21"/>
                <w:szCs w:val="21"/>
              </w:rPr>
              <w:t>值</w:t>
            </w:r>
          </w:p>
        </w:tc>
        <w:tc>
          <w:tcPr>
            <w:tcW w:w="332" w:type="pct"/>
            <w:vAlign w:val="center"/>
          </w:tcPr>
          <w:p>
            <w:pPr>
              <w:widowControl/>
              <w:adjustRightInd w:val="0"/>
              <w:snapToGrid w:val="0"/>
              <w:jc w:val="center"/>
              <w:rPr>
                <w:rFonts w:ascii="宋体" w:hAnsi="宋体" w:cs="宋体"/>
                <w:b/>
                <w:sz w:val="21"/>
                <w:szCs w:val="21"/>
              </w:rPr>
            </w:pPr>
            <w:r>
              <w:rPr>
                <w:rFonts w:hint="eastAsia" w:ascii="宋体" w:hAnsi="宋体" w:cs="宋体"/>
                <w:b/>
                <w:sz w:val="21"/>
                <w:szCs w:val="21"/>
              </w:rPr>
              <w:t>单位</w:t>
            </w:r>
          </w:p>
        </w:tc>
        <w:tc>
          <w:tcPr>
            <w:tcW w:w="613" w:type="pct"/>
            <w:vMerge w:val="continue"/>
            <w:vAlign w:val="center"/>
          </w:tcPr>
          <w:p>
            <w:pPr>
              <w:widowControl/>
              <w:adjustRightInd w:val="0"/>
              <w:snapToGrid w:val="0"/>
              <w:jc w:val="center"/>
              <w:rPr>
                <w:rFonts w:ascii="宋体"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836" w:hRule="exact"/>
          <w:jc w:val="center"/>
        </w:trPr>
        <w:tc>
          <w:tcPr>
            <w:tcW w:w="373" w:type="pct"/>
            <w:vMerge w:val="restart"/>
            <w:vAlign w:val="center"/>
          </w:tcPr>
          <w:p>
            <w:pPr>
              <w:widowControl/>
              <w:spacing w:line="300" w:lineRule="exact"/>
              <w:jc w:val="center"/>
              <w:textAlignment w:val="center"/>
              <w:rPr>
                <w:rFonts w:ascii="宋体" w:hAnsi="宋体" w:cs="宋体"/>
                <w:color w:val="000000"/>
                <w:kern w:val="0"/>
                <w:sz w:val="21"/>
                <w:szCs w:val="21"/>
              </w:rPr>
            </w:pPr>
            <w:r>
              <w:rPr>
                <w:rFonts w:hint="eastAsia" w:ascii="宋体" w:hAnsi="宋体" w:cs="宋体"/>
                <w:color w:val="000000"/>
                <w:kern w:val="0"/>
                <w:sz w:val="21"/>
                <w:szCs w:val="21"/>
              </w:rPr>
              <w:t>部门产出</w:t>
            </w:r>
          </w:p>
        </w:tc>
        <w:tc>
          <w:tcPr>
            <w:tcW w:w="324" w:type="pct"/>
            <w:vAlign w:val="center"/>
          </w:tcPr>
          <w:p>
            <w:pPr>
              <w:widowControl/>
              <w:spacing w:line="300" w:lineRule="exact"/>
              <w:jc w:val="center"/>
              <w:textAlignment w:val="center"/>
              <w:rPr>
                <w:rFonts w:ascii="宋体" w:hAnsi="宋体" w:cs="宋体"/>
                <w:color w:val="000000"/>
                <w:kern w:val="0"/>
                <w:sz w:val="21"/>
                <w:szCs w:val="21"/>
              </w:rPr>
            </w:pPr>
            <w:r>
              <w:rPr>
                <w:rFonts w:hint="eastAsia" w:ascii="宋体" w:hAnsi="宋体" w:cs="宋体"/>
                <w:color w:val="000000"/>
                <w:kern w:val="0"/>
                <w:sz w:val="21"/>
                <w:szCs w:val="21"/>
              </w:rPr>
              <w:t>数  量</w:t>
            </w:r>
          </w:p>
        </w:tc>
        <w:tc>
          <w:tcPr>
            <w:tcW w:w="708" w:type="pct"/>
            <w:vAlign w:val="center"/>
          </w:tcPr>
          <w:p>
            <w:pPr>
              <w:widowControl/>
              <w:spacing w:line="300" w:lineRule="exact"/>
              <w:jc w:val="both"/>
              <w:textAlignment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重点工作实际完成率</w:t>
            </w:r>
          </w:p>
        </w:tc>
        <w:tc>
          <w:tcPr>
            <w:tcW w:w="1058" w:type="pct"/>
            <w:vAlign w:val="center"/>
          </w:tcPr>
          <w:p>
            <w:pPr>
              <w:widowControl/>
              <w:spacing w:line="300" w:lineRule="exact"/>
              <w:jc w:val="both"/>
              <w:textAlignment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10分不低于95%得满分，否则不得分5每减少1%扣1分，扣完为止</w:t>
            </w:r>
          </w:p>
        </w:tc>
        <w:tc>
          <w:tcPr>
            <w:tcW w:w="898" w:type="pct"/>
            <w:vAlign w:val="center"/>
          </w:tcPr>
          <w:p>
            <w:pPr>
              <w:widowControl/>
              <w:spacing w:line="300" w:lineRule="exact"/>
              <w:jc w:val="both"/>
              <w:textAlignment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重点工作实际完成率</w:t>
            </w:r>
          </w:p>
        </w:tc>
        <w:tc>
          <w:tcPr>
            <w:tcW w:w="368" w:type="pct"/>
            <w:vAlign w:val="center"/>
          </w:tcPr>
          <w:p>
            <w:pPr>
              <w:widowControl/>
              <w:spacing w:line="300" w:lineRule="exact"/>
              <w:jc w:val="center"/>
              <w:textAlignment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kern w:val="0"/>
                <w:sz w:val="21"/>
                <w:szCs w:val="21"/>
              </w:rPr>
              <w:t>≥</w:t>
            </w:r>
          </w:p>
        </w:tc>
        <w:tc>
          <w:tcPr>
            <w:tcW w:w="323" w:type="pct"/>
            <w:vAlign w:val="center"/>
          </w:tcPr>
          <w:p>
            <w:pPr>
              <w:widowControl/>
              <w:spacing w:line="300" w:lineRule="exact"/>
              <w:jc w:val="center"/>
              <w:textAlignment w:val="center"/>
              <w:rPr>
                <w:rFonts w:hint="default"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95</w:t>
            </w:r>
          </w:p>
        </w:tc>
        <w:tc>
          <w:tcPr>
            <w:tcW w:w="332" w:type="pct"/>
            <w:vAlign w:val="center"/>
          </w:tcPr>
          <w:p>
            <w:pPr>
              <w:widowControl/>
              <w:spacing w:line="300" w:lineRule="exact"/>
              <w:jc w:val="center"/>
              <w:textAlignment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w:t>
            </w:r>
          </w:p>
        </w:tc>
        <w:tc>
          <w:tcPr>
            <w:tcW w:w="613" w:type="pct"/>
            <w:vAlign w:val="center"/>
          </w:tcPr>
          <w:p>
            <w:pPr>
              <w:widowControl/>
              <w:spacing w:line="300" w:lineRule="exact"/>
              <w:jc w:val="center"/>
              <w:textAlignment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sz w:val="21"/>
                <w:szCs w:val="21"/>
              </w:rPr>
              <w:t>实际工作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67" w:hRule="exact"/>
          <w:jc w:val="center"/>
        </w:trPr>
        <w:tc>
          <w:tcPr>
            <w:tcW w:w="373" w:type="pct"/>
            <w:vMerge w:val="continue"/>
            <w:vAlign w:val="center"/>
          </w:tcPr>
          <w:p>
            <w:pPr>
              <w:jc w:val="center"/>
              <w:rPr>
                <w:rFonts w:ascii="宋体" w:hAnsi="宋体" w:cs="宋体"/>
                <w:sz w:val="21"/>
                <w:szCs w:val="21"/>
              </w:rPr>
            </w:pPr>
          </w:p>
        </w:tc>
        <w:tc>
          <w:tcPr>
            <w:tcW w:w="324" w:type="pct"/>
            <w:vAlign w:val="center"/>
          </w:tcPr>
          <w:p>
            <w:pPr>
              <w:spacing w:line="300" w:lineRule="exact"/>
              <w:jc w:val="center"/>
              <w:textAlignment w:val="center"/>
              <w:rPr>
                <w:rFonts w:ascii="宋体" w:hAnsi="宋体" w:cs="宋体"/>
                <w:color w:val="000000"/>
                <w:kern w:val="0"/>
                <w:sz w:val="21"/>
                <w:szCs w:val="21"/>
              </w:rPr>
            </w:pPr>
            <w:r>
              <w:rPr>
                <w:rFonts w:hint="eastAsia" w:ascii="宋体" w:hAnsi="宋体" w:cs="宋体"/>
                <w:color w:val="000000"/>
                <w:kern w:val="0"/>
                <w:sz w:val="21"/>
                <w:szCs w:val="21"/>
              </w:rPr>
              <w:t>质  量</w:t>
            </w:r>
          </w:p>
        </w:tc>
        <w:tc>
          <w:tcPr>
            <w:tcW w:w="708" w:type="pct"/>
            <w:vAlign w:val="center"/>
          </w:tcPr>
          <w:p>
            <w:pPr>
              <w:widowControl/>
              <w:spacing w:line="300" w:lineRule="exact"/>
              <w:jc w:val="both"/>
              <w:textAlignment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采购物资、建设工程合格率</w:t>
            </w:r>
          </w:p>
        </w:tc>
        <w:tc>
          <w:tcPr>
            <w:tcW w:w="1058" w:type="pct"/>
            <w:vAlign w:val="center"/>
          </w:tcPr>
          <w:p>
            <w:pPr>
              <w:widowControl/>
              <w:spacing w:line="300" w:lineRule="exact"/>
              <w:jc w:val="both"/>
              <w:textAlignment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20分合格率100%得满分，否则不得分</w:t>
            </w:r>
          </w:p>
        </w:tc>
        <w:tc>
          <w:tcPr>
            <w:tcW w:w="898" w:type="pct"/>
            <w:vAlign w:val="center"/>
          </w:tcPr>
          <w:p>
            <w:pPr>
              <w:widowControl/>
              <w:spacing w:line="300" w:lineRule="exact"/>
              <w:jc w:val="both"/>
              <w:textAlignment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采购物资、建设工程合格率</w:t>
            </w:r>
          </w:p>
        </w:tc>
        <w:tc>
          <w:tcPr>
            <w:tcW w:w="368" w:type="pct"/>
            <w:vAlign w:val="center"/>
          </w:tcPr>
          <w:p>
            <w:pPr>
              <w:widowControl/>
              <w:spacing w:line="300" w:lineRule="exact"/>
              <w:jc w:val="center"/>
              <w:textAlignment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w:t>
            </w:r>
          </w:p>
        </w:tc>
        <w:tc>
          <w:tcPr>
            <w:tcW w:w="323" w:type="pct"/>
            <w:vAlign w:val="center"/>
          </w:tcPr>
          <w:p>
            <w:pPr>
              <w:widowControl/>
              <w:spacing w:line="300" w:lineRule="exact"/>
              <w:jc w:val="center"/>
              <w:textAlignment w:val="center"/>
              <w:rPr>
                <w:rFonts w:hint="default"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411</w:t>
            </w:r>
          </w:p>
        </w:tc>
        <w:tc>
          <w:tcPr>
            <w:tcW w:w="332" w:type="pct"/>
            <w:vAlign w:val="center"/>
          </w:tcPr>
          <w:p>
            <w:pPr>
              <w:widowControl/>
              <w:spacing w:line="300" w:lineRule="exact"/>
              <w:jc w:val="center"/>
              <w:textAlignment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w:t>
            </w:r>
          </w:p>
        </w:tc>
        <w:tc>
          <w:tcPr>
            <w:tcW w:w="613" w:type="pct"/>
            <w:vAlign w:val="center"/>
          </w:tcPr>
          <w:p>
            <w:pPr>
              <w:widowControl/>
              <w:spacing w:line="300" w:lineRule="exact"/>
              <w:jc w:val="center"/>
              <w:textAlignment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sz w:val="21"/>
                <w:szCs w:val="21"/>
              </w:rPr>
              <w:t>质量评价标准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836" w:hRule="exact"/>
          <w:jc w:val="center"/>
        </w:trPr>
        <w:tc>
          <w:tcPr>
            <w:tcW w:w="373" w:type="pct"/>
            <w:vMerge w:val="continue"/>
            <w:vAlign w:val="center"/>
          </w:tcPr>
          <w:p>
            <w:pPr>
              <w:jc w:val="center"/>
              <w:rPr>
                <w:rFonts w:ascii="宋体" w:hAnsi="宋体" w:cs="宋体"/>
                <w:sz w:val="21"/>
                <w:szCs w:val="21"/>
              </w:rPr>
            </w:pPr>
          </w:p>
        </w:tc>
        <w:tc>
          <w:tcPr>
            <w:tcW w:w="324" w:type="pct"/>
            <w:vAlign w:val="center"/>
          </w:tcPr>
          <w:p>
            <w:pPr>
              <w:spacing w:line="300" w:lineRule="exact"/>
              <w:jc w:val="center"/>
              <w:textAlignment w:val="center"/>
              <w:rPr>
                <w:rFonts w:ascii="宋体" w:hAnsi="宋体" w:cs="宋体"/>
                <w:color w:val="000000"/>
                <w:kern w:val="0"/>
                <w:sz w:val="21"/>
                <w:szCs w:val="21"/>
              </w:rPr>
            </w:pPr>
            <w:r>
              <w:rPr>
                <w:rFonts w:hint="eastAsia" w:ascii="宋体" w:hAnsi="宋体" w:cs="宋体"/>
                <w:color w:val="000000"/>
                <w:kern w:val="0"/>
                <w:sz w:val="21"/>
                <w:szCs w:val="21"/>
              </w:rPr>
              <w:t>时　效</w:t>
            </w:r>
          </w:p>
        </w:tc>
        <w:tc>
          <w:tcPr>
            <w:tcW w:w="708" w:type="pct"/>
            <w:vAlign w:val="center"/>
          </w:tcPr>
          <w:p>
            <w:pPr>
              <w:widowControl/>
              <w:adjustRightInd w:val="0"/>
              <w:snapToGrid w:val="0"/>
              <w:jc w:val="both"/>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教育经费使用控制率</w:t>
            </w:r>
          </w:p>
        </w:tc>
        <w:tc>
          <w:tcPr>
            <w:tcW w:w="1058" w:type="pct"/>
            <w:vAlign w:val="center"/>
          </w:tcPr>
          <w:p>
            <w:pPr>
              <w:widowControl/>
              <w:adjustRightInd w:val="0"/>
              <w:snapToGrid w:val="0"/>
              <w:spacing w:line="240" w:lineRule="exact"/>
              <w:jc w:val="both"/>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10分教育经费决算数不大于调整预算数得满分，否则不得分</w:t>
            </w:r>
          </w:p>
        </w:tc>
        <w:tc>
          <w:tcPr>
            <w:tcW w:w="898" w:type="pct"/>
            <w:vAlign w:val="center"/>
          </w:tcPr>
          <w:p>
            <w:pPr>
              <w:widowControl/>
              <w:adjustRightInd w:val="0"/>
              <w:snapToGrid w:val="0"/>
              <w:jc w:val="both"/>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支出的公用经费总额与预算安排的比率</w:t>
            </w:r>
          </w:p>
        </w:tc>
        <w:tc>
          <w:tcPr>
            <w:tcW w:w="368" w:type="pct"/>
            <w:vAlign w:val="center"/>
          </w:tcPr>
          <w:p>
            <w:pPr>
              <w:widowControl/>
              <w:spacing w:line="300" w:lineRule="exact"/>
              <w:jc w:val="both"/>
              <w:textAlignment w:val="center"/>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lang w:eastAsia="zh-CN"/>
              </w:rPr>
              <w:t>文字描述</w:t>
            </w:r>
          </w:p>
        </w:tc>
        <w:tc>
          <w:tcPr>
            <w:tcW w:w="323" w:type="pct"/>
            <w:vAlign w:val="center"/>
          </w:tcPr>
          <w:p>
            <w:pPr>
              <w:widowControl/>
              <w:spacing w:line="300" w:lineRule="exact"/>
              <w:jc w:val="center"/>
              <w:textAlignment w:val="center"/>
              <w:rPr>
                <w:rFonts w:hint="eastAsia" w:ascii="仿宋_GB2312" w:hAnsi="仿宋_GB2312" w:eastAsia="仿宋_GB2312" w:cs="仿宋_GB2312"/>
                <w:color w:val="000000"/>
                <w:kern w:val="0"/>
                <w:sz w:val="21"/>
                <w:szCs w:val="21"/>
              </w:rPr>
            </w:pPr>
          </w:p>
        </w:tc>
        <w:tc>
          <w:tcPr>
            <w:tcW w:w="332" w:type="pct"/>
            <w:vAlign w:val="center"/>
          </w:tcPr>
          <w:p>
            <w:pPr>
              <w:widowControl/>
              <w:spacing w:line="300" w:lineRule="exact"/>
              <w:jc w:val="center"/>
              <w:textAlignment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教育经费决算数不大于调整预算数</w:t>
            </w:r>
          </w:p>
        </w:tc>
        <w:tc>
          <w:tcPr>
            <w:tcW w:w="613" w:type="pct"/>
            <w:vAlign w:val="center"/>
          </w:tcPr>
          <w:p>
            <w:pPr>
              <w:widowControl/>
              <w:spacing w:line="300" w:lineRule="exact"/>
              <w:jc w:val="center"/>
              <w:textAlignment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sz w:val="21"/>
                <w:szCs w:val="21"/>
              </w:rPr>
              <w:t>实际工作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27" w:hRule="exact"/>
          <w:jc w:val="center"/>
        </w:trPr>
        <w:tc>
          <w:tcPr>
            <w:tcW w:w="373" w:type="pct"/>
            <w:vMerge w:val="continue"/>
            <w:vAlign w:val="center"/>
          </w:tcPr>
          <w:p>
            <w:pPr>
              <w:jc w:val="center"/>
              <w:rPr>
                <w:rFonts w:ascii="宋体" w:hAnsi="宋体" w:cs="宋体"/>
                <w:sz w:val="21"/>
                <w:szCs w:val="21"/>
              </w:rPr>
            </w:pPr>
          </w:p>
        </w:tc>
        <w:tc>
          <w:tcPr>
            <w:tcW w:w="324" w:type="pct"/>
            <w:vAlign w:val="center"/>
          </w:tcPr>
          <w:p>
            <w:pPr>
              <w:widowControl/>
              <w:spacing w:line="300" w:lineRule="exact"/>
              <w:jc w:val="center"/>
              <w:textAlignment w:val="center"/>
              <w:rPr>
                <w:rFonts w:ascii="宋体" w:hAnsi="宋体" w:cs="宋体"/>
                <w:color w:val="000000"/>
                <w:kern w:val="0"/>
                <w:sz w:val="21"/>
                <w:szCs w:val="21"/>
              </w:rPr>
            </w:pPr>
            <w:r>
              <w:rPr>
                <w:rFonts w:hint="eastAsia" w:ascii="宋体" w:hAnsi="宋体" w:cs="宋体"/>
                <w:color w:val="000000"/>
                <w:kern w:val="0"/>
                <w:sz w:val="21"/>
                <w:szCs w:val="21"/>
              </w:rPr>
              <w:t>成  本</w:t>
            </w:r>
          </w:p>
        </w:tc>
        <w:tc>
          <w:tcPr>
            <w:tcW w:w="708" w:type="pct"/>
            <w:vAlign w:val="center"/>
          </w:tcPr>
          <w:p>
            <w:pPr>
              <w:spacing w:line="30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学校的各项工作任务及时完成情况</w:t>
            </w:r>
          </w:p>
        </w:tc>
        <w:tc>
          <w:tcPr>
            <w:tcW w:w="1058" w:type="pct"/>
            <w:vAlign w:val="center"/>
          </w:tcPr>
          <w:p>
            <w:pPr>
              <w:spacing w:line="30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10分及时完成得满分，否则不得分</w:t>
            </w:r>
          </w:p>
        </w:tc>
        <w:tc>
          <w:tcPr>
            <w:tcW w:w="898" w:type="pct"/>
            <w:vAlign w:val="center"/>
          </w:tcPr>
          <w:p>
            <w:pPr>
              <w:spacing w:line="30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学校的各项工作任务及时完成情况</w:t>
            </w:r>
          </w:p>
        </w:tc>
        <w:tc>
          <w:tcPr>
            <w:tcW w:w="368" w:type="pct"/>
            <w:vAlign w:val="center"/>
          </w:tcPr>
          <w:p>
            <w:pPr>
              <w:spacing w:line="300" w:lineRule="exact"/>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文字描述</w:t>
            </w:r>
          </w:p>
        </w:tc>
        <w:tc>
          <w:tcPr>
            <w:tcW w:w="323" w:type="pct"/>
            <w:vAlign w:val="center"/>
          </w:tcPr>
          <w:p>
            <w:pPr>
              <w:spacing w:line="300" w:lineRule="exact"/>
              <w:jc w:val="center"/>
              <w:rPr>
                <w:rFonts w:hint="eastAsia" w:ascii="仿宋_GB2312" w:hAnsi="仿宋_GB2312" w:eastAsia="仿宋_GB2312" w:cs="仿宋_GB2312"/>
                <w:sz w:val="21"/>
                <w:szCs w:val="21"/>
              </w:rPr>
            </w:pPr>
          </w:p>
        </w:tc>
        <w:tc>
          <w:tcPr>
            <w:tcW w:w="332" w:type="pct"/>
            <w:vAlign w:val="center"/>
          </w:tcPr>
          <w:p>
            <w:pPr>
              <w:widowControl/>
              <w:spacing w:line="300" w:lineRule="exact"/>
              <w:jc w:val="center"/>
              <w:textAlignment w:val="center"/>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lang w:eastAsia="zh-CN"/>
              </w:rPr>
              <w:t>及时</w:t>
            </w:r>
          </w:p>
        </w:tc>
        <w:tc>
          <w:tcPr>
            <w:tcW w:w="613" w:type="pct"/>
            <w:vAlign w:val="center"/>
          </w:tcPr>
          <w:p>
            <w:pPr>
              <w:widowControl/>
              <w:spacing w:line="300" w:lineRule="exact"/>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年初工作计划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99" w:hRule="exact"/>
          <w:jc w:val="center"/>
        </w:trPr>
        <w:tc>
          <w:tcPr>
            <w:tcW w:w="373" w:type="pct"/>
            <w:vMerge w:val="restart"/>
            <w:vAlign w:val="center"/>
          </w:tcPr>
          <w:p>
            <w:pPr>
              <w:jc w:val="center"/>
              <w:rPr>
                <w:rFonts w:ascii="宋体" w:hAnsi="宋体" w:cs="宋体"/>
                <w:sz w:val="21"/>
                <w:szCs w:val="21"/>
              </w:rPr>
            </w:pPr>
            <w:r>
              <w:rPr>
                <w:rFonts w:hint="eastAsia" w:ascii="宋体" w:hAnsi="宋体" w:cs="宋体"/>
                <w:sz w:val="21"/>
                <w:szCs w:val="21"/>
              </w:rPr>
              <w:t>效果指标</w:t>
            </w:r>
          </w:p>
        </w:tc>
        <w:tc>
          <w:tcPr>
            <w:tcW w:w="324" w:type="pct"/>
            <w:vAlign w:val="center"/>
          </w:tcPr>
          <w:p>
            <w:pPr>
              <w:widowControl/>
              <w:spacing w:line="300" w:lineRule="exact"/>
              <w:jc w:val="center"/>
              <w:textAlignment w:val="center"/>
              <w:rPr>
                <w:rFonts w:ascii="宋体" w:hAnsi="宋体" w:cs="宋体"/>
                <w:color w:val="000000"/>
                <w:kern w:val="0"/>
                <w:sz w:val="21"/>
                <w:szCs w:val="21"/>
              </w:rPr>
            </w:pPr>
            <w:r>
              <w:rPr>
                <w:rFonts w:hint="eastAsia" w:ascii="宋体" w:hAnsi="宋体" w:cs="宋体"/>
                <w:color w:val="000000"/>
                <w:kern w:val="0"/>
                <w:sz w:val="21"/>
                <w:szCs w:val="21"/>
              </w:rPr>
              <w:t>社  会</w:t>
            </w:r>
          </w:p>
          <w:p>
            <w:pPr>
              <w:widowControl/>
              <w:spacing w:line="300" w:lineRule="exact"/>
              <w:jc w:val="center"/>
              <w:textAlignment w:val="center"/>
              <w:rPr>
                <w:rFonts w:ascii="宋体" w:hAnsi="宋体" w:cs="宋体"/>
                <w:color w:val="000000"/>
                <w:kern w:val="0"/>
                <w:sz w:val="21"/>
                <w:szCs w:val="21"/>
              </w:rPr>
            </w:pPr>
            <w:r>
              <w:rPr>
                <w:rFonts w:hint="eastAsia" w:ascii="宋体" w:hAnsi="宋体" w:cs="宋体"/>
                <w:color w:val="000000"/>
                <w:kern w:val="0"/>
                <w:sz w:val="21"/>
                <w:szCs w:val="21"/>
              </w:rPr>
              <w:t>效  益</w:t>
            </w:r>
          </w:p>
        </w:tc>
        <w:tc>
          <w:tcPr>
            <w:tcW w:w="708" w:type="pct"/>
            <w:vAlign w:val="center"/>
          </w:tcPr>
          <w:p>
            <w:pPr>
              <w:widowControl/>
              <w:spacing w:line="240" w:lineRule="exact"/>
              <w:jc w:val="both"/>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义务教育高质量发展</w:t>
            </w:r>
          </w:p>
        </w:tc>
        <w:tc>
          <w:tcPr>
            <w:tcW w:w="1058" w:type="pct"/>
            <w:vAlign w:val="center"/>
          </w:tcPr>
          <w:p>
            <w:pPr>
              <w:widowControl/>
              <w:spacing w:line="240" w:lineRule="exact"/>
              <w:jc w:val="both"/>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10分学生、家长、社会对学校整体满意度达到95%得满分，每降低1%扣1分，扣完为止。</w:t>
            </w:r>
          </w:p>
        </w:tc>
        <w:tc>
          <w:tcPr>
            <w:tcW w:w="898" w:type="pct"/>
            <w:vAlign w:val="center"/>
          </w:tcPr>
          <w:p>
            <w:pPr>
              <w:widowControl/>
              <w:spacing w:line="240" w:lineRule="exact"/>
              <w:jc w:val="both"/>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推动义务教育从数量扩张向质量提高转变</w:t>
            </w:r>
          </w:p>
        </w:tc>
        <w:tc>
          <w:tcPr>
            <w:tcW w:w="368" w:type="pct"/>
            <w:vAlign w:val="center"/>
          </w:tcPr>
          <w:p>
            <w:pPr>
              <w:widowControl/>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w:t>
            </w:r>
          </w:p>
        </w:tc>
        <w:tc>
          <w:tcPr>
            <w:tcW w:w="323" w:type="pct"/>
            <w:vAlign w:val="center"/>
          </w:tcPr>
          <w:p>
            <w:pPr>
              <w:widowControl/>
              <w:spacing w:line="240" w:lineRule="exact"/>
              <w:jc w:val="center"/>
              <w:rPr>
                <w:rFonts w:hint="default"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95</w:t>
            </w:r>
          </w:p>
        </w:tc>
        <w:tc>
          <w:tcPr>
            <w:tcW w:w="332" w:type="pct"/>
            <w:vAlign w:val="center"/>
          </w:tcPr>
          <w:p>
            <w:pPr>
              <w:widowControl/>
              <w:spacing w:line="240"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w:t>
            </w:r>
          </w:p>
        </w:tc>
        <w:tc>
          <w:tcPr>
            <w:tcW w:w="613" w:type="pct"/>
            <w:vAlign w:val="center"/>
          </w:tcPr>
          <w:p>
            <w:pPr>
              <w:spacing w:line="300" w:lineRule="exact"/>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部门职责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26" w:hRule="exact"/>
          <w:jc w:val="center"/>
        </w:trPr>
        <w:tc>
          <w:tcPr>
            <w:tcW w:w="373" w:type="pct"/>
            <w:vMerge w:val="continue"/>
            <w:vAlign w:val="center"/>
          </w:tcPr>
          <w:p>
            <w:pPr>
              <w:jc w:val="center"/>
              <w:rPr>
                <w:rFonts w:ascii="宋体" w:hAnsi="宋体" w:cs="宋体"/>
                <w:sz w:val="21"/>
                <w:szCs w:val="21"/>
              </w:rPr>
            </w:pPr>
          </w:p>
        </w:tc>
        <w:tc>
          <w:tcPr>
            <w:tcW w:w="324" w:type="pct"/>
            <w:vAlign w:val="center"/>
          </w:tcPr>
          <w:p>
            <w:pPr>
              <w:spacing w:line="300" w:lineRule="exact"/>
              <w:jc w:val="center"/>
              <w:textAlignment w:val="center"/>
              <w:rPr>
                <w:rFonts w:ascii="宋体" w:hAnsi="宋体" w:cs="宋体"/>
                <w:color w:val="000000"/>
                <w:kern w:val="0"/>
                <w:sz w:val="21"/>
                <w:szCs w:val="21"/>
              </w:rPr>
            </w:pPr>
            <w:r>
              <w:rPr>
                <w:rFonts w:hint="eastAsia" w:ascii="宋体" w:hAnsi="宋体" w:cs="宋体"/>
                <w:color w:val="000000"/>
                <w:kern w:val="0"/>
                <w:sz w:val="21"/>
                <w:szCs w:val="21"/>
              </w:rPr>
              <w:t>满意度</w:t>
            </w:r>
          </w:p>
        </w:tc>
        <w:tc>
          <w:tcPr>
            <w:tcW w:w="708" w:type="pct"/>
            <w:vAlign w:val="center"/>
          </w:tcPr>
          <w:p>
            <w:pPr>
              <w:widowControl/>
              <w:spacing w:line="240" w:lineRule="exact"/>
              <w:jc w:val="both"/>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在校师生的满意程度</w:t>
            </w:r>
          </w:p>
        </w:tc>
        <w:tc>
          <w:tcPr>
            <w:tcW w:w="1058" w:type="pct"/>
            <w:vAlign w:val="center"/>
          </w:tcPr>
          <w:p>
            <w:pPr>
              <w:widowControl/>
              <w:adjustRightInd w:val="0"/>
              <w:snapToGrid w:val="0"/>
              <w:spacing w:line="30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10分在校师生的满意度达到95%得满分，每降低1%扣1分，扣完为止。</w:t>
            </w:r>
          </w:p>
        </w:tc>
        <w:tc>
          <w:tcPr>
            <w:tcW w:w="898" w:type="pct"/>
            <w:vAlign w:val="center"/>
          </w:tcPr>
          <w:p>
            <w:pPr>
              <w:widowControl/>
              <w:spacing w:line="240" w:lineRule="exact"/>
              <w:jc w:val="both"/>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在校师生的满意程度</w:t>
            </w:r>
          </w:p>
        </w:tc>
        <w:tc>
          <w:tcPr>
            <w:tcW w:w="368" w:type="pct"/>
            <w:vAlign w:val="center"/>
          </w:tcPr>
          <w:p>
            <w:pPr>
              <w:widowControl/>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w:t>
            </w:r>
          </w:p>
        </w:tc>
        <w:tc>
          <w:tcPr>
            <w:tcW w:w="323" w:type="pct"/>
            <w:vAlign w:val="center"/>
          </w:tcPr>
          <w:p>
            <w:pPr>
              <w:widowControl/>
              <w:spacing w:line="240"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9</w:t>
            </w:r>
            <w:r>
              <w:rPr>
                <w:rFonts w:hint="eastAsia" w:ascii="仿宋_GB2312" w:hAnsi="仿宋_GB2312" w:eastAsia="仿宋_GB2312" w:cs="仿宋_GB2312"/>
                <w:kern w:val="0"/>
                <w:sz w:val="21"/>
                <w:szCs w:val="21"/>
                <w:lang w:val="en-US" w:eastAsia="zh-CN"/>
              </w:rPr>
              <w:t>5</w:t>
            </w:r>
          </w:p>
        </w:tc>
        <w:tc>
          <w:tcPr>
            <w:tcW w:w="332" w:type="pct"/>
            <w:vAlign w:val="center"/>
          </w:tcPr>
          <w:p>
            <w:pPr>
              <w:widowControl/>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w:t>
            </w:r>
          </w:p>
        </w:tc>
        <w:tc>
          <w:tcPr>
            <w:tcW w:w="613" w:type="pct"/>
            <w:vAlign w:val="center"/>
          </w:tcPr>
          <w:p>
            <w:pPr>
              <w:widowControl/>
              <w:spacing w:line="300" w:lineRule="exact"/>
              <w:jc w:val="center"/>
              <w:textAlignment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sz w:val="21"/>
                <w:szCs w:val="21"/>
              </w:rPr>
              <w:t>调查问卷</w:t>
            </w:r>
          </w:p>
        </w:tc>
      </w:tr>
    </w:tbl>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rPr>
        <w:t>教育经费</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eastAsia="仿宋_GB2312"/>
                <w:kern w:val="0"/>
                <w:szCs w:val="21"/>
              </w:rPr>
              <w:t>促进义务教育均衡发展,保障城市义务教育顺利进行，改善办学条件。全面提高师生素质。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20"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widowControl/>
              <w:spacing w:line="240" w:lineRule="exact"/>
              <w:rPr>
                <w:rFonts w:ascii="仿宋_GB2312" w:eastAsia="仿宋_GB2312"/>
                <w:kern w:val="0"/>
                <w:szCs w:val="21"/>
              </w:rPr>
            </w:pPr>
            <w:r>
              <w:rPr>
                <w:rFonts w:hint="eastAsia" w:ascii="仿宋_GB2312" w:eastAsia="仿宋_GB2312"/>
                <w:kern w:val="0"/>
                <w:szCs w:val="21"/>
              </w:rPr>
              <w:t>数量</w:t>
            </w:r>
          </w:p>
        </w:tc>
        <w:tc>
          <w:tcPr>
            <w:tcW w:w="1985" w:type="dxa"/>
            <w:shd w:val="clear" w:color="auto" w:fill="auto"/>
            <w:vAlign w:val="center"/>
          </w:tcPr>
          <w:p>
            <w:pPr>
              <w:widowControl/>
              <w:spacing w:line="240" w:lineRule="exact"/>
              <w:rPr>
                <w:rFonts w:ascii="仿宋_GB2312" w:eastAsia="仿宋_GB2312"/>
                <w:kern w:val="0"/>
                <w:szCs w:val="21"/>
              </w:rPr>
            </w:pPr>
            <w:r>
              <w:rPr>
                <w:rFonts w:hint="eastAsia" w:ascii="仿宋_GB2312" w:eastAsia="仿宋_GB2312"/>
                <w:kern w:val="0"/>
                <w:szCs w:val="21"/>
              </w:rPr>
              <w:t>保12个月教学正常运转</w:t>
            </w:r>
          </w:p>
        </w:tc>
        <w:tc>
          <w:tcPr>
            <w:tcW w:w="3402" w:type="dxa"/>
            <w:shd w:val="clear" w:color="auto" w:fill="auto"/>
            <w:vAlign w:val="center"/>
          </w:tcPr>
          <w:p>
            <w:pPr>
              <w:widowControl/>
              <w:spacing w:line="240" w:lineRule="exact"/>
              <w:rPr>
                <w:rFonts w:ascii="仿宋_GB2312" w:eastAsia="仿宋_GB2312"/>
                <w:kern w:val="0"/>
                <w:szCs w:val="21"/>
              </w:rPr>
            </w:pPr>
            <w:r>
              <w:rPr>
                <w:rFonts w:hint="eastAsia" w:ascii="仿宋_GB2312" w:eastAsia="仿宋_GB2312"/>
                <w:kern w:val="0"/>
                <w:szCs w:val="21"/>
              </w:rPr>
              <w:t>保障教学正常运转时长</w:t>
            </w:r>
          </w:p>
        </w:tc>
        <w:tc>
          <w:tcPr>
            <w:tcW w:w="1843" w:type="dxa"/>
            <w:shd w:val="clear" w:color="auto" w:fill="auto"/>
            <w:vAlign w:val="center"/>
          </w:tcPr>
          <w:p>
            <w:pPr>
              <w:widowControl/>
              <w:spacing w:line="240" w:lineRule="exact"/>
              <w:rPr>
                <w:rFonts w:ascii="仿宋_GB2312" w:eastAsia="仿宋_GB2312"/>
                <w:kern w:val="0"/>
                <w:sz w:val="24"/>
                <w:szCs w:val="24"/>
              </w:rPr>
            </w:pPr>
            <w:r>
              <w:rPr>
                <w:rFonts w:hint="eastAsia" w:ascii="仿宋_GB2312" w:eastAsia="仿宋_GB2312"/>
                <w:kern w:val="0"/>
                <w:sz w:val="24"/>
                <w:szCs w:val="24"/>
              </w:rPr>
              <w:t>=12个月</w:t>
            </w:r>
          </w:p>
        </w:tc>
        <w:tc>
          <w:tcPr>
            <w:tcW w:w="2155" w:type="dxa"/>
            <w:shd w:val="clear" w:color="auto" w:fill="auto"/>
            <w:vAlign w:val="center"/>
          </w:tcPr>
          <w:p>
            <w:pPr>
              <w:widowControl/>
              <w:spacing w:line="240" w:lineRule="exact"/>
              <w:rPr>
                <w:rFonts w:ascii="仿宋_GB2312" w:eastAsia="仿宋_GB2312"/>
                <w:kern w:val="0"/>
                <w:szCs w:val="21"/>
              </w:rPr>
            </w:pPr>
            <w:r>
              <w:rPr>
                <w:rFonts w:hint="eastAsia" w:ascii="仿宋_GB2312" w:eastAsia="仿宋_GB2312"/>
                <w:kern w:val="0"/>
                <w:szCs w:val="21"/>
              </w:rPr>
              <w:t>实际教学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20" w:hRule="atLeast"/>
          <w:jc w:val="center"/>
        </w:trPr>
        <w:tc>
          <w:tcPr>
            <w:tcW w:w="2409" w:type="dxa"/>
            <w:vMerge w:val="continue"/>
            <w:shd w:val="clear" w:color="auto" w:fill="auto"/>
            <w:vAlign w:val="center"/>
          </w:tcPr>
          <w:p/>
        </w:tc>
        <w:tc>
          <w:tcPr>
            <w:tcW w:w="2268" w:type="dxa"/>
            <w:shd w:val="clear" w:color="auto" w:fill="auto"/>
            <w:vAlign w:val="center"/>
          </w:tcPr>
          <w:p>
            <w:pPr>
              <w:widowControl/>
              <w:spacing w:line="240" w:lineRule="exact"/>
              <w:rPr>
                <w:rFonts w:ascii="仿宋_GB2312" w:eastAsia="仿宋_GB2312"/>
                <w:kern w:val="0"/>
                <w:szCs w:val="21"/>
              </w:rPr>
            </w:pPr>
            <w:r>
              <w:rPr>
                <w:rFonts w:hint="eastAsia" w:ascii="仿宋_GB2312" w:eastAsia="仿宋_GB2312"/>
                <w:kern w:val="0"/>
                <w:szCs w:val="21"/>
              </w:rPr>
              <w:t>质量</w:t>
            </w:r>
          </w:p>
        </w:tc>
        <w:tc>
          <w:tcPr>
            <w:tcW w:w="1985" w:type="dxa"/>
            <w:shd w:val="clear" w:color="auto" w:fill="auto"/>
            <w:vAlign w:val="center"/>
          </w:tcPr>
          <w:p>
            <w:pPr>
              <w:widowControl/>
              <w:spacing w:line="240" w:lineRule="exact"/>
              <w:rPr>
                <w:rFonts w:ascii="仿宋_GB2312" w:eastAsia="仿宋_GB2312"/>
                <w:kern w:val="0"/>
                <w:szCs w:val="21"/>
              </w:rPr>
            </w:pPr>
            <w:r>
              <w:rPr>
                <w:rFonts w:hint="eastAsia" w:ascii="仿宋_GB2312" w:eastAsia="仿宋_GB2312"/>
                <w:kern w:val="0"/>
                <w:szCs w:val="21"/>
              </w:rPr>
              <w:t>物资采购合格率</w:t>
            </w:r>
          </w:p>
        </w:tc>
        <w:tc>
          <w:tcPr>
            <w:tcW w:w="3402" w:type="dxa"/>
            <w:shd w:val="clear" w:color="auto" w:fill="auto"/>
            <w:vAlign w:val="center"/>
          </w:tcPr>
          <w:p>
            <w:pPr>
              <w:widowControl/>
              <w:spacing w:line="240" w:lineRule="exact"/>
              <w:rPr>
                <w:rFonts w:ascii="仿宋_GB2312" w:eastAsia="仿宋_GB2312"/>
                <w:kern w:val="0"/>
                <w:szCs w:val="21"/>
              </w:rPr>
            </w:pPr>
            <w:r>
              <w:rPr>
                <w:rFonts w:hint="eastAsia" w:ascii="仿宋_GB2312" w:eastAsia="仿宋_GB2312"/>
                <w:color w:val="000000"/>
                <w:szCs w:val="21"/>
              </w:rPr>
              <w:t>保障日常教学器材及物资充裕</w:t>
            </w:r>
          </w:p>
        </w:tc>
        <w:tc>
          <w:tcPr>
            <w:tcW w:w="1843" w:type="dxa"/>
            <w:shd w:val="clear" w:color="auto" w:fill="auto"/>
            <w:vAlign w:val="center"/>
          </w:tcPr>
          <w:p>
            <w:pPr>
              <w:widowControl/>
              <w:spacing w:line="240" w:lineRule="exact"/>
              <w:rPr>
                <w:rFonts w:ascii="仿宋_GB2312" w:eastAsia="仿宋_GB2312"/>
                <w:kern w:val="0"/>
                <w:sz w:val="24"/>
                <w:szCs w:val="24"/>
              </w:rPr>
            </w:pPr>
            <w:r>
              <w:rPr>
                <w:rFonts w:hint="eastAsia" w:ascii="仿宋_GB2312" w:eastAsia="仿宋_GB2312"/>
                <w:kern w:val="0"/>
                <w:sz w:val="24"/>
                <w:szCs w:val="24"/>
              </w:rPr>
              <w:t>=100%</w:t>
            </w:r>
          </w:p>
        </w:tc>
        <w:tc>
          <w:tcPr>
            <w:tcW w:w="2155" w:type="dxa"/>
            <w:shd w:val="clear" w:color="auto" w:fill="auto"/>
            <w:vAlign w:val="center"/>
          </w:tcPr>
          <w:p>
            <w:pPr>
              <w:widowControl/>
              <w:spacing w:line="240" w:lineRule="exact"/>
              <w:rPr>
                <w:rFonts w:ascii="仿宋_GB2312" w:eastAsia="仿宋_GB2312"/>
                <w:kern w:val="0"/>
                <w:szCs w:val="21"/>
              </w:rPr>
            </w:pPr>
            <w:r>
              <w:rPr>
                <w:rFonts w:hint="eastAsia" w:ascii="仿宋_GB2312" w:eastAsia="仿宋_GB2312"/>
                <w:kern w:val="0"/>
                <w:szCs w:val="21"/>
              </w:rPr>
              <w:t>物资质量评价标准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20" w:hRule="atLeast"/>
          <w:jc w:val="center"/>
        </w:trPr>
        <w:tc>
          <w:tcPr>
            <w:tcW w:w="2409" w:type="dxa"/>
            <w:vMerge w:val="continue"/>
            <w:shd w:val="clear" w:color="auto" w:fill="auto"/>
            <w:vAlign w:val="center"/>
          </w:tcPr>
          <w:p/>
        </w:tc>
        <w:tc>
          <w:tcPr>
            <w:tcW w:w="2268" w:type="dxa"/>
            <w:shd w:val="clear" w:color="auto" w:fill="auto"/>
            <w:vAlign w:val="center"/>
          </w:tcPr>
          <w:p>
            <w:pPr>
              <w:widowControl/>
              <w:spacing w:line="240" w:lineRule="exact"/>
              <w:rPr>
                <w:rFonts w:ascii="仿宋_GB2312" w:eastAsia="仿宋_GB2312"/>
                <w:kern w:val="0"/>
                <w:szCs w:val="21"/>
              </w:rPr>
            </w:pPr>
            <w:r>
              <w:rPr>
                <w:rFonts w:hint="eastAsia" w:ascii="仿宋_GB2312" w:eastAsia="仿宋_GB2312"/>
                <w:kern w:val="0"/>
                <w:szCs w:val="21"/>
              </w:rPr>
              <w:t>质量</w:t>
            </w:r>
          </w:p>
        </w:tc>
        <w:tc>
          <w:tcPr>
            <w:tcW w:w="1985" w:type="dxa"/>
            <w:shd w:val="clear" w:color="auto" w:fill="auto"/>
            <w:vAlign w:val="center"/>
          </w:tcPr>
          <w:p>
            <w:pPr>
              <w:widowControl/>
              <w:spacing w:line="240" w:lineRule="exact"/>
              <w:rPr>
                <w:rFonts w:ascii="仿宋_GB2312" w:eastAsia="仿宋_GB2312"/>
                <w:kern w:val="0"/>
                <w:szCs w:val="21"/>
              </w:rPr>
            </w:pPr>
            <w:r>
              <w:rPr>
                <w:rFonts w:hint="eastAsia" w:ascii="仿宋_GB2312" w:eastAsia="仿宋_GB2312"/>
                <w:kern w:val="0"/>
                <w:szCs w:val="21"/>
              </w:rPr>
              <w:t>上级下达学校的各项工作任务完成率</w:t>
            </w:r>
          </w:p>
        </w:tc>
        <w:tc>
          <w:tcPr>
            <w:tcW w:w="3402" w:type="dxa"/>
            <w:shd w:val="clear" w:color="auto" w:fill="auto"/>
            <w:vAlign w:val="center"/>
          </w:tcPr>
          <w:p>
            <w:pPr>
              <w:spacing w:line="240" w:lineRule="exact"/>
              <w:rPr>
                <w:rFonts w:ascii="仿宋_GB2312" w:eastAsia="仿宋_GB2312"/>
                <w:color w:val="000000"/>
                <w:szCs w:val="21"/>
              </w:rPr>
            </w:pPr>
            <w:r>
              <w:rPr>
                <w:rFonts w:hint="eastAsia" w:ascii="仿宋_GB2312" w:eastAsia="仿宋_GB2312"/>
                <w:color w:val="000000"/>
                <w:szCs w:val="21"/>
              </w:rPr>
              <w:t>保证完成上级下达学校的各项工作任务</w:t>
            </w:r>
          </w:p>
        </w:tc>
        <w:tc>
          <w:tcPr>
            <w:tcW w:w="1843" w:type="dxa"/>
            <w:shd w:val="clear" w:color="auto" w:fill="auto"/>
            <w:vAlign w:val="center"/>
          </w:tcPr>
          <w:p>
            <w:pPr>
              <w:widowControl/>
              <w:spacing w:line="240" w:lineRule="exact"/>
              <w:rPr>
                <w:rFonts w:ascii="仿宋_GB2312" w:eastAsia="仿宋_GB2312"/>
                <w:kern w:val="0"/>
                <w:sz w:val="24"/>
                <w:szCs w:val="24"/>
              </w:rPr>
            </w:pPr>
            <w:r>
              <w:rPr>
                <w:rFonts w:hint="eastAsia" w:ascii="仿宋_GB2312" w:eastAsia="仿宋_GB2312"/>
                <w:kern w:val="0"/>
                <w:sz w:val="24"/>
                <w:szCs w:val="24"/>
              </w:rPr>
              <w:t>=100%</w:t>
            </w:r>
          </w:p>
        </w:tc>
        <w:tc>
          <w:tcPr>
            <w:tcW w:w="2155" w:type="dxa"/>
            <w:shd w:val="clear" w:color="auto" w:fill="auto"/>
            <w:vAlign w:val="center"/>
          </w:tcPr>
          <w:p>
            <w:pPr>
              <w:spacing w:line="240" w:lineRule="exact"/>
              <w:rPr>
                <w:rFonts w:ascii="仿宋_GB2312" w:eastAsia="仿宋_GB2312"/>
                <w:color w:val="000000"/>
                <w:szCs w:val="21"/>
              </w:rPr>
            </w:pPr>
            <w:r>
              <w:rPr>
                <w:rFonts w:hint="eastAsia" w:ascii="仿宋_GB2312" w:eastAsia="仿宋_GB2312"/>
                <w:color w:val="000000"/>
                <w:szCs w:val="21"/>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20" w:hRule="atLeast"/>
          <w:jc w:val="center"/>
        </w:trPr>
        <w:tc>
          <w:tcPr>
            <w:tcW w:w="2409" w:type="dxa"/>
            <w:vMerge w:val="continue"/>
            <w:shd w:val="clear" w:color="auto" w:fill="auto"/>
            <w:vAlign w:val="center"/>
          </w:tcPr>
          <w:p/>
        </w:tc>
        <w:tc>
          <w:tcPr>
            <w:tcW w:w="2268" w:type="dxa"/>
            <w:shd w:val="clear" w:color="auto" w:fill="auto"/>
            <w:vAlign w:val="center"/>
          </w:tcPr>
          <w:p>
            <w:pPr>
              <w:widowControl/>
              <w:spacing w:line="240" w:lineRule="exact"/>
              <w:rPr>
                <w:rFonts w:ascii="仿宋_GB2312" w:eastAsia="仿宋_GB2312"/>
                <w:kern w:val="0"/>
                <w:szCs w:val="21"/>
              </w:rPr>
            </w:pPr>
            <w:r>
              <w:rPr>
                <w:rFonts w:hint="eastAsia" w:ascii="仿宋_GB2312" w:eastAsia="仿宋_GB2312"/>
                <w:kern w:val="0"/>
                <w:szCs w:val="21"/>
              </w:rPr>
              <w:t>时效</w:t>
            </w:r>
          </w:p>
        </w:tc>
        <w:tc>
          <w:tcPr>
            <w:tcW w:w="1985" w:type="dxa"/>
            <w:shd w:val="clear" w:color="auto" w:fill="auto"/>
            <w:vAlign w:val="center"/>
          </w:tcPr>
          <w:p>
            <w:pPr>
              <w:widowControl/>
              <w:spacing w:line="240" w:lineRule="exact"/>
              <w:rPr>
                <w:rFonts w:ascii="仿宋_GB2312" w:eastAsia="仿宋_GB2312"/>
                <w:kern w:val="0"/>
                <w:szCs w:val="21"/>
              </w:rPr>
            </w:pPr>
            <w:r>
              <w:rPr>
                <w:rFonts w:hint="eastAsia" w:ascii="仿宋_GB2312" w:eastAsia="仿宋_GB2312"/>
                <w:kern w:val="0"/>
                <w:szCs w:val="21"/>
              </w:rPr>
              <w:t>用于保障学校正常运转项目完成及时率</w:t>
            </w:r>
          </w:p>
        </w:tc>
        <w:tc>
          <w:tcPr>
            <w:tcW w:w="3402" w:type="dxa"/>
            <w:shd w:val="clear" w:color="auto" w:fill="auto"/>
            <w:vAlign w:val="center"/>
          </w:tcPr>
          <w:p>
            <w:pPr>
              <w:spacing w:line="240" w:lineRule="exact"/>
              <w:rPr>
                <w:rFonts w:ascii="仿宋_GB2312" w:eastAsia="仿宋_GB2312" w:cs="宋体"/>
                <w:color w:val="000000"/>
                <w:szCs w:val="21"/>
              </w:rPr>
            </w:pPr>
            <w:r>
              <w:rPr>
                <w:rFonts w:hint="eastAsia" w:ascii="仿宋_GB2312" w:eastAsia="仿宋_GB2312"/>
                <w:color w:val="000000"/>
                <w:szCs w:val="21"/>
              </w:rPr>
              <w:t>及时提供的教学用品、保障教学设施、设备正常运行</w:t>
            </w:r>
          </w:p>
        </w:tc>
        <w:tc>
          <w:tcPr>
            <w:tcW w:w="1843" w:type="dxa"/>
            <w:shd w:val="clear" w:color="auto" w:fill="auto"/>
            <w:vAlign w:val="center"/>
          </w:tcPr>
          <w:p>
            <w:pPr>
              <w:widowControl/>
              <w:spacing w:line="240" w:lineRule="exact"/>
              <w:rPr>
                <w:rFonts w:ascii="仿宋_GB2312" w:eastAsia="仿宋_GB2312"/>
                <w:kern w:val="0"/>
                <w:sz w:val="24"/>
                <w:szCs w:val="24"/>
              </w:rPr>
            </w:pPr>
            <w:r>
              <w:rPr>
                <w:rFonts w:hint="eastAsia" w:ascii="仿宋_GB2312" w:eastAsia="仿宋_GB2312"/>
                <w:kern w:val="0"/>
                <w:sz w:val="24"/>
                <w:szCs w:val="24"/>
              </w:rPr>
              <w:t>=100%</w:t>
            </w:r>
          </w:p>
        </w:tc>
        <w:tc>
          <w:tcPr>
            <w:tcW w:w="2155" w:type="dxa"/>
            <w:shd w:val="clear" w:color="auto" w:fill="auto"/>
            <w:vAlign w:val="center"/>
          </w:tcPr>
          <w:p>
            <w:pPr>
              <w:spacing w:line="240" w:lineRule="exact"/>
              <w:rPr>
                <w:rFonts w:ascii="仿宋_GB2312" w:eastAsia="仿宋_GB2312" w:cs="宋体"/>
                <w:color w:val="000000"/>
                <w:szCs w:val="21"/>
              </w:rPr>
            </w:pPr>
            <w:r>
              <w:rPr>
                <w:rFonts w:hint="eastAsia" w:ascii="仿宋_GB2312" w:eastAsia="仿宋_GB2312"/>
                <w:color w:val="000000"/>
                <w:szCs w:val="21"/>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20" w:hRule="atLeast"/>
          <w:jc w:val="center"/>
        </w:trPr>
        <w:tc>
          <w:tcPr>
            <w:tcW w:w="2409" w:type="dxa"/>
            <w:vMerge w:val="continue"/>
            <w:shd w:val="clear" w:color="auto" w:fill="auto"/>
            <w:vAlign w:val="center"/>
          </w:tcPr>
          <w:p/>
        </w:tc>
        <w:tc>
          <w:tcPr>
            <w:tcW w:w="2268" w:type="dxa"/>
            <w:shd w:val="clear" w:color="auto" w:fill="auto"/>
            <w:vAlign w:val="center"/>
          </w:tcPr>
          <w:p>
            <w:pPr>
              <w:widowControl/>
              <w:spacing w:line="240" w:lineRule="exact"/>
              <w:rPr>
                <w:rFonts w:ascii="仿宋_GB2312" w:eastAsia="仿宋_GB2312"/>
                <w:kern w:val="0"/>
                <w:szCs w:val="21"/>
              </w:rPr>
            </w:pPr>
            <w:r>
              <w:rPr>
                <w:rFonts w:hint="eastAsia" w:ascii="仿宋_GB2312" w:eastAsia="仿宋_GB2312"/>
                <w:kern w:val="0"/>
                <w:szCs w:val="21"/>
              </w:rPr>
              <w:t>成本</w:t>
            </w:r>
          </w:p>
        </w:tc>
        <w:tc>
          <w:tcPr>
            <w:tcW w:w="1985" w:type="dxa"/>
            <w:shd w:val="clear" w:color="auto" w:fill="auto"/>
            <w:vAlign w:val="center"/>
          </w:tcPr>
          <w:p>
            <w:pPr>
              <w:widowControl/>
              <w:spacing w:line="240" w:lineRule="exact"/>
              <w:rPr>
                <w:rFonts w:ascii="仿宋_GB2312" w:eastAsia="仿宋_GB2312"/>
                <w:kern w:val="0"/>
                <w:szCs w:val="21"/>
              </w:rPr>
            </w:pPr>
            <w:r>
              <w:rPr>
                <w:rFonts w:hint="eastAsia" w:ascii="仿宋_GB2312" w:eastAsia="仿宋_GB2312"/>
                <w:kern w:val="0"/>
                <w:szCs w:val="21"/>
              </w:rPr>
              <w:t>经费支出成本</w:t>
            </w:r>
          </w:p>
        </w:tc>
        <w:tc>
          <w:tcPr>
            <w:tcW w:w="3402" w:type="dxa"/>
            <w:shd w:val="clear" w:color="auto" w:fill="auto"/>
            <w:vAlign w:val="center"/>
          </w:tcPr>
          <w:p>
            <w:pPr>
              <w:spacing w:line="240" w:lineRule="exact"/>
              <w:rPr>
                <w:rFonts w:ascii="仿宋_GB2312" w:eastAsia="仿宋_GB2312" w:cs="宋体"/>
                <w:color w:val="000000"/>
                <w:szCs w:val="21"/>
              </w:rPr>
            </w:pPr>
            <w:r>
              <w:rPr>
                <w:rFonts w:hint="eastAsia" w:ascii="仿宋_GB2312" w:eastAsia="仿宋_GB2312"/>
                <w:color w:val="000000"/>
                <w:szCs w:val="21"/>
              </w:rPr>
              <w:t>经费各项支出不高于项目资金总额</w:t>
            </w:r>
          </w:p>
        </w:tc>
        <w:tc>
          <w:tcPr>
            <w:tcW w:w="1843" w:type="dxa"/>
            <w:shd w:val="clear" w:color="auto" w:fill="auto"/>
            <w:vAlign w:val="center"/>
          </w:tcPr>
          <w:p>
            <w:pPr>
              <w:rPr>
                <w:rFonts w:ascii="仿宋_GB2312" w:eastAsia="仿宋_GB2312" w:cs="Calibri"/>
                <w:color w:val="000000"/>
                <w:szCs w:val="21"/>
              </w:rPr>
            </w:pPr>
            <w:r>
              <w:rPr>
                <w:rFonts w:hint="eastAsia" w:ascii="仿宋_GB2312" w:eastAsia="仿宋_GB2312" w:cs="Calibri"/>
                <w:color w:val="000000"/>
                <w:szCs w:val="21"/>
              </w:rPr>
              <w:t>≤57.32万元</w:t>
            </w:r>
          </w:p>
        </w:tc>
        <w:tc>
          <w:tcPr>
            <w:tcW w:w="2155" w:type="dxa"/>
            <w:shd w:val="clear" w:color="auto" w:fill="auto"/>
            <w:vAlign w:val="center"/>
          </w:tcPr>
          <w:p>
            <w:pPr>
              <w:widowControl/>
              <w:spacing w:line="240" w:lineRule="exact"/>
              <w:rPr>
                <w:rFonts w:ascii="仿宋_GB2312" w:eastAsia="仿宋_GB2312"/>
                <w:kern w:val="0"/>
                <w:szCs w:val="21"/>
              </w:rPr>
            </w:pPr>
            <w:r>
              <w:rPr>
                <w:rFonts w:hint="eastAsia" w:ascii="仿宋_GB2312" w:eastAsia="仿宋_GB2312"/>
                <w:kern w:val="0"/>
                <w:szCs w:val="21"/>
              </w:rPr>
              <w:t>资金分配表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20"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widowControl/>
              <w:spacing w:line="240" w:lineRule="exact"/>
              <w:rPr>
                <w:rFonts w:ascii="仿宋_GB2312" w:eastAsia="仿宋_GB2312"/>
                <w:kern w:val="0"/>
                <w:szCs w:val="21"/>
              </w:rPr>
            </w:pPr>
            <w:r>
              <w:rPr>
                <w:rFonts w:hint="eastAsia" w:ascii="仿宋_GB2312" w:eastAsia="仿宋_GB2312"/>
                <w:kern w:val="0"/>
                <w:szCs w:val="21"/>
              </w:rPr>
              <w:t>社会效益</w:t>
            </w:r>
          </w:p>
        </w:tc>
        <w:tc>
          <w:tcPr>
            <w:tcW w:w="1985" w:type="dxa"/>
            <w:shd w:val="clear" w:color="auto" w:fill="auto"/>
            <w:vAlign w:val="center"/>
          </w:tcPr>
          <w:p>
            <w:pPr>
              <w:widowControl/>
              <w:spacing w:line="240" w:lineRule="exact"/>
              <w:rPr>
                <w:rFonts w:ascii="仿宋_GB2312" w:eastAsia="仿宋_GB2312"/>
                <w:kern w:val="0"/>
                <w:szCs w:val="21"/>
              </w:rPr>
            </w:pPr>
            <w:r>
              <w:rPr>
                <w:rFonts w:hint="eastAsia" w:ascii="仿宋_GB2312" w:eastAsia="仿宋_GB2312"/>
                <w:kern w:val="0"/>
                <w:szCs w:val="21"/>
              </w:rPr>
              <w:t>义务教育高质量发展</w:t>
            </w:r>
          </w:p>
        </w:tc>
        <w:tc>
          <w:tcPr>
            <w:tcW w:w="3402" w:type="dxa"/>
            <w:shd w:val="clear" w:color="auto" w:fill="auto"/>
            <w:vAlign w:val="center"/>
          </w:tcPr>
          <w:p>
            <w:pPr>
              <w:spacing w:line="300" w:lineRule="exact"/>
              <w:rPr>
                <w:rFonts w:ascii="仿宋_GB2312" w:eastAsia="仿宋_GB2312" w:cs="Times New Roman"/>
                <w:szCs w:val="21"/>
              </w:rPr>
            </w:pPr>
            <w:r>
              <w:rPr>
                <w:rFonts w:hint="eastAsia" w:ascii="仿宋_GB2312" w:eastAsia="仿宋_GB2312"/>
                <w:kern w:val="0"/>
                <w:szCs w:val="21"/>
              </w:rPr>
              <w:t>推动义务教育从数量扩张向质量提高转变</w:t>
            </w:r>
          </w:p>
        </w:tc>
        <w:tc>
          <w:tcPr>
            <w:tcW w:w="1843" w:type="dxa"/>
            <w:shd w:val="clear" w:color="auto" w:fill="auto"/>
            <w:vAlign w:val="center"/>
          </w:tcPr>
          <w:p>
            <w:pPr>
              <w:spacing w:line="300" w:lineRule="exact"/>
              <w:rPr>
                <w:rFonts w:ascii="仿宋_GB2312" w:eastAsia="仿宋_GB2312" w:cs="Times New Roman"/>
                <w:szCs w:val="21"/>
              </w:rPr>
            </w:pPr>
            <w:r>
              <w:rPr>
                <w:rFonts w:hint="eastAsia" w:ascii="仿宋_GB2312" w:eastAsia="仿宋_GB2312" w:cs="Times New Roman"/>
                <w:szCs w:val="21"/>
              </w:rPr>
              <w:t>提高</w:t>
            </w:r>
          </w:p>
        </w:tc>
        <w:tc>
          <w:tcPr>
            <w:tcW w:w="2155" w:type="dxa"/>
            <w:shd w:val="clear" w:color="auto" w:fill="auto"/>
            <w:vAlign w:val="center"/>
          </w:tcPr>
          <w:p>
            <w:pPr>
              <w:spacing w:line="300" w:lineRule="exact"/>
              <w:rPr>
                <w:rFonts w:ascii="仿宋_GB2312" w:eastAsia="仿宋_GB2312" w:cs="Times New Roman"/>
                <w:szCs w:val="21"/>
              </w:rPr>
            </w:pPr>
            <w:r>
              <w:rPr>
                <w:rFonts w:hint="eastAsia" w:ascii="仿宋_GB2312" w:eastAsia="仿宋_GB2312" w:cs="Times New Roman"/>
                <w:szCs w:val="21"/>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20"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widowControl/>
              <w:spacing w:line="240" w:lineRule="exact"/>
              <w:rPr>
                <w:rFonts w:eastAsia="仿宋_GB2312"/>
                <w:kern w:val="0"/>
                <w:sz w:val="24"/>
              </w:rPr>
            </w:pPr>
            <w:r>
              <w:rPr>
                <w:rFonts w:hint="eastAsia" w:eastAsia="仿宋_GB2312"/>
                <w:kern w:val="0"/>
                <w:sz w:val="24"/>
              </w:rPr>
              <w:t>服务对象满意度</w:t>
            </w:r>
          </w:p>
        </w:tc>
        <w:tc>
          <w:tcPr>
            <w:tcW w:w="1985" w:type="dxa"/>
            <w:shd w:val="clear" w:color="auto" w:fill="auto"/>
            <w:vAlign w:val="center"/>
          </w:tcPr>
          <w:p>
            <w:pPr>
              <w:widowControl/>
              <w:spacing w:line="240" w:lineRule="exact"/>
              <w:rPr>
                <w:rFonts w:ascii="仿宋" w:eastAsia="仿宋"/>
                <w:kern w:val="0"/>
                <w:szCs w:val="21"/>
              </w:rPr>
            </w:pPr>
            <w:r>
              <w:rPr>
                <w:rFonts w:hint="eastAsia" w:ascii="仿宋" w:eastAsia="仿宋"/>
                <w:kern w:val="0"/>
                <w:szCs w:val="21"/>
              </w:rPr>
              <w:t>在校师生的满意程度</w:t>
            </w:r>
          </w:p>
        </w:tc>
        <w:tc>
          <w:tcPr>
            <w:tcW w:w="3402" w:type="dxa"/>
            <w:shd w:val="clear" w:color="auto" w:fill="auto"/>
            <w:vAlign w:val="center"/>
          </w:tcPr>
          <w:p>
            <w:pPr>
              <w:widowControl/>
              <w:spacing w:line="240" w:lineRule="exact"/>
              <w:rPr>
                <w:rFonts w:ascii="仿宋" w:eastAsia="仿宋"/>
                <w:kern w:val="0"/>
                <w:szCs w:val="21"/>
              </w:rPr>
            </w:pPr>
            <w:r>
              <w:rPr>
                <w:rFonts w:hint="eastAsia" w:ascii="仿宋" w:eastAsia="仿宋"/>
                <w:kern w:val="0"/>
                <w:szCs w:val="21"/>
              </w:rPr>
              <w:t>在校师生的满意程度</w:t>
            </w:r>
          </w:p>
        </w:tc>
        <w:tc>
          <w:tcPr>
            <w:tcW w:w="1843" w:type="dxa"/>
            <w:shd w:val="clear" w:color="auto" w:fill="auto"/>
            <w:vAlign w:val="center"/>
          </w:tcPr>
          <w:p>
            <w:pPr>
              <w:spacing w:line="240" w:lineRule="exact"/>
              <w:rPr>
                <w:rFonts w:ascii="仿宋" w:eastAsia="仿宋" w:cs="宋体"/>
                <w:color w:val="000000"/>
                <w:szCs w:val="21"/>
              </w:rPr>
            </w:pPr>
            <w:r>
              <w:rPr>
                <w:rFonts w:ascii="仿宋" w:eastAsia="仿宋"/>
                <w:color w:val="000000"/>
                <w:szCs w:val="21"/>
              </w:rPr>
              <w:t>≥</w:t>
            </w:r>
            <w:r>
              <w:rPr>
                <w:rFonts w:hint="eastAsia" w:ascii="仿宋" w:eastAsia="仿宋"/>
                <w:color w:val="000000"/>
                <w:szCs w:val="21"/>
              </w:rPr>
              <w:t>95%</w:t>
            </w:r>
          </w:p>
        </w:tc>
        <w:tc>
          <w:tcPr>
            <w:tcW w:w="2155" w:type="dxa"/>
            <w:shd w:val="clear" w:color="auto" w:fill="auto"/>
            <w:vAlign w:val="center"/>
          </w:tcPr>
          <w:p>
            <w:pPr>
              <w:spacing w:line="240" w:lineRule="exact"/>
              <w:rPr>
                <w:rFonts w:ascii="仿宋" w:eastAsia="仿宋" w:cs="宋体"/>
                <w:color w:val="000000"/>
                <w:szCs w:val="21"/>
              </w:rPr>
            </w:pPr>
            <w:r>
              <w:rPr>
                <w:rFonts w:ascii="仿宋" w:eastAsia="仿宋"/>
                <w:color w:val="000000"/>
                <w:szCs w:val="21"/>
              </w:rPr>
              <w:t>调查问卷</w:t>
            </w:r>
          </w:p>
        </w:tc>
      </w:tr>
    </w:tbl>
    <w:p>
      <w:pPr>
        <w:autoSpaceDE w:val="0"/>
        <w:autoSpaceDN w:val="0"/>
        <w:adjustRightInd w:val="0"/>
        <w:spacing w:line="584" w:lineRule="exact"/>
        <w:ind w:firstLine="880" w:firstLineChars="200"/>
        <w:jc w:val="left"/>
        <w:rPr>
          <w:rFonts w:ascii="Times New Roman" w:hAnsi="Times New Roman" w:eastAsia="黑体" w:cs="Times New Roman"/>
          <w:sz w:val="44"/>
          <w:szCs w:val="44"/>
        </w:rPr>
      </w:pPr>
    </w:p>
    <w:p>
      <w:pPr>
        <w:autoSpaceDE w:val="0"/>
        <w:autoSpaceDN w:val="0"/>
        <w:adjustRightInd w:val="0"/>
        <w:spacing w:line="584" w:lineRule="exact"/>
        <w:ind w:firstLine="480" w:firstLineChars="15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3"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ascii="Times New Roman" w:hAnsi="Times New Roman" w:eastAsia="仿宋_GB2312" w:cs="Times New Roman"/>
          <w:sz w:val="32"/>
          <w:szCs w:val="24"/>
        </w:rPr>
        <w:t>2年，我部门安排政府采购预算</w:t>
      </w:r>
      <w:r>
        <w:rPr>
          <w:rFonts w:hint="eastAsia" w:ascii="Times New Roman" w:hAnsi="Times New Roman" w:eastAsia="仿宋_GB2312" w:cs="Times New Roman"/>
          <w:sz w:val="32"/>
          <w:szCs w:val="24"/>
        </w:rPr>
        <w:t>0</w:t>
      </w:r>
      <w:r>
        <w:rPr>
          <w:rFonts w:ascii="Times New Roman" w:hAnsi="Times New Roman" w:eastAsia="仿宋_GB2312" w:cs="Times New Roman"/>
          <w:sz w:val="32"/>
          <w:szCs w:val="24"/>
        </w:rPr>
        <w:t>万元。具体内容见下表。</w:t>
      </w:r>
    </w:p>
    <w:bookmarkEnd w:id="3"/>
    <w:p>
      <w:pPr>
        <w:jc w:val="center"/>
        <w:outlineLvl w:val="1"/>
        <w:rPr>
          <w:rFonts w:ascii="方正小标宋_GBK" w:eastAsia="方正小标宋_GBK" w:cs="Times New Roman"/>
          <w:sz w:val="32"/>
        </w:rPr>
      </w:pPr>
      <w:bookmarkStart w:id="4" w:name="_Toc64920910"/>
      <w:r>
        <w:rPr>
          <w:rFonts w:hint="eastAsia" w:ascii="方正小标宋_GBK" w:eastAsia="方正小标宋_GBK" w:cs="Times New Roman"/>
          <w:sz w:val="32"/>
        </w:rPr>
        <w:t>部门政府采购预算</w:t>
      </w:r>
      <w:bookmarkEnd w:id="4"/>
    </w:p>
    <w:p>
      <w:pPr>
        <w:outlineLvl w:val="1"/>
        <w:rPr>
          <w:rFonts w:ascii="方正小标宋_GBK" w:eastAsia="方正小标宋_GBK" w:cs="Times New Roman"/>
          <w:sz w:val="32"/>
        </w:rPr>
      </w:pPr>
      <w:r>
        <w:rPr>
          <w:rFonts w:hint="eastAsia"/>
        </w:rPr>
        <w:t>廊坊市</w:t>
      </w:r>
      <w:r>
        <w:t>广阳区教师进修学校                                                                                                 单位：万元</w:t>
      </w:r>
    </w:p>
    <w:tbl>
      <w:tblPr>
        <w:tblStyle w:val="8"/>
        <w:tblW w:w="4997"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006"/>
        <w:gridCol w:w="887"/>
        <w:gridCol w:w="1040"/>
        <w:gridCol w:w="1040"/>
        <w:gridCol w:w="649"/>
        <w:gridCol w:w="780"/>
        <w:gridCol w:w="780"/>
        <w:gridCol w:w="884"/>
        <w:gridCol w:w="884"/>
        <w:gridCol w:w="884"/>
        <w:gridCol w:w="884"/>
        <w:gridCol w:w="884"/>
        <w:gridCol w:w="885"/>
        <w:gridCol w:w="885"/>
        <w:gridCol w:w="908"/>
        <w:gridCol w:w="88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4" w:hRule="atLeast"/>
          <w:tblHeader/>
          <w:jc w:val="center"/>
        </w:trPr>
        <w:tc>
          <w:tcPr>
            <w:tcW w:w="668" w:type="pct"/>
            <w:gridSpan w:val="2"/>
            <w:vAlign w:val="center"/>
          </w:tcPr>
          <w:p>
            <w:pPr>
              <w:pStyle w:val="12"/>
            </w:pPr>
            <w:r>
              <w:t>政府采购项目来源</w:t>
            </w:r>
          </w:p>
        </w:tc>
        <w:tc>
          <w:tcPr>
            <w:tcW w:w="367" w:type="pct"/>
            <w:vMerge w:val="restart"/>
            <w:vAlign w:val="center"/>
          </w:tcPr>
          <w:p>
            <w:pPr>
              <w:pStyle w:val="12"/>
            </w:pPr>
            <w:r>
              <w:t>采购物品名称</w:t>
            </w:r>
          </w:p>
        </w:tc>
        <w:tc>
          <w:tcPr>
            <w:tcW w:w="367" w:type="pct"/>
            <w:vMerge w:val="restart"/>
            <w:vAlign w:val="center"/>
          </w:tcPr>
          <w:p>
            <w:pPr>
              <w:pStyle w:val="12"/>
            </w:pPr>
            <w:r>
              <w:t>政府采购目录序号</w:t>
            </w:r>
          </w:p>
        </w:tc>
        <w:tc>
          <w:tcPr>
            <w:tcW w:w="229" w:type="pct"/>
            <w:vMerge w:val="restart"/>
            <w:vAlign w:val="center"/>
          </w:tcPr>
          <w:p>
            <w:pPr>
              <w:pStyle w:val="12"/>
            </w:pPr>
            <w:r>
              <w:t>计量  单位</w:t>
            </w:r>
          </w:p>
        </w:tc>
        <w:tc>
          <w:tcPr>
            <w:tcW w:w="275" w:type="pct"/>
            <w:vMerge w:val="restart"/>
            <w:vAlign w:val="center"/>
          </w:tcPr>
          <w:p>
            <w:pPr>
              <w:pStyle w:val="12"/>
            </w:pPr>
            <w:r>
              <w:t>数量</w:t>
            </w:r>
          </w:p>
        </w:tc>
        <w:tc>
          <w:tcPr>
            <w:tcW w:w="275" w:type="pct"/>
            <w:vMerge w:val="restart"/>
            <w:vAlign w:val="center"/>
          </w:tcPr>
          <w:p>
            <w:pPr>
              <w:pStyle w:val="12"/>
            </w:pPr>
            <w:r>
              <w:t>单价</w:t>
            </w:r>
          </w:p>
        </w:tc>
        <w:tc>
          <w:tcPr>
            <w:tcW w:w="2504" w:type="pct"/>
            <w:gridSpan w:val="8"/>
            <w:vAlign w:val="center"/>
          </w:tcPr>
          <w:p>
            <w:pPr>
              <w:pStyle w:val="12"/>
            </w:pPr>
            <w:r>
              <w:t>政府采购金额（当年部门预算安排资金）</w:t>
            </w:r>
          </w:p>
        </w:tc>
        <w:tc>
          <w:tcPr>
            <w:tcW w:w="312" w:type="pct"/>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402" w:hRule="atLeast"/>
          <w:tblHeader/>
          <w:jc w:val="center"/>
        </w:trPr>
        <w:tc>
          <w:tcPr>
            <w:tcW w:w="355" w:type="pct"/>
            <w:vAlign w:val="center"/>
          </w:tcPr>
          <w:p>
            <w:pPr>
              <w:pStyle w:val="12"/>
            </w:pPr>
            <w:r>
              <w:t>项目名称</w:t>
            </w:r>
          </w:p>
        </w:tc>
        <w:tc>
          <w:tcPr>
            <w:tcW w:w="313" w:type="pct"/>
            <w:vAlign w:val="center"/>
          </w:tcPr>
          <w:p>
            <w:pPr>
              <w:pStyle w:val="12"/>
            </w:pPr>
            <w:r>
              <w:t>预算    资金</w:t>
            </w:r>
          </w:p>
        </w:tc>
        <w:tc>
          <w:tcPr>
            <w:tcW w:w="367" w:type="pct"/>
            <w:vMerge w:val="continue"/>
          </w:tcPr>
          <w:p/>
        </w:tc>
        <w:tc>
          <w:tcPr>
            <w:tcW w:w="367" w:type="pct"/>
            <w:vMerge w:val="continue"/>
          </w:tcPr>
          <w:p/>
        </w:tc>
        <w:tc>
          <w:tcPr>
            <w:tcW w:w="229" w:type="pct"/>
            <w:vMerge w:val="continue"/>
          </w:tcPr>
          <w:p/>
        </w:tc>
        <w:tc>
          <w:tcPr>
            <w:tcW w:w="275" w:type="pct"/>
            <w:vMerge w:val="continue"/>
          </w:tcPr>
          <w:p/>
        </w:tc>
        <w:tc>
          <w:tcPr>
            <w:tcW w:w="275" w:type="pct"/>
            <w:vMerge w:val="continue"/>
          </w:tcPr>
          <w:p/>
        </w:tc>
        <w:tc>
          <w:tcPr>
            <w:tcW w:w="312" w:type="pct"/>
            <w:vAlign w:val="center"/>
          </w:tcPr>
          <w:p>
            <w:pPr>
              <w:pStyle w:val="12"/>
            </w:pPr>
            <w:r>
              <w:t>合计</w:t>
            </w:r>
          </w:p>
        </w:tc>
        <w:tc>
          <w:tcPr>
            <w:tcW w:w="312" w:type="pct"/>
            <w:vAlign w:val="center"/>
          </w:tcPr>
          <w:p>
            <w:pPr>
              <w:pStyle w:val="12"/>
            </w:pPr>
            <w:r>
              <w:t>一般公共预算拨款</w:t>
            </w:r>
          </w:p>
        </w:tc>
        <w:tc>
          <w:tcPr>
            <w:tcW w:w="312" w:type="pct"/>
            <w:vAlign w:val="center"/>
          </w:tcPr>
          <w:p>
            <w:pPr>
              <w:pStyle w:val="12"/>
            </w:pPr>
            <w:r>
              <w:t>基金预算拨款</w:t>
            </w:r>
          </w:p>
        </w:tc>
        <w:tc>
          <w:tcPr>
            <w:tcW w:w="312" w:type="pct"/>
            <w:vAlign w:val="center"/>
          </w:tcPr>
          <w:p>
            <w:pPr>
              <w:pStyle w:val="12"/>
            </w:pPr>
            <w:r>
              <w:t>国有资本经营预算拨款</w:t>
            </w:r>
          </w:p>
        </w:tc>
        <w:tc>
          <w:tcPr>
            <w:tcW w:w="312" w:type="pct"/>
            <w:vAlign w:val="center"/>
          </w:tcPr>
          <w:p>
            <w:pPr>
              <w:pStyle w:val="12"/>
            </w:pPr>
            <w:r>
              <w:t>财政专户核拨</w:t>
            </w:r>
          </w:p>
        </w:tc>
        <w:tc>
          <w:tcPr>
            <w:tcW w:w="312" w:type="pct"/>
            <w:vAlign w:val="center"/>
          </w:tcPr>
          <w:p>
            <w:pPr>
              <w:pStyle w:val="12"/>
            </w:pPr>
            <w:r>
              <w:t>单位    资金</w:t>
            </w:r>
          </w:p>
        </w:tc>
        <w:tc>
          <w:tcPr>
            <w:tcW w:w="312" w:type="pct"/>
            <w:vAlign w:val="center"/>
          </w:tcPr>
          <w:p>
            <w:pPr>
              <w:pStyle w:val="12"/>
            </w:pPr>
            <w:r>
              <w:t>财政拨    款结转</w:t>
            </w:r>
          </w:p>
        </w:tc>
        <w:tc>
          <w:tcPr>
            <w:tcW w:w="318" w:type="pct"/>
            <w:vAlign w:val="center"/>
          </w:tcPr>
          <w:p>
            <w:pPr>
              <w:pStyle w:val="12"/>
            </w:pPr>
            <w:r>
              <w:t>非财政    拨款结    转结余</w:t>
            </w:r>
          </w:p>
        </w:tc>
        <w:tc>
          <w:tcPr>
            <w:tcW w:w="312"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4" w:hRule="atLeast"/>
          <w:jc w:val="center"/>
        </w:trPr>
        <w:tc>
          <w:tcPr>
            <w:tcW w:w="355" w:type="pct"/>
            <w:vAlign w:val="center"/>
          </w:tcPr>
          <w:p>
            <w:pPr>
              <w:pStyle w:val="16"/>
            </w:pPr>
            <w:r>
              <w:t>合  计</w:t>
            </w:r>
          </w:p>
        </w:tc>
        <w:tc>
          <w:tcPr>
            <w:tcW w:w="313" w:type="pct"/>
            <w:vAlign w:val="center"/>
          </w:tcPr>
          <w:p>
            <w:pPr>
              <w:pStyle w:val="17"/>
            </w:pPr>
          </w:p>
        </w:tc>
        <w:tc>
          <w:tcPr>
            <w:tcW w:w="367" w:type="pct"/>
            <w:vAlign w:val="center"/>
          </w:tcPr>
          <w:p>
            <w:pPr>
              <w:pStyle w:val="18"/>
            </w:pPr>
          </w:p>
        </w:tc>
        <w:tc>
          <w:tcPr>
            <w:tcW w:w="367" w:type="pct"/>
            <w:vAlign w:val="center"/>
          </w:tcPr>
          <w:p>
            <w:pPr>
              <w:pStyle w:val="18"/>
            </w:pPr>
          </w:p>
        </w:tc>
        <w:tc>
          <w:tcPr>
            <w:tcW w:w="229" w:type="pct"/>
            <w:vAlign w:val="center"/>
          </w:tcPr>
          <w:p>
            <w:pPr>
              <w:pStyle w:val="16"/>
            </w:pPr>
          </w:p>
        </w:tc>
        <w:tc>
          <w:tcPr>
            <w:tcW w:w="275" w:type="pct"/>
            <w:vAlign w:val="center"/>
          </w:tcPr>
          <w:p>
            <w:pPr>
              <w:pStyle w:val="17"/>
            </w:pPr>
          </w:p>
        </w:tc>
        <w:tc>
          <w:tcPr>
            <w:tcW w:w="275" w:type="pct"/>
            <w:vAlign w:val="center"/>
          </w:tcPr>
          <w:p>
            <w:pPr>
              <w:pStyle w:val="17"/>
            </w:pPr>
          </w:p>
        </w:tc>
        <w:tc>
          <w:tcPr>
            <w:tcW w:w="312" w:type="pct"/>
            <w:vAlign w:val="center"/>
          </w:tcPr>
          <w:p>
            <w:pPr>
              <w:pStyle w:val="17"/>
            </w:pPr>
          </w:p>
        </w:tc>
        <w:tc>
          <w:tcPr>
            <w:tcW w:w="312" w:type="pct"/>
            <w:vAlign w:val="center"/>
          </w:tcPr>
          <w:p>
            <w:pPr>
              <w:pStyle w:val="17"/>
            </w:pPr>
          </w:p>
        </w:tc>
        <w:tc>
          <w:tcPr>
            <w:tcW w:w="312" w:type="pct"/>
            <w:vAlign w:val="center"/>
          </w:tcPr>
          <w:p>
            <w:pPr>
              <w:pStyle w:val="17"/>
            </w:pPr>
          </w:p>
        </w:tc>
        <w:tc>
          <w:tcPr>
            <w:tcW w:w="312" w:type="pct"/>
            <w:vAlign w:val="center"/>
          </w:tcPr>
          <w:p>
            <w:pPr>
              <w:pStyle w:val="17"/>
            </w:pPr>
          </w:p>
        </w:tc>
        <w:tc>
          <w:tcPr>
            <w:tcW w:w="312" w:type="pct"/>
            <w:vAlign w:val="center"/>
          </w:tcPr>
          <w:p>
            <w:pPr>
              <w:pStyle w:val="17"/>
            </w:pPr>
          </w:p>
        </w:tc>
        <w:tc>
          <w:tcPr>
            <w:tcW w:w="312" w:type="pct"/>
            <w:vAlign w:val="center"/>
          </w:tcPr>
          <w:p>
            <w:pPr>
              <w:pStyle w:val="17"/>
            </w:pPr>
          </w:p>
        </w:tc>
        <w:tc>
          <w:tcPr>
            <w:tcW w:w="312" w:type="pct"/>
            <w:vAlign w:val="center"/>
          </w:tcPr>
          <w:p>
            <w:pPr>
              <w:pStyle w:val="17"/>
            </w:pPr>
          </w:p>
        </w:tc>
        <w:tc>
          <w:tcPr>
            <w:tcW w:w="318" w:type="pct"/>
            <w:vAlign w:val="center"/>
          </w:tcPr>
          <w:p>
            <w:pPr>
              <w:pStyle w:val="17"/>
            </w:pPr>
          </w:p>
        </w:tc>
        <w:tc>
          <w:tcPr>
            <w:tcW w:w="312"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0" w:hRule="atLeast"/>
          <w:jc w:val="center"/>
        </w:trPr>
        <w:tc>
          <w:tcPr>
            <w:tcW w:w="355" w:type="pct"/>
            <w:vAlign w:val="center"/>
          </w:tcPr>
          <w:p>
            <w:pPr>
              <w:pStyle w:val="16"/>
            </w:pPr>
          </w:p>
        </w:tc>
        <w:tc>
          <w:tcPr>
            <w:tcW w:w="313" w:type="pct"/>
            <w:vAlign w:val="center"/>
          </w:tcPr>
          <w:p>
            <w:pPr>
              <w:pStyle w:val="17"/>
            </w:pPr>
          </w:p>
        </w:tc>
        <w:tc>
          <w:tcPr>
            <w:tcW w:w="367" w:type="pct"/>
            <w:vAlign w:val="center"/>
          </w:tcPr>
          <w:p>
            <w:pPr>
              <w:pStyle w:val="18"/>
            </w:pPr>
          </w:p>
        </w:tc>
        <w:tc>
          <w:tcPr>
            <w:tcW w:w="367" w:type="pct"/>
            <w:vAlign w:val="center"/>
          </w:tcPr>
          <w:p>
            <w:pPr>
              <w:pStyle w:val="18"/>
            </w:pPr>
          </w:p>
        </w:tc>
        <w:tc>
          <w:tcPr>
            <w:tcW w:w="229" w:type="pct"/>
            <w:vAlign w:val="center"/>
          </w:tcPr>
          <w:p>
            <w:pPr>
              <w:pStyle w:val="16"/>
            </w:pPr>
          </w:p>
        </w:tc>
        <w:tc>
          <w:tcPr>
            <w:tcW w:w="275" w:type="pct"/>
            <w:vAlign w:val="center"/>
          </w:tcPr>
          <w:p>
            <w:pPr>
              <w:pStyle w:val="17"/>
            </w:pPr>
          </w:p>
        </w:tc>
        <w:tc>
          <w:tcPr>
            <w:tcW w:w="275" w:type="pct"/>
            <w:vAlign w:val="center"/>
          </w:tcPr>
          <w:p>
            <w:pPr>
              <w:pStyle w:val="17"/>
            </w:pPr>
          </w:p>
        </w:tc>
        <w:tc>
          <w:tcPr>
            <w:tcW w:w="312" w:type="pct"/>
            <w:vAlign w:val="center"/>
          </w:tcPr>
          <w:p>
            <w:pPr>
              <w:pStyle w:val="17"/>
            </w:pPr>
          </w:p>
        </w:tc>
        <w:tc>
          <w:tcPr>
            <w:tcW w:w="312" w:type="pct"/>
            <w:vAlign w:val="center"/>
          </w:tcPr>
          <w:p>
            <w:pPr>
              <w:pStyle w:val="17"/>
            </w:pPr>
          </w:p>
        </w:tc>
        <w:tc>
          <w:tcPr>
            <w:tcW w:w="312" w:type="pct"/>
            <w:vAlign w:val="center"/>
          </w:tcPr>
          <w:p>
            <w:pPr>
              <w:pStyle w:val="17"/>
            </w:pPr>
          </w:p>
        </w:tc>
        <w:tc>
          <w:tcPr>
            <w:tcW w:w="312" w:type="pct"/>
            <w:vAlign w:val="center"/>
          </w:tcPr>
          <w:p>
            <w:pPr>
              <w:pStyle w:val="17"/>
            </w:pPr>
          </w:p>
        </w:tc>
        <w:tc>
          <w:tcPr>
            <w:tcW w:w="312" w:type="pct"/>
            <w:vAlign w:val="center"/>
          </w:tcPr>
          <w:p>
            <w:pPr>
              <w:pStyle w:val="17"/>
            </w:pPr>
          </w:p>
        </w:tc>
        <w:tc>
          <w:tcPr>
            <w:tcW w:w="312" w:type="pct"/>
            <w:vAlign w:val="center"/>
          </w:tcPr>
          <w:p>
            <w:pPr>
              <w:pStyle w:val="17"/>
            </w:pPr>
          </w:p>
        </w:tc>
        <w:tc>
          <w:tcPr>
            <w:tcW w:w="312" w:type="pct"/>
            <w:vAlign w:val="center"/>
          </w:tcPr>
          <w:p>
            <w:pPr>
              <w:pStyle w:val="17"/>
            </w:pPr>
          </w:p>
        </w:tc>
        <w:tc>
          <w:tcPr>
            <w:tcW w:w="318" w:type="pct"/>
            <w:vAlign w:val="center"/>
          </w:tcPr>
          <w:p>
            <w:pPr>
              <w:pStyle w:val="17"/>
            </w:pPr>
          </w:p>
        </w:tc>
        <w:tc>
          <w:tcPr>
            <w:tcW w:w="312" w:type="pct"/>
            <w:vAlign w:val="center"/>
          </w:tcPr>
          <w:p>
            <w:pPr>
              <w:pStyle w:val="17"/>
            </w:pPr>
          </w:p>
        </w:tc>
      </w:tr>
    </w:tbl>
    <w:p>
      <w:pPr>
        <w:spacing w:line="500" w:lineRule="exact"/>
        <w:ind w:firstLine="420"/>
        <w:rPr>
          <w:rFonts w:ascii="方正仿宋_GBK" w:eastAsia="方正仿宋_GBK" w:cs="方正仿宋_GBK"/>
          <w:color w:val="000000"/>
        </w:rPr>
      </w:pPr>
      <w:r>
        <w:rPr>
          <w:rFonts w:ascii="方正仿宋_GBK" w:eastAsia="方正仿宋_GBK" w:cs="方正仿宋_GBK"/>
          <w:color w:val="000000"/>
        </w:rPr>
        <w:t>注：同一采购目录序号的物品，其单价会因配置规格不同而变动，均符合资产配置标准。涉密采购事项按照相关规定执行。</w:t>
      </w:r>
    </w:p>
    <w:p>
      <w:pPr>
        <w:spacing w:line="500" w:lineRule="exact"/>
        <w:ind w:firstLine="420"/>
        <w:rPr>
          <w:rFonts w:ascii="方正仿宋_GBK" w:eastAsia="方正仿宋_GBK" w:cs="方正仿宋_GBK"/>
          <w:color w:val="000000"/>
        </w:rPr>
      </w:pPr>
    </w:p>
    <w:p>
      <w:pPr>
        <w:spacing w:line="500" w:lineRule="exact"/>
        <w:ind w:firstLine="420"/>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廊坊市广阳区教师进修学校上年末固定资产金额为</w:t>
      </w:r>
      <w:r>
        <w:rPr>
          <w:rFonts w:hint="eastAsia" w:ascii="Times New Roman" w:hAnsi="Times New Roman" w:eastAsia="仿宋_GB2312" w:cs="Times New Roman"/>
          <w:sz w:val="32"/>
          <w:szCs w:val="32"/>
        </w:rPr>
        <w:t>36.26</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总额为0万元。</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廊坊市广阳区教师进修学校固定资产占用情况表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编制部门：廊坊市广阳区教师进修学校</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ascii="Times New Roman" w:hAnsi="Times New Roman" w:eastAsia="仿宋_GB2312" w:cs="Times New Roman"/>
                <w:kern w:val="0"/>
                <w:sz w:val="22"/>
              </w:rPr>
              <w:t xml:space="preserve">1年12月31日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36.26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36.26</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书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仿宋_GBK">
    <w:altName w:val="黑体"/>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黑体"/>
    <w:panose1 w:val="00000000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2</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DFF"/>
    <w:rsid w:val="00385034"/>
    <w:rsid w:val="004B1C8A"/>
    <w:rsid w:val="0082095E"/>
    <w:rsid w:val="0096699B"/>
    <w:rsid w:val="00992667"/>
    <w:rsid w:val="00B108F3"/>
    <w:rsid w:val="00C3175A"/>
    <w:rsid w:val="00D86DFF"/>
    <w:rsid w:val="00EC4921"/>
    <w:rsid w:val="00FB59DC"/>
    <w:rsid w:val="117F4C96"/>
    <w:rsid w:val="2A0D36CE"/>
    <w:rsid w:val="2AD87D83"/>
    <w:rsid w:val="3007230D"/>
    <w:rsid w:val="46C50509"/>
    <w:rsid w:val="7C83528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nhideWhenUsed="0" w:uiPriority="0" w:semiHidden="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semiHidden="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单元格样式1"/>
    <w:basedOn w:val="1"/>
    <w:qFormat/>
    <w:uiPriority w:val="0"/>
    <w:pPr>
      <w:widowControl/>
      <w:jc w:val="center"/>
    </w:pPr>
    <w:rPr>
      <w:rFonts w:ascii="方正书宋_GBK" w:eastAsia="方正书宋_GBK" w:cs="方正书宋_GBK"/>
      <w:b/>
      <w:kern w:val="0"/>
      <w:szCs w:val="24"/>
      <w:lang w:eastAsia="uk-UA"/>
    </w:rPr>
  </w:style>
  <w:style w:type="paragraph" w:customStyle="1" w:styleId="13">
    <w:name w:val="单元格样式4"/>
    <w:basedOn w:val="1"/>
    <w:qFormat/>
    <w:uiPriority w:val="0"/>
    <w:pPr>
      <w:widowControl/>
      <w:jc w:val="right"/>
    </w:pPr>
    <w:rPr>
      <w:rFonts w:ascii="方正书宋_GBK" w:eastAsia="方正书宋_GBK" w:cs="方正书宋_GBK"/>
      <w:kern w:val="0"/>
      <w:szCs w:val="24"/>
      <w:lang w:eastAsia="uk-UA"/>
    </w:rPr>
  </w:style>
  <w:style w:type="paragraph" w:customStyle="1" w:styleId="14">
    <w:name w:val="单元格样式2"/>
    <w:basedOn w:val="1"/>
    <w:qFormat/>
    <w:uiPriority w:val="0"/>
    <w:pPr>
      <w:widowControl/>
      <w:jc w:val="left"/>
    </w:pPr>
    <w:rPr>
      <w:rFonts w:ascii="方正书宋_GBK" w:eastAsia="方正书宋_GBK" w:cs="方正书宋_GBK"/>
      <w:kern w:val="0"/>
      <w:szCs w:val="24"/>
      <w:lang w:eastAsia="uk-UA"/>
    </w:rPr>
  </w:style>
  <w:style w:type="paragraph" w:customStyle="1" w:styleId="15">
    <w:name w:val="单元格样式3"/>
    <w:basedOn w:val="1"/>
    <w:qFormat/>
    <w:uiPriority w:val="0"/>
    <w:pPr>
      <w:widowControl/>
      <w:jc w:val="center"/>
    </w:pPr>
    <w:rPr>
      <w:rFonts w:ascii="方正书宋_GBK" w:eastAsia="方正书宋_GBK" w:cs="方正书宋_GBK"/>
      <w:kern w:val="0"/>
      <w:szCs w:val="24"/>
      <w:lang w:eastAsia="uk-UA"/>
    </w:rPr>
  </w:style>
  <w:style w:type="paragraph" w:customStyle="1" w:styleId="16">
    <w:name w:val="单元格样式6"/>
    <w:basedOn w:val="1"/>
    <w:qFormat/>
    <w:uiPriority w:val="0"/>
    <w:pPr>
      <w:widowControl/>
      <w:jc w:val="center"/>
    </w:pPr>
    <w:rPr>
      <w:rFonts w:ascii="方正书宋_GBK" w:eastAsia="方正书宋_GBK" w:cs="方正书宋_GBK"/>
      <w:b/>
      <w:kern w:val="0"/>
      <w:szCs w:val="24"/>
      <w:lang w:eastAsia="uk-UA"/>
    </w:rPr>
  </w:style>
  <w:style w:type="paragraph" w:customStyle="1" w:styleId="17">
    <w:name w:val="单元格样式7"/>
    <w:basedOn w:val="1"/>
    <w:qFormat/>
    <w:uiPriority w:val="0"/>
    <w:pPr>
      <w:widowControl/>
      <w:jc w:val="right"/>
    </w:pPr>
    <w:rPr>
      <w:rFonts w:ascii="方正书宋_GBK" w:eastAsia="方正书宋_GBK" w:cs="方正书宋_GBK"/>
      <w:b/>
      <w:kern w:val="0"/>
      <w:szCs w:val="24"/>
      <w:lang w:eastAsia="uk-UA"/>
    </w:rPr>
  </w:style>
  <w:style w:type="paragraph" w:customStyle="1" w:styleId="18">
    <w:name w:val="单元格样式5"/>
    <w:basedOn w:val="1"/>
    <w:qFormat/>
    <w:uiPriority w:val="0"/>
    <w:pPr>
      <w:widowControl/>
      <w:jc w:val="left"/>
    </w:pPr>
    <w:rPr>
      <w:rFonts w:ascii="方正书宋_GBK" w:eastAsia="方正书宋_GBK" w:cs="方正书宋_GBK"/>
      <w:b/>
      <w:kern w:val="0"/>
      <w:szCs w:val="24"/>
      <w:lang w:eastAsia="uk-UA"/>
    </w:rPr>
  </w:style>
  <w:style w:type="paragraph" w:customStyle="1" w:styleId="19">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749</Words>
  <Characters>4273</Characters>
  <Lines>35</Lines>
  <Paragraphs>10</Paragraphs>
  <TotalTime>0</TotalTime>
  <ScaleCrop>false</ScaleCrop>
  <LinksUpToDate>false</LinksUpToDate>
  <CharactersWithSpaces>5012</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lenovo</cp:lastModifiedBy>
  <cp:lastPrinted>2018-01-30T06:12:00Z</cp:lastPrinted>
  <dcterms:modified xsi:type="dcterms:W3CDTF">2022-07-07T01:31:52Z</dcterms:modified>
  <cp:revision>109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678A981B7229485C8C176B0C0F237D49</vt:lpwstr>
  </property>
</Properties>
</file>