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textAlignment w:val="baseline"/>
        <w:rPr>
          <w:rFonts w:ascii="Times New Roman" w:hAnsi="Times New Roman" w:eastAsia="仿宋_GB2312" w:cs="Times New Roman"/>
          <w:sz w:val="44"/>
          <w:szCs w:val="44"/>
        </w:rPr>
      </w:pPr>
    </w:p>
    <w:p>
      <w:pPr>
        <w:spacing w:line="584" w:lineRule="exact"/>
        <w:ind w:firstLine="880" w:firstLineChars="200"/>
        <w:jc w:val="center"/>
        <w:textAlignment w:val="baseline"/>
        <w:rPr>
          <w:rFonts w:ascii="Times New Roman" w:hAnsi="Times New Roman" w:eastAsia="仿宋_GB2312" w:cs="Times New Roman"/>
          <w:sz w:val="44"/>
          <w:szCs w:val="44"/>
        </w:rPr>
      </w:pPr>
    </w:p>
    <w:p>
      <w:pPr>
        <w:spacing w:line="584" w:lineRule="exact"/>
        <w:ind w:firstLine="880" w:firstLineChars="200"/>
        <w:jc w:val="center"/>
        <w:textAlignment w:val="baseline"/>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bookmarkStart w:id="8" w:name="_GoBack"/>
      <w:r>
        <w:rPr>
          <w:rFonts w:hint="eastAsia" w:ascii="Times New Roman" w:hAnsi="Times New Roman" w:eastAsia="方正小标宋简体" w:cs="Times New Roman"/>
          <w:sz w:val="44"/>
          <w:szCs w:val="44"/>
        </w:rPr>
        <w:t>第九中学</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2年部门预算信息公开</w:t>
      </w:r>
      <w:r>
        <w:rPr>
          <w:rFonts w:hint="eastAsia" w:ascii="Times New Roman" w:hAnsi="Times New Roman" w:eastAsia="方正小标宋简体" w:cs="Times New Roman"/>
          <w:sz w:val="44"/>
          <w:szCs w:val="44"/>
        </w:rPr>
        <w:t>情况说明</w:t>
      </w:r>
      <w:bookmarkEnd w:id="8"/>
    </w:p>
    <w:p>
      <w:pPr>
        <w:spacing w:line="584" w:lineRule="exact"/>
        <w:ind w:firstLine="880" w:firstLineChars="200"/>
        <w:jc w:val="center"/>
        <w:textAlignment w:val="baseline"/>
        <w:rPr>
          <w:rFonts w:ascii="Times New Roman" w:hAnsi="Times New Roman" w:eastAsia="仿宋_GB2312" w:cs="Times New Roman"/>
          <w:sz w:val="44"/>
          <w:szCs w:val="44"/>
        </w:rPr>
      </w:pPr>
    </w:p>
    <w:p>
      <w:pPr>
        <w:spacing w:line="584" w:lineRule="exact"/>
        <w:ind w:firstLine="640" w:firstLineChars="200"/>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第九中学</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spacing w:line="584" w:lineRule="exact"/>
        <w:ind w:firstLine="640" w:firstLineChars="200"/>
        <w:textAlignment w:val="baseline"/>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textAlignment w:val="baseline"/>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firstLineChars="200"/>
        <w:textAlignment w:val="baseline"/>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廊坊市第九中学于2000年建校，为国家教育部允许建立的一所义务教育学校。现有在编在岗教师116人，在校学生一千多人。为促进教育公平和学生素质提高，国家完善政策，对我校学生进行初中学历及学生综合素质的培养，促进义务教育发展。</w:t>
      </w:r>
    </w:p>
    <w:p>
      <w:pPr>
        <w:spacing w:line="584" w:lineRule="exact"/>
        <w:ind w:firstLine="630" w:firstLineChars="196"/>
        <w:jc w:val="left"/>
        <w:textAlignment w:val="baseline"/>
        <w:rPr>
          <w:rFonts w:ascii="Times New Roman" w:hAnsi="Times New Roman" w:eastAsia="楷体_GB2312" w:cs="Times New Roman"/>
          <w:b/>
          <w:sz w:val="32"/>
          <w:szCs w:val="32"/>
        </w:rPr>
      </w:pPr>
    </w:p>
    <w:p>
      <w:pPr>
        <w:spacing w:line="584" w:lineRule="exact"/>
        <w:ind w:firstLine="630" w:firstLineChars="196"/>
        <w:jc w:val="left"/>
        <w:textAlignment w:val="baseline"/>
        <w:rPr>
          <w:rFonts w:ascii="Times New Roman" w:hAnsi="Times New Roman" w:eastAsia="楷体_GB2312" w:cs="Times New Roman"/>
          <w:b/>
          <w:sz w:val="32"/>
          <w:szCs w:val="32"/>
        </w:rPr>
      </w:pPr>
    </w:p>
    <w:p>
      <w:pPr>
        <w:spacing w:line="584" w:lineRule="exact"/>
        <w:ind w:firstLine="630" w:firstLineChars="196"/>
        <w:jc w:val="left"/>
        <w:textAlignment w:val="baseline"/>
        <w:rPr>
          <w:rFonts w:ascii="Times New Roman" w:hAnsi="Times New Roman" w:eastAsia="楷体_GB2312" w:cs="Times New Roman"/>
          <w:b/>
          <w:sz w:val="32"/>
          <w:szCs w:val="32"/>
        </w:rPr>
      </w:pPr>
    </w:p>
    <w:p>
      <w:pPr>
        <w:spacing w:line="584" w:lineRule="exact"/>
        <w:ind w:firstLine="630" w:firstLineChars="196"/>
        <w:jc w:val="left"/>
        <w:textAlignment w:val="baseline"/>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textAlignment w:val="baseline"/>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textAlignment w:val="baseline"/>
              <w:rPr>
                <w:rFonts w:ascii="Times New Roman" w:hAnsi="Times New Roman" w:eastAsia="仿宋_GB2312" w:cs="Times New Roman"/>
                <w:b/>
                <w:sz w:val="20"/>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textAlignment w:val="baseline"/>
              <w:rPr>
                <w:rFonts w:ascii="Times New Roman" w:hAnsi="Times New Roman" w:eastAsia="仿宋_GB2312" w:cs="Times New Roman"/>
                <w:b/>
                <w:sz w:val="20"/>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textAlignment w:val="baseline"/>
              <w:rPr>
                <w:rFonts w:ascii="Times New Roman" w:hAnsi="Times New Roman" w:eastAsia="仿宋_GB2312" w:cs="Times New Roman"/>
                <w:b/>
                <w:sz w:val="20"/>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textAlignment w:val="baseline"/>
              <w:rPr>
                <w:rFonts w:ascii="Times New Roman" w:hAnsi="Times New Roman" w:eastAsia="仿宋_GB2312" w:cs="Times New Roman"/>
                <w:b/>
                <w:sz w:val="20"/>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textAlignment w:val="baseline"/>
              <w:rPr>
                <w:b/>
                <w:i/>
                <w:caps/>
              </w:rPr>
            </w:pPr>
          </w:p>
        </w:tc>
        <w:tc>
          <w:tcPr>
            <w:tcW w:w="1134" w:type="dxa"/>
            <w:vMerge w:val="continue"/>
            <w:shd w:val="clear" w:color="auto" w:fill="auto"/>
            <w:vAlign w:val="center"/>
          </w:tcPr>
          <w:p>
            <w:pPr>
              <w:textAlignment w:val="baseline"/>
              <w:rPr>
                <w:b/>
                <w:i/>
                <w:caps/>
              </w:rPr>
            </w:pPr>
          </w:p>
        </w:tc>
        <w:tc>
          <w:tcPr>
            <w:tcW w:w="1276" w:type="dxa"/>
            <w:vMerge w:val="continue"/>
            <w:shd w:val="clear" w:color="auto" w:fill="auto"/>
            <w:vAlign w:val="center"/>
          </w:tcPr>
          <w:p>
            <w:pPr>
              <w:textAlignment w:val="baseline"/>
              <w:rPr>
                <w:b/>
                <w:i/>
                <w:caps/>
              </w:rPr>
            </w:pPr>
          </w:p>
        </w:tc>
        <w:tc>
          <w:tcPr>
            <w:tcW w:w="2902" w:type="dxa"/>
            <w:vMerge w:val="continue"/>
            <w:shd w:val="clear" w:color="auto" w:fill="auto"/>
            <w:vAlign w:val="center"/>
          </w:tcPr>
          <w:p>
            <w:pPr>
              <w:textAlignment w:val="baseline"/>
              <w:rPr>
                <w:b/>
                <w:i/>
                <w:cap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textAlignment w:val="baseline"/>
              <w:rPr>
                <w:rFonts w:ascii="Times New Roman" w:hAnsi="Times New Roman" w:eastAsia="仿宋_GB2312" w:cs="Times New Roman"/>
                <w:b/>
                <w:sz w:val="20"/>
              </w:rPr>
            </w:pPr>
            <w:r>
              <w:rPr>
                <w:rFonts w:hint="eastAsia" w:ascii="Times New Roman" w:hAnsi="Times New Roman" w:eastAsia="仿宋_GB2312" w:cs="Times New Roman"/>
                <w:b/>
              </w:rPr>
              <w:t>廊坊市第九中学</w:t>
            </w:r>
          </w:p>
        </w:tc>
        <w:tc>
          <w:tcPr>
            <w:tcW w:w="1134" w:type="dxa"/>
            <w:shd w:val="clear" w:color="auto" w:fill="auto"/>
            <w:vAlign w:val="center"/>
          </w:tcPr>
          <w:p>
            <w:pPr>
              <w:spacing w:line="584" w:lineRule="exact"/>
              <w:jc w:val="center"/>
              <w:textAlignment w:val="baseline"/>
              <w:rPr>
                <w:rFonts w:ascii="Times New Roman" w:hAnsi="Times New Roman" w:eastAsia="仿宋_GB2312" w:cs="Times New Roman"/>
                <w:b/>
                <w:sz w:val="20"/>
              </w:rPr>
            </w:pPr>
            <w:r>
              <w:rPr>
                <w:rFonts w:hint="eastAsia" w:ascii="Times New Roman" w:hAnsi="Times New Roman" w:eastAsia="仿宋_GB2312" w:cs="Times New Roman"/>
                <w:b/>
              </w:rPr>
              <w:t>全额事业</w:t>
            </w:r>
          </w:p>
        </w:tc>
        <w:tc>
          <w:tcPr>
            <w:tcW w:w="1276" w:type="dxa"/>
            <w:shd w:val="clear" w:color="auto" w:fill="auto"/>
            <w:vAlign w:val="center"/>
          </w:tcPr>
          <w:p>
            <w:pPr>
              <w:spacing w:line="584" w:lineRule="exact"/>
              <w:jc w:val="center"/>
              <w:textAlignment w:val="baseline"/>
              <w:rPr>
                <w:rFonts w:ascii="Times New Roman" w:hAnsi="Times New Roman" w:eastAsia="仿宋_GB2312" w:cs="Times New Roman"/>
                <w:b/>
                <w:sz w:val="20"/>
              </w:rPr>
            </w:pPr>
            <w:r>
              <w:rPr>
                <w:rFonts w:hint="eastAsia" w:ascii="Times New Roman" w:hAnsi="Times New Roman" w:eastAsia="仿宋_GB2312" w:cs="Times New Roman"/>
                <w:b/>
              </w:rPr>
              <w:t>副科级</w:t>
            </w:r>
          </w:p>
        </w:tc>
        <w:tc>
          <w:tcPr>
            <w:tcW w:w="2902" w:type="dxa"/>
            <w:shd w:val="clear" w:color="auto" w:fill="auto"/>
            <w:vAlign w:val="center"/>
          </w:tcPr>
          <w:p>
            <w:pPr>
              <w:spacing w:line="584" w:lineRule="exact"/>
              <w:jc w:val="center"/>
              <w:textAlignment w:val="baseline"/>
              <w:rPr>
                <w:rFonts w:ascii="Times New Roman" w:hAnsi="Times New Roman" w:eastAsia="仿宋_GB2312" w:cs="Times New Roman"/>
                <w:b/>
                <w:sz w:val="20"/>
              </w:rPr>
            </w:pPr>
            <w:r>
              <w:rPr>
                <w:rFonts w:hint="eastAsia" w:ascii="Times New Roman" w:hAnsi="Times New Roman" w:eastAsia="仿宋_GB2312" w:cs="Times New Roman"/>
                <w:b/>
              </w:rPr>
              <w:t>财政性资金基本保证</w:t>
            </w:r>
          </w:p>
        </w:tc>
      </w:tr>
    </w:tbl>
    <w:p>
      <w:pPr>
        <w:spacing w:line="584" w:lineRule="exact"/>
        <w:ind w:firstLine="640" w:firstLineChars="200"/>
        <w:textAlignment w:val="baseline"/>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第九中学</w:t>
      </w:r>
      <w:r>
        <w:rPr>
          <w:rFonts w:ascii="Times New Roman" w:hAnsi="Times New Roman" w:eastAsia="仿宋_GB2312" w:cs="Times New Roman"/>
          <w:sz w:val="32"/>
          <w:szCs w:val="32"/>
        </w:rPr>
        <w:t>的收支包含在部门预算中。</w:t>
      </w:r>
    </w:p>
    <w:p>
      <w:pPr>
        <w:spacing w:line="584" w:lineRule="exact"/>
        <w:ind w:firstLine="640"/>
        <w:textAlignment w:val="baseline"/>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rPr>
        <w:t>2692.71</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2692.38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0.33万元</w:t>
      </w:r>
      <w:r>
        <w:rPr>
          <w:rFonts w:ascii="Times New Roman" w:hAnsi="Times New Roman" w:eastAsia="仿宋_GB2312" w:cs="Times New Roman"/>
          <w:sz w:val="32"/>
          <w:szCs w:val="32"/>
        </w:rPr>
        <w:t>。</w:t>
      </w:r>
    </w:p>
    <w:p>
      <w:pPr>
        <w:spacing w:line="584" w:lineRule="exact"/>
        <w:ind w:firstLine="640"/>
        <w:textAlignment w:val="baseline"/>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第九中学2022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2692.71</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1978.02</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1952.19</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25.83</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714.69</w:t>
      </w:r>
      <w:r>
        <w:rPr>
          <w:rFonts w:ascii="Times New Roman" w:hAnsi="Times New Roman" w:eastAsia="仿宋_GB2312" w:cs="Times New Roman"/>
          <w:sz w:val="32"/>
          <w:szCs w:val="32"/>
        </w:rPr>
        <w:t>万元。</w:t>
      </w:r>
    </w:p>
    <w:p>
      <w:pPr>
        <w:spacing w:line="584" w:lineRule="exact"/>
        <w:ind w:firstLine="640"/>
        <w:textAlignment w:val="baseline"/>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rPr>
        <w:t>2692.71</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rPr>
        <w:t>305.96</w:t>
      </w:r>
      <w:r>
        <w:rPr>
          <w:rFonts w:ascii="Times New Roman" w:hAnsi="Times New Roman" w:eastAsia="仿宋_GB2312" w:cs="Times New Roman"/>
          <w:sz w:val="32"/>
          <w:szCs w:val="32"/>
        </w:rPr>
        <w:t>万元，其中：基本支出减少</w:t>
      </w:r>
      <w:r>
        <w:rPr>
          <w:rFonts w:hint="eastAsia" w:ascii="Times New Roman" w:hAnsi="Times New Roman" w:eastAsia="仿宋_GB2312" w:cs="Times New Roman"/>
          <w:sz w:val="32"/>
          <w:szCs w:val="32"/>
        </w:rPr>
        <w:t>277.58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583.54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生均经费和工程款</w:t>
      </w:r>
      <w:r>
        <w:rPr>
          <w:rFonts w:ascii="Times New Roman" w:hAnsi="Times New Roman" w:eastAsia="仿宋_GB2312" w:cs="Times New Roman"/>
          <w:sz w:val="32"/>
          <w:szCs w:val="32"/>
        </w:rPr>
        <w:t>支出。</w:t>
      </w:r>
    </w:p>
    <w:p>
      <w:pPr>
        <w:spacing w:line="584" w:lineRule="exact"/>
        <w:ind w:left="198" w:firstLine="640" w:firstLineChars="200"/>
        <w:jc w:val="left"/>
        <w:textAlignment w:val="baseline"/>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spacing w:line="584" w:lineRule="exact"/>
        <w:ind w:firstLine="627" w:firstLineChars="196"/>
        <w:jc w:val="left"/>
        <w:textAlignment w:val="baseline"/>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spacing w:line="584" w:lineRule="exact"/>
        <w:ind w:left="197" w:leftChars="94" w:firstLine="640" w:firstLineChars="200"/>
        <w:jc w:val="left"/>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rPr>
        <w:t>校</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w:t>
      </w:r>
      <w:r>
        <w:rPr>
          <w:rFonts w:hint="eastAsia" w:ascii="Times New Roman" w:hAnsi="Times New Roman" w:eastAsia="仿宋_GB2312" w:cs="Times New Roman"/>
          <w:sz w:val="32"/>
          <w:szCs w:val="32"/>
        </w:rPr>
        <w:t>，无增减变化。</w:t>
      </w:r>
    </w:p>
    <w:p>
      <w:pPr>
        <w:spacing w:line="584" w:lineRule="exact"/>
        <w:ind w:firstLine="640" w:firstLineChars="200"/>
        <w:textAlignment w:val="baseline"/>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84" w:lineRule="exact"/>
        <w:ind w:firstLine="640" w:firstLineChars="200"/>
        <w:textAlignment w:val="baseline"/>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napToGrid w:val="0"/>
        <w:spacing w:after="156" w:line="580" w:lineRule="exact"/>
        <w:ind w:firstLine="630" w:firstLineChars="196"/>
        <w:jc w:val="left"/>
        <w:textAlignment w:val="baseline"/>
        <w:rPr>
          <w:rFonts w:ascii="楷体_GB2312" w:eastAsia="楷体_GB2312" w:cs="Times New Roman"/>
          <w:b/>
          <w:sz w:val="32"/>
          <w:szCs w:val="32"/>
        </w:rPr>
      </w:pPr>
      <w:bookmarkStart w:id="0" w:name="_Toc_2_2_0000000001"/>
      <w:r>
        <w:rPr>
          <w:rFonts w:hint="eastAsia" w:ascii="楷体_GB2312" w:eastAsia="楷体_GB2312" w:cs="Times New Roman"/>
          <w:b/>
          <w:sz w:val="32"/>
          <w:szCs w:val="32"/>
          <w:lang w:eastAsia="zh-CN"/>
        </w:rPr>
        <w:t>（一）</w:t>
      </w:r>
      <w:r>
        <w:rPr>
          <w:rFonts w:ascii="楷体_GB2312" w:eastAsia="楷体_GB2312" w:cs="Times New Roman"/>
          <w:b/>
          <w:sz w:val="32"/>
          <w:szCs w:val="32"/>
        </w:rPr>
        <w:t>总体绩效目标</w:t>
      </w:r>
      <w:bookmarkEnd w:id="0"/>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推进义务教育均衡发展，建立中小学校舍安全保障机制，改善薄弱学校办学条件，提高素质教育水平，开展丰富多彩的教学活动。促进公共教育资源向农村和经济欠发达地区倾斜。</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提高义务教育公用经费保障水平，改善办学条件，均衡配置基础教育资源，缩小城乡、区域、校际之间办学差距，推进标准化学校建设，实施数字化校园建设，加强学校文化建设，落实学生资助政策。</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 xml:space="preserve">、发展城市义务教育  </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免除城市区中小学生学杂费，提高公用经费保障水平，为贫困中小学生免费提供教科书，</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对接收进城务工农民工子女的学校进行补助。</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改善城区中小学办学条件。</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保障中小学公用经费水平逐年提高，解决大班额问题及入学难问题。</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保障小学入学率。</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、改善学校办学条件</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保障义务教育阶段学校基本教学条件，改善学校生活设施，保障后勤社会化服务，解决学校大班额问题。</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开展学生社会实践活动，建立学生实践教育基地，推进学校教育信息化。</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使义务教育学校教学设施和生活设施满足基本教学需要，保障后勤社会化服务资金充足，使学校能够正常运转，超大班额现象消除，教师数量、素质、结构基本适应教学需要。</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、提升特殊教育保障水平</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保证教学设备设施配备齐全，保障学生校园安全，支持贫困学生和爱心家园学生完成学业。</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改善办学条件，配置基础教育资源</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、开展教师教研及学生德育活动</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开展各类课题研究、校本研究，加强教师培训和教学交流，加强德育培训与研究，举办各类教育教学活动。</w:t>
      </w:r>
    </w:p>
    <w:p>
      <w:pPr>
        <w:snapToGrid w:val="0"/>
        <w:spacing w:after="156" w:line="580" w:lineRule="exact"/>
        <w:ind w:firstLine="627" w:firstLineChars="196"/>
        <w:jc w:val="left"/>
        <w:textAlignment w:val="baseline"/>
        <w:rPr>
          <w:rFonts w:ascii="楷体_GB2312" w:eastAsia="楷体_GB2312" w:cs="Times New Roman"/>
          <w:b/>
          <w:sz w:val="32"/>
          <w:szCs w:val="32"/>
        </w:rPr>
      </w:pPr>
      <w:r>
        <w:rPr>
          <w:rFonts w:hint="eastAsia" w:ascii="仿宋_GB2312" w:hAnsi="仿宋_GB2312" w:eastAsia="仿宋_GB2312" w:cs="仿宋_GB2312"/>
          <w:b w:val="0"/>
          <w:bCs/>
          <w:sz w:val="32"/>
          <w:szCs w:val="32"/>
        </w:rPr>
        <w:t>提高教师教学水平，调动教师积极性，培养专家型教师人才，提高学生的综合素质。</w:t>
      </w:r>
    </w:p>
    <w:p>
      <w:pPr>
        <w:snapToGrid w:val="0"/>
        <w:spacing w:after="156" w:line="580" w:lineRule="exact"/>
        <w:ind w:firstLine="630" w:firstLineChars="196"/>
        <w:jc w:val="left"/>
        <w:textAlignment w:val="baseline"/>
        <w:rPr>
          <w:rFonts w:ascii="楷体_GB2312" w:eastAsia="楷体_GB2312" w:cs="Times New Roman"/>
          <w:b/>
          <w:sz w:val="32"/>
          <w:szCs w:val="32"/>
        </w:rPr>
      </w:pPr>
      <w:bookmarkStart w:id="1" w:name="_Toc_2_2_0000000002"/>
      <w:r>
        <w:rPr>
          <w:rFonts w:hint="eastAsia" w:ascii="楷体_GB2312" w:eastAsia="楷体_GB2312" w:cs="Times New Roman"/>
          <w:b/>
          <w:sz w:val="32"/>
          <w:szCs w:val="32"/>
          <w:lang w:eastAsia="zh-CN"/>
        </w:rPr>
        <w:t>（二）</w:t>
      </w:r>
      <w:r>
        <w:rPr>
          <w:rFonts w:ascii="楷体_GB2312" w:eastAsia="楷体_GB2312" w:cs="Times New Roman"/>
          <w:b/>
          <w:sz w:val="32"/>
          <w:szCs w:val="32"/>
        </w:rPr>
        <w:t>分项绩效目标</w:t>
      </w:r>
      <w:bookmarkEnd w:id="1"/>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新建化学实验室项目资金</w:t>
      </w:r>
      <w:r>
        <w:rPr>
          <w:rFonts w:hint="eastAsia" w:ascii="仿宋_GB2312" w:hAnsi="仿宋_GB2312" w:eastAsia="仿宋_GB2312" w:cs="仿宋_GB2312"/>
          <w:b w:val="0"/>
          <w:bCs/>
          <w:sz w:val="32"/>
          <w:szCs w:val="32"/>
        </w:rPr>
        <w:tab/>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绩效目标：增加学校教育资源，丰富学生的学习内容，为学生提供更好的学习环境和学习条件，提高学生对学习化学的兴趣，为学生提供更加优质的教育。</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绩效指标：</w:t>
      </w:r>
      <w:r>
        <w:rPr>
          <w:rFonts w:hint="eastAsia" w:ascii="仿宋_GB2312" w:hAnsi="仿宋_GB2312" w:eastAsia="仿宋_GB2312" w:cs="仿宋_GB2312"/>
          <w:b w:val="0"/>
          <w:bCs/>
          <w:sz w:val="32"/>
          <w:szCs w:val="32"/>
        </w:rPr>
        <w:tab/>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数量指标</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装修房间数量</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数量指标</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购买安装设施种类</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质量指标</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验收合格率</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时效指标</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招投标及时性</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时效指标</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完工及时性</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成本指标</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经费支出成本</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社会效益指标</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义务教育高质量发展</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可持续影响指标</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化学实验室设备持续使用时间</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服务对象满意度指标</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在校师生的满意程度</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服务对象满意度指标</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家长的满意程度</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教育经费</w:t>
      </w:r>
      <w:r>
        <w:rPr>
          <w:rFonts w:hint="eastAsia" w:ascii="仿宋_GB2312" w:hAnsi="仿宋_GB2312" w:eastAsia="仿宋_GB2312" w:cs="仿宋_GB2312"/>
          <w:b w:val="0"/>
          <w:bCs/>
          <w:sz w:val="32"/>
          <w:szCs w:val="32"/>
        </w:rPr>
        <w:tab/>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绩效目标：保障义务教育学校运转，改善学校基本办学条件，促进义务教育均衡发展及学生素质提高。</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ab/>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绩效指标：</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数量指标</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保12个月教学正常运转</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保障教学正常运转时长</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质量指标</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物资采购合格率</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保障日常教学器材及物资充裕</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质量指标</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上级下达学校的各项工作任务完成率</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保证完成上级下达学校的各项工作任务</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时效指标</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用于保障学校正常运转项目完成及时率</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及时提供的教学用品、保障教学设施、设备正常运行</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成本指标</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经费支出成本</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经费各项支出不高于项目资金总额</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社会效益指标</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义务教育高质量发展</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推动义务教育从数量扩张向质量提高转变</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服务对象满意度指标</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在校师生的满意程度</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在校师生的满意程度</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服务对象满意度指标</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家长的满意程度</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家长的满意程度</w:t>
      </w:r>
      <w:r>
        <w:rPr>
          <w:rFonts w:hint="eastAsia" w:ascii="仿宋_GB2312" w:hAnsi="仿宋_GB2312" w:eastAsia="仿宋_GB2312" w:cs="仿宋_GB2312"/>
          <w:b w:val="0"/>
          <w:bCs/>
          <w:sz w:val="32"/>
          <w:szCs w:val="32"/>
        </w:rPr>
        <w:tab/>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城乡义务教育生均公用经费[省级]</w:t>
      </w:r>
      <w:r>
        <w:rPr>
          <w:rFonts w:hint="eastAsia" w:ascii="仿宋_GB2312" w:hAnsi="仿宋_GB2312" w:eastAsia="仿宋_GB2312" w:cs="仿宋_GB2312"/>
          <w:b w:val="0"/>
          <w:bCs/>
          <w:sz w:val="32"/>
          <w:szCs w:val="32"/>
        </w:rPr>
        <w:tab/>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绩效目标：按照义务教育生均公用经费标准申请财政预算资金，通过合理、合规使用资金达到保证学校正常运转，改善办学条件，促进义务教育发展。</w:t>
      </w:r>
      <w:r>
        <w:rPr>
          <w:rFonts w:hint="eastAsia" w:ascii="仿宋_GB2312" w:hAnsi="仿宋_GB2312" w:eastAsia="仿宋_GB2312" w:cs="仿宋_GB2312"/>
          <w:b w:val="0"/>
          <w:bCs/>
          <w:sz w:val="32"/>
          <w:szCs w:val="32"/>
        </w:rPr>
        <w:tab/>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绩效指标：</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数量指标</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申请生均公用经费的学生人数</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按文件要求申请生均公用经费的学生人数</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质量指标</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生均公用经费使用的合规率</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生均公用经费使用符合文件中的相关规定</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时效指标</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用于保障学校正常运转项目完成及时率</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使用生均公用经费，用于保障学校正常运转的项目完成情况</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成本指标</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使用生均公用经费，用于保障学校正常运转的项目支出成本</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使用生均公用经费，用于保障学校正常运转的项目支出成本等于XXX元/生</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社会效益指标</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义务教育高质量发展</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该资金用于学校正常运转，改善办学条件，促进义务教育均衡发展及学生素质提高</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服务对象满意度指标</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在校师生的满意程度</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在校师生的满意程度</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合同制教师人员经费</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绩效目标：保障合同制教师工资福利待遇，并及时发放。</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绩效指标：</w:t>
      </w:r>
      <w:r>
        <w:rPr>
          <w:rFonts w:hint="eastAsia" w:ascii="仿宋_GB2312" w:hAnsi="仿宋_GB2312" w:eastAsia="仿宋_GB2312" w:cs="仿宋_GB2312"/>
          <w:b w:val="0"/>
          <w:bCs/>
          <w:sz w:val="32"/>
          <w:szCs w:val="32"/>
        </w:rPr>
        <w:tab/>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数量指标</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合同制教师在校人数</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保障2022合同制教师 46人工资福利</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质量指标</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合同制教师完成岗位目标</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不同学科合同制教师岗位目标明确，并得以执行</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质量指标</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合同制教师的考核合格率</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合格率达到100%</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时效指标</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资金支出率（%）</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按月支付合同制教师工资及缴纳社会保障及住房公积金</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成本指标</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保障项目正常运行</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合同制教师薪酬测算标准</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社会效益指标</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缓解师资供需矛盾</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缓解教师短缺，保障教育教学正常的进行</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服务对象满意度指标</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学生满意度</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所教班级学生满意度</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服务对象满意度指标</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学校满意度</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在校教师满意度</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服务对象满意度指标</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家长满意度</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所教班级家长满意度</w:t>
      </w:r>
      <w:r>
        <w:rPr>
          <w:rFonts w:hint="eastAsia" w:ascii="仿宋_GB2312" w:hAnsi="仿宋_GB2312" w:eastAsia="仿宋_GB2312" w:cs="仿宋_GB2312"/>
          <w:b w:val="0"/>
          <w:bCs/>
          <w:sz w:val="32"/>
          <w:szCs w:val="32"/>
        </w:rPr>
        <w:tab/>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5、</w:t>
      </w:r>
      <w:r>
        <w:rPr>
          <w:rFonts w:hint="eastAsia" w:ascii="仿宋_GB2312" w:hAnsi="仿宋_GB2312" w:eastAsia="仿宋_GB2312" w:cs="仿宋_GB2312"/>
          <w:b w:val="0"/>
          <w:bCs/>
          <w:sz w:val="32"/>
          <w:szCs w:val="32"/>
        </w:rPr>
        <w:t>城乡义务教育生均公用经费[区级]</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ab/>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绩效目标：保障义务教育教学正常的进行，改善办公条件，提升教育环境。</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ab/>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绩效指标：</w:t>
      </w:r>
      <w:r>
        <w:rPr>
          <w:rFonts w:hint="eastAsia" w:ascii="仿宋_GB2312" w:hAnsi="仿宋_GB2312" w:eastAsia="仿宋_GB2312" w:cs="仿宋_GB2312"/>
          <w:b w:val="0"/>
          <w:bCs/>
          <w:sz w:val="32"/>
          <w:szCs w:val="32"/>
        </w:rPr>
        <w:tab/>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数量指标</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申请生均公用经费的学生人数</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按文件要求申请生均公用经费的学生人数</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质量指标</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生均公用经费使用的合规率</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生均公用经费使用符合文件中的相关规定</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时效指标</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用于保障学校正常运转项目完成及时率</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使用生均公用经费，用于保障学校正常运转的项目完成情况</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成本指标</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使用生均公用经费，用于保障学校正常运转的项目支出成本</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使用生均公用经费，用于保障学校正常运转的项目支出成本等于935元/生</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社会效益指标</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义务教育/学前教育高质量发展</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该资金用于学校正常运转，改善办学条件，促进义务教育/学前教育均衡发展及学生素质提高</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服务对象满意度指标</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在校师生的满意程度</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t>在校师生的满意程度</w:t>
      </w:r>
      <w:bookmarkStart w:id="2" w:name="_Toc_2_2_0000000003"/>
    </w:p>
    <w:p>
      <w:pPr>
        <w:snapToGrid w:val="0"/>
        <w:spacing w:after="156" w:line="580" w:lineRule="exact"/>
        <w:ind w:firstLine="630" w:firstLineChars="196"/>
        <w:jc w:val="left"/>
        <w:textAlignment w:val="baseline"/>
        <w:rPr>
          <w:rFonts w:hint="eastAsia" w:ascii="楷体" w:hAnsi="楷体" w:eastAsia="楷体" w:cs="楷体"/>
          <w:b/>
          <w:bCs w:val="0"/>
          <w:i w:val="0"/>
          <w:iCs w:val="0"/>
          <w:sz w:val="32"/>
          <w:szCs w:val="32"/>
        </w:rPr>
      </w:pPr>
      <w:r>
        <w:rPr>
          <w:rFonts w:hint="eastAsia" w:ascii="楷体" w:hAnsi="楷体" w:eastAsia="楷体" w:cs="楷体"/>
          <w:b/>
          <w:bCs w:val="0"/>
          <w:i w:val="0"/>
          <w:iCs w:val="0"/>
          <w:sz w:val="32"/>
          <w:szCs w:val="32"/>
          <w:lang w:eastAsia="zh-CN"/>
        </w:rPr>
        <w:t>（三）</w:t>
      </w:r>
      <w:r>
        <w:rPr>
          <w:rFonts w:hint="eastAsia" w:ascii="楷体" w:hAnsi="楷体" w:eastAsia="楷体" w:cs="楷体"/>
          <w:b/>
          <w:bCs w:val="0"/>
          <w:i w:val="0"/>
          <w:iCs w:val="0"/>
          <w:sz w:val="32"/>
          <w:szCs w:val="32"/>
        </w:rPr>
        <w:t>工作保障措施</w:t>
      </w:r>
      <w:bookmarkEnd w:id="2"/>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廊坊市第九中学主要职责是：</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、贯彻执行党和国家的教育方针、政策、法律法规，制定我校的长远规划和年度计划，并组织实施。</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、负责教育基本信息的统计、分析。</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、做好上级部门交办的其他事项。</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、负责学校教师队伍的建设和管理，推进教育系统人事制度改革。</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负责本部门教育经费的统筹管理，教育经费预决算工作，教育经费的管理和使用；负责统筹规划和管理学校基本建设和设施的配置及计划统计工作。</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5</w:t>
      </w:r>
      <w:r>
        <w:rPr>
          <w:rFonts w:hint="eastAsia" w:ascii="仿宋_GB2312" w:hAnsi="仿宋_GB2312" w:eastAsia="仿宋_GB2312" w:cs="仿宋_GB2312"/>
          <w:b w:val="0"/>
          <w:bCs/>
          <w:sz w:val="32"/>
          <w:szCs w:val="32"/>
        </w:rPr>
        <w:t>、管理学校的党建、思想政治、宣传统战和维护稳定以及德育、体育、卫生防疫与艺术教育、国防教育工作；负责学校的安全监督管理。</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6</w:t>
      </w:r>
      <w:r>
        <w:rPr>
          <w:rFonts w:hint="eastAsia" w:ascii="仿宋_GB2312" w:hAnsi="仿宋_GB2312" w:eastAsia="仿宋_GB2312" w:cs="仿宋_GB2312"/>
          <w:b w:val="0"/>
          <w:bCs/>
          <w:sz w:val="32"/>
          <w:szCs w:val="32"/>
        </w:rPr>
        <w:t>、加强绩效运行监控，做好绩效自评。</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7</w:t>
      </w:r>
      <w:r>
        <w:rPr>
          <w:rFonts w:hint="eastAsia" w:ascii="仿宋_GB2312" w:hAnsi="仿宋_GB2312" w:eastAsia="仿宋_GB2312" w:cs="仿宋_GB2312"/>
          <w:b w:val="0"/>
          <w:bCs/>
          <w:sz w:val="32"/>
          <w:szCs w:val="32"/>
        </w:rPr>
        <w:t>、负责组织开展学校教育的督导评估、检查验收、质量监测等工作。</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8</w:t>
      </w:r>
      <w:r>
        <w:rPr>
          <w:rFonts w:hint="eastAsia" w:ascii="仿宋_GB2312" w:hAnsi="仿宋_GB2312" w:eastAsia="仿宋_GB2312" w:cs="仿宋_GB2312"/>
          <w:b w:val="0"/>
          <w:bCs/>
          <w:sz w:val="32"/>
          <w:szCs w:val="32"/>
        </w:rPr>
        <w:t>、负责学校党的政治建设、思想建设、组织建设、作风建设、纪律建设和制度建设。</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9</w:t>
      </w:r>
      <w:r>
        <w:rPr>
          <w:rFonts w:hint="eastAsia" w:ascii="仿宋_GB2312" w:hAnsi="仿宋_GB2312" w:eastAsia="仿宋_GB2312" w:cs="仿宋_GB2312"/>
          <w:b w:val="0"/>
          <w:bCs/>
          <w:sz w:val="32"/>
          <w:szCs w:val="32"/>
        </w:rPr>
        <w:t>、负责学校学生和教师的思想政治工作，学校思想政治队伍建设和德育课程教育教学。</w:t>
      </w:r>
    </w:p>
    <w:p>
      <w:pPr>
        <w:snapToGrid w:val="0"/>
        <w:spacing w:after="156" w:line="580" w:lineRule="exact"/>
        <w:ind w:firstLine="627" w:firstLineChars="196"/>
        <w:jc w:val="left"/>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10</w:t>
      </w:r>
      <w:r>
        <w:rPr>
          <w:rFonts w:hint="eastAsia" w:ascii="仿宋_GB2312" w:hAnsi="仿宋_GB2312" w:eastAsia="仿宋_GB2312" w:cs="仿宋_GB2312"/>
          <w:b w:val="0"/>
          <w:bCs/>
          <w:sz w:val="32"/>
          <w:szCs w:val="32"/>
        </w:rPr>
        <w:t>、加强宣传培训调研。</w:t>
      </w:r>
    </w:p>
    <w:p>
      <w:pPr>
        <w:snapToGrid w:val="0"/>
        <w:spacing w:after="156" w:line="580" w:lineRule="exact"/>
        <w:ind w:firstLine="643" w:firstLineChars="200"/>
        <w:jc w:val="left"/>
        <w:textAlignment w:val="baseline"/>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31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77"/>
        <w:gridCol w:w="992"/>
        <w:gridCol w:w="1406"/>
        <w:gridCol w:w="54"/>
        <w:gridCol w:w="2322"/>
        <w:gridCol w:w="2413"/>
        <w:gridCol w:w="904"/>
        <w:gridCol w:w="650"/>
        <w:gridCol w:w="832"/>
        <w:gridCol w:w="2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2" w:hRule="atLeast"/>
          <w:tblHeader/>
          <w:jc w:val="center"/>
        </w:trPr>
        <w:tc>
          <w:tcPr>
            <w:tcW w:w="577" w:type="dxa"/>
            <w:vMerge w:val="restart"/>
            <w:tcBorders>
              <w:tl2br w:val="nil"/>
              <w:tr2bl w:val="nil"/>
            </w:tcBorders>
            <w:vAlign w:val="center"/>
          </w:tcPr>
          <w:p>
            <w:pPr>
              <w:widowControl/>
              <w:snapToGrid w:val="0"/>
              <w:jc w:val="center"/>
              <w:textAlignment w:val="baseline"/>
              <w:rPr>
                <w:rFonts w:ascii="方正书宋_GBK" w:eastAsia="方正书宋_GBK"/>
                <w:b/>
                <w:sz w:val="20"/>
              </w:rPr>
            </w:pPr>
            <w:r>
              <w:rPr>
                <w:rFonts w:ascii="方正书宋_GBK" w:eastAsia="方正书宋_GBK"/>
                <w:b/>
              </w:rPr>
              <w:t>一级指标</w:t>
            </w:r>
          </w:p>
        </w:tc>
        <w:tc>
          <w:tcPr>
            <w:tcW w:w="992" w:type="dxa"/>
            <w:vMerge w:val="restart"/>
            <w:tcBorders>
              <w:tl2br w:val="nil"/>
              <w:tr2bl w:val="nil"/>
            </w:tcBorders>
            <w:vAlign w:val="center"/>
          </w:tcPr>
          <w:p>
            <w:pPr>
              <w:widowControl/>
              <w:snapToGrid w:val="0"/>
              <w:jc w:val="center"/>
              <w:textAlignment w:val="baseline"/>
              <w:rPr>
                <w:rFonts w:ascii="方正书宋_GBK" w:eastAsia="方正书宋_GBK"/>
                <w:b/>
                <w:sz w:val="20"/>
              </w:rPr>
            </w:pPr>
            <w:r>
              <w:rPr>
                <w:rFonts w:ascii="方正书宋_GBK" w:eastAsia="方正书宋_GBK"/>
                <w:b/>
              </w:rPr>
              <w:t>二级</w:t>
            </w:r>
          </w:p>
          <w:p>
            <w:pPr>
              <w:widowControl/>
              <w:snapToGrid w:val="0"/>
              <w:jc w:val="center"/>
              <w:textAlignment w:val="baseline"/>
              <w:rPr>
                <w:rFonts w:ascii="方正书宋_GBK" w:eastAsia="方正书宋_GBK"/>
                <w:b/>
                <w:sz w:val="20"/>
              </w:rPr>
            </w:pPr>
            <w:r>
              <w:rPr>
                <w:rFonts w:ascii="方正书宋_GBK" w:eastAsia="方正书宋_GBK"/>
                <w:b/>
              </w:rPr>
              <w:t>指标</w:t>
            </w:r>
          </w:p>
        </w:tc>
        <w:tc>
          <w:tcPr>
            <w:tcW w:w="1406" w:type="dxa"/>
            <w:vMerge w:val="restart"/>
            <w:tcBorders>
              <w:tl2br w:val="nil"/>
              <w:tr2bl w:val="nil"/>
            </w:tcBorders>
            <w:vAlign w:val="center"/>
          </w:tcPr>
          <w:p>
            <w:pPr>
              <w:widowControl/>
              <w:snapToGrid w:val="0"/>
              <w:jc w:val="center"/>
              <w:textAlignment w:val="baseline"/>
              <w:rPr>
                <w:rFonts w:ascii="方正书宋_GBK" w:eastAsia="方正书宋_GBK"/>
                <w:b/>
                <w:sz w:val="20"/>
              </w:rPr>
            </w:pPr>
            <w:r>
              <w:rPr>
                <w:rFonts w:ascii="方正书宋_GBK" w:eastAsia="方正书宋_GBK"/>
                <w:b/>
              </w:rPr>
              <w:t>三级</w:t>
            </w:r>
          </w:p>
          <w:p>
            <w:pPr>
              <w:widowControl/>
              <w:snapToGrid w:val="0"/>
              <w:jc w:val="center"/>
              <w:textAlignment w:val="baseline"/>
              <w:rPr>
                <w:rFonts w:ascii="方正书宋_GBK" w:eastAsia="方正书宋_GBK"/>
                <w:b/>
                <w:sz w:val="20"/>
              </w:rPr>
            </w:pPr>
            <w:r>
              <w:rPr>
                <w:rFonts w:ascii="方正书宋_GBK" w:eastAsia="方正书宋_GBK"/>
                <w:b/>
              </w:rPr>
              <w:t>指标</w:t>
            </w:r>
          </w:p>
        </w:tc>
        <w:tc>
          <w:tcPr>
            <w:tcW w:w="2376" w:type="dxa"/>
            <w:gridSpan w:val="2"/>
            <w:vMerge w:val="restart"/>
            <w:tcBorders>
              <w:tl2br w:val="nil"/>
              <w:tr2bl w:val="nil"/>
            </w:tcBorders>
            <w:vAlign w:val="center"/>
          </w:tcPr>
          <w:p>
            <w:pPr>
              <w:widowControl/>
              <w:snapToGrid w:val="0"/>
              <w:jc w:val="center"/>
              <w:textAlignment w:val="baseline"/>
              <w:rPr>
                <w:rFonts w:ascii="方正书宋_GBK" w:eastAsia="方正书宋_GBK"/>
                <w:b/>
                <w:sz w:val="20"/>
              </w:rPr>
            </w:pPr>
            <w:r>
              <w:rPr>
                <w:rFonts w:ascii="方正书宋_GBK" w:eastAsia="方正书宋_GBK"/>
                <w:b/>
              </w:rPr>
              <w:t>评（扣）分标准</w:t>
            </w:r>
          </w:p>
        </w:tc>
        <w:tc>
          <w:tcPr>
            <w:tcW w:w="2413" w:type="dxa"/>
            <w:vMerge w:val="restart"/>
            <w:tcBorders>
              <w:tl2br w:val="nil"/>
              <w:tr2bl w:val="nil"/>
            </w:tcBorders>
            <w:vAlign w:val="center"/>
          </w:tcPr>
          <w:p>
            <w:pPr>
              <w:widowControl/>
              <w:snapToGrid w:val="0"/>
              <w:jc w:val="center"/>
              <w:textAlignment w:val="baseline"/>
              <w:rPr>
                <w:rFonts w:ascii="方正书宋_GBK" w:eastAsia="方正书宋_GBK"/>
                <w:b/>
                <w:sz w:val="20"/>
              </w:rPr>
            </w:pPr>
            <w:r>
              <w:rPr>
                <w:rFonts w:ascii="方正书宋_GBK" w:eastAsia="方正书宋_GBK"/>
                <w:b/>
              </w:rPr>
              <w:t>绩效指标</w:t>
            </w:r>
          </w:p>
          <w:p>
            <w:pPr>
              <w:widowControl/>
              <w:snapToGrid w:val="0"/>
              <w:jc w:val="center"/>
              <w:textAlignment w:val="baseline"/>
              <w:rPr>
                <w:rFonts w:ascii="方正书宋_GBK" w:eastAsia="方正书宋_GBK"/>
                <w:b/>
                <w:sz w:val="20"/>
              </w:rPr>
            </w:pPr>
            <w:r>
              <w:rPr>
                <w:rFonts w:ascii="方正书宋_GBK" w:eastAsia="方正书宋_GBK"/>
                <w:b/>
              </w:rPr>
              <w:t>描述</w:t>
            </w:r>
          </w:p>
        </w:tc>
        <w:tc>
          <w:tcPr>
            <w:tcW w:w="2386" w:type="dxa"/>
            <w:gridSpan w:val="3"/>
            <w:tcBorders>
              <w:tl2br w:val="nil"/>
              <w:tr2bl w:val="nil"/>
            </w:tcBorders>
            <w:vAlign w:val="center"/>
          </w:tcPr>
          <w:p>
            <w:pPr>
              <w:widowControl/>
              <w:snapToGrid w:val="0"/>
              <w:jc w:val="center"/>
              <w:textAlignment w:val="baseline"/>
              <w:rPr>
                <w:rFonts w:ascii="方正书宋_GBK" w:eastAsia="方正书宋_GBK"/>
                <w:b/>
                <w:sz w:val="20"/>
              </w:rPr>
            </w:pPr>
            <w:r>
              <w:rPr>
                <w:rFonts w:ascii="方正书宋_GBK" w:eastAsia="方正书宋_GBK"/>
                <w:b/>
              </w:rPr>
              <w:t>指标值</w:t>
            </w:r>
          </w:p>
        </w:tc>
        <w:tc>
          <w:tcPr>
            <w:tcW w:w="2975" w:type="dxa"/>
            <w:vMerge w:val="restart"/>
            <w:tcBorders>
              <w:tl2br w:val="nil"/>
              <w:tr2bl w:val="nil"/>
            </w:tcBorders>
            <w:vAlign w:val="center"/>
          </w:tcPr>
          <w:p>
            <w:pPr>
              <w:widowControl/>
              <w:snapToGrid w:val="0"/>
              <w:jc w:val="center"/>
              <w:textAlignment w:val="baseline"/>
              <w:rPr>
                <w:rFonts w:ascii="方正书宋_GBK" w:eastAsia="方正书宋_GBK"/>
                <w:b/>
                <w:sz w:val="20"/>
              </w:rPr>
            </w:pPr>
            <w:r>
              <w:rPr>
                <w:rFonts w:ascii="方正书宋_GBK" w:eastAsia="方正书宋_GBK"/>
                <w:b/>
              </w:rPr>
              <w:t>指标值</w:t>
            </w:r>
          </w:p>
          <w:p>
            <w:pPr>
              <w:widowControl/>
              <w:snapToGrid w:val="0"/>
              <w:jc w:val="center"/>
              <w:textAlignment w:val="baseline"/>
              <w:rPr>
                <w:rFonts w:ascii="方正书宋_GBK" w:eastAsia="方正书宋_GBK"/>
                <w:b/>
                <w:sz w:val="20"/>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27" w:hRule="atLeast"/>
          <w:tblHeader/>
          <w:jc w:val="center"/>
        </w:trPr>
        <w:tc>
          <w:tcPr>
            <w:tcW w:w="577" w:type="dxa"/>
            <w:vMerge w:val="continue"/>
            <w:tcBorders>
              <w:tl2br w:val="nil"/>
              <w:tr2bl w:val="nil"/>
            </w:tcBorders>
            <w:vAlign w:val="center"/>
          </w:tcPr>
          <w:p>
            <w:pPr>
              <w:textAlignment w:val="baseline"/>
              <w:rPr>
                <w:b/>
                <w:i/>
                <w:caps/>
              </w:rPr>
            </w:pPr>
          </w:p>
        </w:tc>
        <w:tc>
          <w:tcPr>
            <w:tcW w:w="992" w:type="dxa"/>
            <w:vMerge w:val="continue"/>
            <w:tcBorders>
              <w:tl2br w:val="nil"/>
              <w:tr2bl w:val="nil"/>
            </w:tcBorders>
            <w:vAlign w:val="center"/>
          </w:tcPr>
          <w:p>
            <w:pPr>
              <w:textAlignment w:val="baseline"/>
              <w:rPr>
                <w:b/>
                <w:i/>
                <w:caps/>
              </w:rPr>
            </w:pPr>
          </w:p>
        </w:tc>
        <w:tc>
          <w:tcPr>
            <w:tcW w:w="1406" w:type="dxa"/>
            <w:vMerge w:val="continue"/>
            <w:tcBorders>
              <w:tl2br w:val="nil"/>
              <w:tr2bl w:val="nil"/>
            </w:tcBorders>
            <w:vAlign w:val="center"/>
          </w:tcPr>
          <w:p>
            <w:pPr>
              <w:textAlignment w:val="baseline"/>
              <w:rPr>
                <w:b/>
                <w:i/>
                <w:caps/>
              </w:rPr>
            </w:pPr>
          </w:p>
        </w:tc>
        <w:tc>
          <w:tcPr>
            <w:tcW w:w="2376" w:type="dxa"/>
            <w:gridSpan w:val="2"/>
            <w:vMerge w:val="continue"/>
            <w:tcBorders>
              <w:tl2br w:val="nil"/>
              <w:tr2bl w:val="nil"/>
            </w:tcBorders>
            <w:vAlign w:val="center"/>
          </w:tcPr>
          <w:p>
            <w:pPr>
              <w:textAlignment w:val="baseline"/>
              <w:rPr>
                <w:b/>
                <w:i/>
                <w:caps/>
              </w:rPr>
            </w:pPr>
          </w:p>
        </w:tc>
        <w:tc>
          <w:tcPr>
            <w:tcW w:w="2413" w:type="dxa"/>
            <w:vMerge w:val="continue"/>
            <w:tcBorders>
              <w:tl2br w:val="nil"/>
              <w:tr2bl w:val="nil"/>
            </w:tcBorders>
            <w:vAlign w:val="center"/>
          </w:tcPr>
          <w:p>
            <w:pPr>
              <w:textAlignment w:val="baseline"/>
              <w:rPr>
                <w:b/>
                <w:i/>
                <w:caps/>
              </w:rPr>
            </w:pPr>
          </w:p>
        </w:tc>
        <w:tc>
          <w:tcPr>
            <w:tcW w:w="904" w:type="dxa"/>
            <w:tcBorders>
              <w:tl2br w:val="nil"/>
              <w:tr2bl w:val="nil"/>
            </w:tcBorders>
            <w:vAlign w:val="center"/>
          </w:tcPr>
          <w:p>
            <w:pPr>
              <w:widowControl/>
              <w:snapToGrid w:val="0"/>
              <w:jc w:val="center"/>
              <w:textAlignment w:val="baseline"/>
              <w:rPr>
                <w:rFonts w:ascii="方正书宋_GBK" w:eastAsia="方正书宋_GBK"/>
                <w:b/>
                <w:sz w:val="20"/>
              </w:rPr>
            </w:pPr>
            <w:r>
              <w:rPr>
                <w:rFonts w:ascii="方正书宋_GBK" w:eastAsia="方正书宋_GBK"/>
                <w:b/>
              </w:rPr>
              <w:t>符号</w:t>
            </w:r>
          </w:p>
        </w:tc>
        <w:tc>
          <w:tcPr>
            <w:tcW w:w="650" w:type="dxa"/>
            <w:tcBorders>
              <w:tl2br w:val="nil"/>
              <w:tr2bl w:val="nil"/>
            </w:tcBorders>
            <w:vAlign w:val="center"/>
          </w:tcPr>
          <w:p>
            <w:pPr>
              <w:widowControl/>
              <w:snapToGrid w:val="0"/>
              <w:jc w:val="center"/>
              <w:textAlignment w:val="baseline"/>
              <w:rPr>
                <w:rFonts w:ascii="方正书宋_GBK" w:eastAsia="方正书宋_GBK"/>
                <w:b/>
                <w:sz w:val="20"/>
              </w:rPr>
            </w:pPr>
            <w:r>
              <w:rPr>
                <w:rFonts w:ascii="方正书宋_GBK" w:eastAsia="方正书宋_GBK"/>
                <w:b/>
              </w:rPr>
              <w:t>值</w:t>
            </w:r>
          </w:p>
        </w:tc>
        <w:tc>
          <w:tcPr>
            <w:tcW w:w="832" w:type="dxa"/>
            <w:tcBorders>
              <w:tl2br w:val="nil"/>
              <w:tr2bl w:val="nil"/>
            </w:tcBorders>
            <w:vAlign w:val="center"/>
          </w:tcPr>
          <w:p>
            <w:pPr>
              <w:widowControl/>
              <w:snapToGrid w:val="0"/>
              <w:jc w:val="center"/>
              <w:textAlignment w:val="baseline"/>
              <w:rPr>
                <w:rFonts w:ascii="方正书宋_GBK" w:eastAsia="方正书宋_GBK"/>
                <w:b/>
                <w:sz w:val="20"/>
              </w:rPr>
            </w:pPr>
            <w:r>
              <w:rPr>
                <w:rFonts w:ascii="方正书宋_GBK" w:eastAsia="方正书宋_GBK"/>
                <w:b/>
              </w:rPr>
              <w:t>单位</w:t>
            </w:r>
          </w:p>
        </w:tc>
        <w:tc>
          <w:tcPr>
            <w:tcW w:w="2975" w:type="dxa"/>
            <w:vMerge w:val="continue"/>
            <w:tcBorders>
              <w:tl2br w:val="nil"/>
              <w:tr2bl w:val="nil"/>
            </w:tcBorders>
            <w:vAlign w:val="center"/>
          </w:tcPr>
          <w:p>
            <w:pPr>
              <w:textAlignment w:val="baseline"/>
              <w:rPr>
                <w:b/>
                <w:i/>
                <w:cap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86" w:hRule="atLeast"/>
          <w:jc w:val="center"/>
        </w:trPr>
        <w:tc>
          <w:tcPr>
            <w:tcW w:w="577" w:type="dxa"/>
            <w:vMerge w:val="restart"/>
            <w:tcBorders>
              <w:tl2br w:val="nil"/>
              <w:tr2bl w:val="nil"/>
            </w:tcBorders>
            <w:vAlign w:val="center"/>
          </w:tcPr>
          <w:p>
            <w:pPr>
              <w:widowControl/>
              <w:snapToGrid w:val="0"/>
              <w:jc w:val="center"/>
              <w:textAlignment w:val="baseline"/>
              <w:rPr>
                <w:rFonts w:ascii="方正书宋_GBK" w:eastAsia="方正书宋_GBK"/>
                <w:sz w:val="20"/>
              </w:rPr>
            </w:pPr>
            <w:r>
              <w:rPr>
                <w:rFonts w:ascii="方正书宋_GBK" w:eastAsia="方正书宋_GBK"/>
              </w:rPr>
              <w:t>部门产出</w:t>
            </w:r>
          </w:p>
        </w:tc>
        <w:tc>
          <w:tcPr>
            <w:tcW w:w="992" w:type="dxa"/>
            <w:tcBorders>
              <w:tl2br w:val="nil"/>
              <w:tr2bl w:val="nil"/>
            </w:tcBorders>
            <w:vAlign w:val="center"/>
          </w:tcPr>
          <w:p>
            <w:pPr>
              <w:widowControl/>
              <w:snapToGrid w:val="0"/>
              <w:jc w:val="center"/>
              <w:textAlignment w:val="baseline"/>
              <w:rPr>
                <w:rFonts w:ascii="方正书宋_GBK" w:eastAsia="方正书宋_GBK"/>
                <w:sz w:val="20"/>
              </w:rPr>
            </w:pPr>
            <w:r>
              <w:rPr>
                <w:rFonts w:ascii="方正书宋_GBK" w:eastAsia="方正书宋_GBK"/>
              </w:rPr>
              <w:t>数量</w:t>
            </w:r>
          </w:p>
        </w:tc>
        <w:tc>
          <w:tcPr>
            <w:tcW w:w="1460" w:type="dxa"/>
            <w:gridSpan w:val="2"/>
            <w:tcBorders>
              <w:tl2br w:val="nil"/>
              <w:tr2bl w:val="nil"/>
            </w:tcBorders>
            <w:vAlign w:val="center"/>
          </w:tcPr>
          <w:p>
            <w:pPr>
              <w:textAlignment w:val="baseline"/>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物资采购合格率</w:t>
            </w:r>
          </w:p>
        </w:tc>
        <w:tc>
          <w:tcPr>
            <w:tcW w:w="2322" w:type="dxa"/>
            <w:tcBorders>
              <w:tl2br w:val="nil"/>
              <w:tr2bl w:val="nil"/>
            </w:tcBorders>
            <w:vAlign w:val="center"/>
          </w:tcPr>
          <w:p>
            <w:pPr>
              <w:textAlignment w:val="baseline"/>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按进度及时完成</w:t>
            </w:r>
          </w:p>
        </w:tc>
        <w:tc>
          <w:tcPr>
            <w:tcW w:w="2413" w:type="dxa"/>
            <w:tcBorders>
              <w:tl2br w:val="nil"/>
              <w:tr2bl w:val="nil"/>
            </w:tcBorders>
            <w:vAlign w:val="center"/>
          </w:tcPr>
          <w:p>
            <w:pPr>
              <w:textAlignment w:val="baseline"/>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按文件要求使用经费</w:t>
            </w:r>
          </w:p>
        </w:tc>
        <w:tc>
          <w:tcPr>
            <w:tcW w:w="904" w:type="dxa"/>
            <w:tcBorders>
              <w:tl2br w:val="nil"/>
              <w:tr2bl w:val="nil"/>
            </w:tcBorders>
            <w:vAlign w:val="center"/>
          </w:tcPr>
          <w:p>
            <w:pPr>
              <w:jc w:val="center"/>
              <w:textAlignment w:val="baseline"/>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650" w:type="dxa"/>
            <w:tcBorders>
              <w:tl2br w:val="nil"/>
              <w:tr2bl w:val="nil"/>
            </w:tcBorders>
            <w:vAlign w:val="center"/>
          </w:tcPr>
          <w:p>
            <w:pPr>
              <w:jc w:val="center"/>
              <w:textAlignment w:val="baseline"/>
              <w:rPr>
                <w:rFonts w:hint="eastAsia" w:ascii="仿宋_GB2312" w:hAnsi="仿宋_GB2312" w:eastAsia="仿宋_GB2312" w:cs="仿宋_GB2312"/>
                <w:color w:val="000000"/>
                <w:sz w:val="22"/>
                <w:lang w:eastAsia="zh-CN"/>
              </w:rPr>
            </w:pPr>
            <w:r>
              <w:rPr>
                <w:rFonts w:hint="eastAsia" w:ascii="仿宋_GB2312" w:hAnsi="仿宋_GB2312" w:eastAsia="仿宋_GB2312" w:cs="仿宋_GB2312"/>
                <w:color w:val="000000"/>
                <w:sz w:val="22"/>
                <w:lang w:val="en-US" w:eastAsia="zh-CN"/>
              </w:rPr>
              <w:t>1</w:t>
            </w:r>
          </w:p>
        </w:tc>
        <w:tc>
          <w:tcPr>
            <w:tcW w:w="832" w:type="dxa"/>
            <w:tcBorders>
              <w:tl2br w:val="nil"/>
              <w:tr2bl w:val="nil"/>
            </w:tcBorders>
            <w:vAlign w:val="center"/>
          </w:tcPr>
          <w:p>
            <w:pPr>
              <w:jc w:val="center"/>
              <w:textAlignment w:val="baseline"/>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完成岗位目标职责</w:t>
            </w:r>
          </w:p>
        </w:tc>
        <w:tc>
          <w:tcPr>
            <w:tcW w:w="2975" w:type="dxa"/>
            <w:tcBorders>
              <w:tl2br w:val="nil"/>
              <w:tr2bl w:val="nil"/>
            </w:tcBorders>
            <w:vAlign w:val="center"/>
          </w:tcPr>
          <w:p>
            <w:pPr>
              <w:textAlignment w:val="baseline"/>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关于印发教育领域省市、县财政事权和支出责任划分改革实施方案的通知（冀财教[2019]66号）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6" w:hRule="atLeast"/>
          <w:jc w:val="center"/>
        </w:trPr>
        <w:tc>
          <w:tcPr>
            <w:tcW w:w="577" w:type="dxa"/>
            <w:vMerge w:val="continue"/>
            <w:tcBorders>
              <w:tl2br w:val="nil"/>
              <w:tr2bl w:val="nil"/>
            </w:tcBorders>
            <w:vAlign w:val="center"/>
          </w:tcPr>
          <w:p>
            <w:pPr>
              <w:textAlignment w:val="baseline"/>
              <w:rPr>
                <w:b/>
                <w:i/>
                <w:caps/>
              </w:rPr>
            </w:pPr>
          </w:p>
        </w:tc>
        <w:tc>
          <w:tcPr>
            <w:tcW w:w="992" w:type="dxa"/>
            <w:tcBorders>
              <w:tl2br w:val="nil"/>
              <w:tr2bl w:val="nil"/>
            </w:tcBorders>
            <w:vAlign w:val="center"/>
          </w:tcPr>
          <w:p>
            <w:pPr>
              <w:widowControl/>
              <w:snapToGrid w:val="0"/>
              <w:jc w:val="center"/>
              <w:textAlignment w:val="baseline"/>
              <w:rPr>
                <w:rFonts w:ascii="方正书宋_GBK" w:eastAsia="方正书宋_GBK"/>
                <w:sz w:val="20"/>
              </w:rPr>
            </w:pPr>
            <w:r>
              <w:rPr>
                <w:rFonts w:ascii="方正书宋_GBK" w:eastAsia="方正书宋_GBK"/>
              </w:rPr>
              <w:t>质量</w:t>
            </w:r>
          </w:p>
        </w:tc>
        <w:tc>
          <w:tcPr>
            <w:tcW w:w="1460" w:type="dxa"/>
            <w:gridSpan w:val="2"/>
            <w:tcBorders>
              <w:tl2br w:val="nil"/>
              <w:tr2bl w:val="nil"/>
            </w:tcBorders>
            <w:vAlign w:val="center"/>
          </w:tcPr>
          <w:p>
            <w:pPr>
              <w:textAlignment w:val="baseline"/>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保证教学工作正常运转</w:t>
            </w:r>
          </w:p>
        </w:tc>
        <w:tc>
          <w:tcPr>
            <w:tcW w:w="2322" w:type="dxa"/>
            <w:tcBorders>
              <w:tl2br w:val="nil"/>
              <w:tr2bl w:val="nil"/>
            </w:tcBorders>
            <w:vAlign w:val="center"/>
          </w:tcPr>
          <w:p>
            <w:pPr>
              <w:textAlignment w:val="baseline"/>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关于印发教育领域省市、县财政事权和支出责任划分改革实施方案的通知（冀财教[2019]66号）</w:t>
            </w:r>
          </w:p>
        </w:tc>
        <w:tc>
          <w:tcPr>
            <w:tcW w:w="2413" w:type="dxa"/>
            <w:tcBorders>
              <w:tl2br w:val="nil"/>
              <w:tr2bl w:val="nil"/>
            </w:tcBorders>
            <w:vAlign w:val="center"/>
          </w:tcPr>
          <w:p>
            <w:pPr>
              <w:textAlignment w:val="baseline"/>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经费使用符合文件中的相关规定</w:t>
            </w:r>
          </w:p>
        </w:tc>
        <w:tc>
          <w:tcPr>
            <w:tcW w:w="904" w:type="dxa"/>
            <w:tcBorders>
              <w:tl2br w:val="nil"/>
              <w:tr2bl w:val="nil"/>
            </w:tcBorders>
            <w:vAlign w:val="center"/>
          </w:tcPr>
          <w:p>
            <w:pPr>
              <w:jc w:val="center"/>
              <w:textAlignment w:val="baseline"/>
              <w:rPr>
                <w:rFonts w:hint="eastAsia" w:ascii="仿宋_GB2312" w:hAnsi="仿宋_GB2312" w:eastAsia="仿宋_GB2312" w:cs="仿宋_GB2312"/>
                <w:color w:val="000000"/>
                <w:sz w:val="22"/>
                <w:lang w:eastAsia="zh-CN"/>
              </w:rPr>
            </w:pPr>
            <w:r>
              <w:rPr>
                <w:rFonts w:hint="eastAsia" w:ascii="仿宋_GB2312" w:hAnsi="仿宋_GB2312" w:eastAsia="仿宋_GB2312" w:cs="仿宋_GB2312"/>
                <w:color w:val="000000"/>
                <w:sz w:val="22"/>
                <w:lang w:eastAsia="zh-CN"/>
              </w:rPr>
              <w:t>文字描述</w:t>
            </w:r>
          </w:p>
        </w:tc>
        <w:tc>
          <w:tcPr>
            <w:tcW w:w="650" w:type="dxa"/>
            <w:tcBorders>
              <w:tl2br w:val="nil"/>
              <w:tr2bl w:val="nil"/>
            </w:tcBorders>
            <w:vAlign w:val="center"/>
          </w:tcPr>
          <w:p>
            <w:pPr>
              <w:jc w:val="center"/>
              <w:textAlignment w:val="baseline"/>
              <w:rPr>
                <w:rFonts w:hint="eastAsia" w:ascii="仿宋_GB2312" w:hAnsi="仿宋_GB2312" w:eastAsia="仿宋_GB2312" w:cs="仿宋_GB2312"/>
                <w:color w:val="000000"/>
                <w:sz w:val="22"/>
              </w:rPr>
            </w:pPr>
          </w:p>
        </w:tc>
        <w:tc>
          <w:tcPr>
            <w:tcW w:w="832" w:type="dxa"/>
            <w:tcBorders>
              <w:tl2br w:val="nil"/>
              <w:tr2bl w:val="nil"/>
            </w:tcBorders>
            <w:vAlign w:val="center"/>
          </w:tcPr>
          <w:p>
            <w:pPr>
              <w:jc w:val="center"/>
              <w:textAlignment w:val="baseline"/>
              <w:rPr>
                <w:rFonts w:hint="eastAsia" w:ascii="仿宋_GB2312" w:hAnsi="仿宋_GB2312" w:eastAsia="仿宋_GB2312" w:cs="仿宋_GB2312"/>
                <w:color w:val="000000"/>
                <w:sz w:val="22"/>
              </w:rPr>
            </w:pPr>
            <w:r>
              <w:rPr>
                <w:rFonts w:hint="eastAsia" w:ascii="仿宋_GB2312" w:hAnsi="仿宋_GB2312" w:eastAsia="仿宋_GB2312" w:cs="仿宋_GB2312"/>
              </w:rPr>
              <w:t>完成岗位目标职责</w:t>
            </w:r>
          </w:p>
        </w:tc>
        <w:tc>
          <w:tcPr>
            <w:tcW w:w="2975" w:type="dxa"/>
            <w:tcBorders>
              <w:tl2br w:val="nil"/>
              <w:tr2bl w:val="nil"/>
            </w:tcBorders>
            <w:vAlign w:val="center"/>
          </w:tcPr>
          <w:p>
            <w:pPr>
              <w:textAlignment w:val="baseline"/>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关于印发教育领域省市、县财政事权和支出责任划分改革实施方案的通知（冀财教[2019]66号）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2" w:hRule="atLeast"/>
          <w:jc w:val="center"/>
        </w:trPr>
        <w:tc>
          <w:tcPr>
            <w:tcW w:w="577" w:type="dxa"/>
            <w:vMerge w:val="continue"/>
            <w:tcBorders>
              <w:tl2br w:val="nil"/>
              <w:tr2bl w:val="nil"/>
            </w:tcBorders>
            <w:vAlign w:val="center"/>
          </w:tcPr>
          <w:p>
            <w:pPr>
              <w:textAlignment w:val="baseline"/>
              <w:rPr>
                <w:b/>
                <w:i/>
                <w:caps/>
              </w:rPr>
            </w:pPr>
          </w:p>
        </w:tc>
        <w:tc>
          <w:tcPr>
            <w:tcW w:w="992" w:type="dxa"/>
            <w:tcBorders>
              <w:tl2br w:val="nil"/>
              <w:tr2bl w:val="nil"/>
            </w:tcBorders>
            <w:vAlign w:val="center"/>
          </w:tcPr>
          <w:p>
            <w:pPr>
              <w:widowControl/>
              <w:snapToGrid w:val="0"/>
              <w:jc w:val="center"/>
              <w:textAlignment w:val="baseline"/>
              <w:rPr>
                <w:rFonts w:ascii="方正书宋_GBK" w:eastAsia="方正书宋_GBK"/>
                <w:sz w:val="20"/>
              </w:rPr>
            </w:pPr>
            <w:r>
              <w:rPr>
                <w:rFonts w:ascii="方正书宋_GBK" w:eastAsia="方正书宋_GBK"/>
              </w:rPr>
              <w:t>时效</w:t>
            </w:r>
          </w:p>
        </w:tc>
        <w:tc>
          <w:tcPr>
            <w:tcW w:w="1406" w:type="dxa"/>
            <w:tcBorders>
              <w:tl2br w:val="nil"/>
              <w:tr2bl w:val="nil"/>
            </w:tcBorders>
            <w:vAlign w:val="center"/>
          </w:tcPr>
          <w:p>
            <w:pPr>
              <w:textAlignment w:val="baseline"/>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是否按时保质保量的完成</w:t>
            </w:r>
          </w:p>
        </w:tc>
        <w:tc>
          <w:tcPr>
            <w:tcW w:w="2376" w:type="dxa"/>
            <w:gridSpan w:val="2"/>
            <w:tcBorders>
              <w:tl2br w:val="nil"/>
              <w:tr2bl w:val="nil"/>
            </w:tcBorders>
            <w:vAlign w:val="center"/>
          </w:tcPr>
          <w:p>
            <w:pPr>
              <w:textAlignment w:val="baseline"/>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按进度及时完成</w:t>
            </w:r>
          </w:p>
        </w:tc>
        <w:tc>
          <w:tcPr>
            <w:tcW w:w="2413" w:type="dxa"/>
            <w:tcBorders>
              <w:tl2br w:val="nil"/>
              <w:tr2bl w:val="nil"/>
            </w:tcBorders>
            <w:vAlign w:val="center"/>
          </w:tcPr>
          <w:p>
            <w:pPr>
              <w:textAlignment w:val="baseline"/>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经费用于保障学校正常运转的项目完成情况</w:t>
            </w:r>
          </w:p>
        </w:tc>
        <w:tc>
          <w:tcPr>
            <w:tcW w:w="904" w:type="dxa"/>
            <w:tcBorders>
              <w:tl2br w:val="nil"/>
              <w:tr2bl w:val="nil"/>
            </w:tcBorders>
            <w:vAlign w:val="center"/>
          </w:tcPr>
          <w:p>
            <w:pPr>
              <w:jc w:val="center"/>
              <w:textAlignment w:val="baseline"/>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文字描述</w:t>
            </w:r>
          </w:p>
        </w:tc>
        <w:tc>
          <w:tcPr>
            <w:tcW w:w="650" w:type="dxa"/>
            <w:tcBorders>
              <w:tl2br w:val="nil"/>
              <w:tr2bl w:val="nil"/>
            </w:tcBorders>
            <w:vAlign w:val="center"/>
          </w:tcPr>
          <w:p>
            <w:pPr>
              <w:jc w:val="center"/>
              <w:textAlignment w:val="baseline"/>
              <w:rPr>
                <w:rFonts w:hint="eastAsia" w:ascii="仿宋_GB2312" w:hAnsi="仿宋_GB2312" w:eastAsia="仿宋_GB2312" w:cs="仿宋_GB2312"/>
                <w:color w:val="000000"/>
                <w:sz w:val="22"/>
              </w:rPr>
            </w:pPr>
          </w:p>
        </w:tc>
        <w:tc>
          <w:tcPr>
            <w:tcW w:w="832" w:type="dxa"/>
            <w:tcBorders>
              <w:tl2br w:val="nil"/>
              <w:tr2bl w:val="nil"/>
            </w:tcBorders>
            <w:vAlign w:val="center"/>
          </w:tcPr>
          <w:p>
            <w:pPr>
              <w:jc w:val="center"/>
              <w:textAlignment w:val="baseline"/>
              <w:rPr>
                <w:rFonts w:hint="eastAsia" w:ascii="仿宋_GB2312" w:hAnsi="仿宋_GB2312" w:eastAsia="仿宋_GB2312" w:cs="仿宋_GB2312"/>
                <w:color w:val="000000"/>
                <w:sz w:val="22"/>
              </w:rPr>
            </w:pPr>
            <w:r>
              <w:rPr>
                <w:rFonts w:hint="eastAsia" w:ascii="仿宋_GB2312" w:hAnsi="仿宋_GB2312" w:eastAsia="仿宋_GB2312" w:cs="仿宋_GB2312"/>
              </w:rPr>
              <w:t>完成岗位目标职责</w:t>
            </w:r>
          </w:p>
        </w:tc>
        <w:tc>
          <w:tcPr>
            <w:tcW w:w="2975" w:type="dxa"/>
            <w:tcBorders>
              <w:tl2br w:val="nil"/>
              <w:tr2bl w:val="nil"/>
            </w:tcBorders>
            <w:vAlign w:val="center"/>
          </w:tcPr>
          <w:p>
            <w:pPr>
              <w:textAlignment w:val="baseline"/>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按进度及时完成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6" w:hRule="atLeast"/>
          <w:jc w:val="center"/>
        </w:trPr>
        <w:tc>
          <w:tcPr>
            <w:tcW w:w="577" w:type="dxa"/>
            <w:vMerge w:val="continue"/>
            <w:tcBorders>
              <w:tl2br w:val="nil"/>
              <w:tr2bl w:val="nil"/>
            </w:tcBorders>
            <w:vAlign w:val="center"/>
          </w:tcPr>
          <w:p>
            <w:pPr>
              <w:textAlignment w:val="baseline"/>
              <w:rPr>
                <w:b/>
                <w:i/>
                <w:caps/>
              </w:rPr>
            </w:pPr>
          </w:p>
        </w:tc>
        <w:tc>
          <w:tcPr>
            <w:tcW w:w="992" w:type="dxa"/>
            <w:tcBorders>
              <w:tl2br w:val="nil"/>
              <w:tr2bl w:val="nil"/>
            </w:tcBorders>
            <w:vAlign w:val="center"/>
          </w:tcPr>
          <w:p>
            <w:pPr>
              <w:widowControl/>
              <w:snapToGrid w:val="0"/>
              <w:jc w:val="center"/>
              <w:textAlignment w:val="baseline"/>
              <w:rPr>
                <w:rFonts w:ascii="方正书宋_GBK" w:eastAsia="方正书宋_GBK"/>
                <w:sz w:val="20"/>
              </w:rPr>
            </w:pPr>
            <w:r>
              <w:rPr>
                <w:rFonts w:ascii="方正书宋_GBK" w:eastAsia="方正书宋_GBK"/>
              </w:rPr>
              <w:t>成本</w:t>
            </w:r>
          </w:p>
        </w:tc>
        <w:tc>
          <w:tcPr>
            <w:tcW w:w="1406" w:type="dxa"/>
            <w:tcBorders>
              <w:tl2br w:val="nil"/>
              <w:tr2bl w:val="nil"/>
            </w:tcBorders>
            <w:vAlign w:val="center"/>
          </w:tcPr>
          <w:p>
            <w:pPr>
              <w:textAlignment w:val="baseline"/>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是否在项目预算的控制范围内</w:t>
            </w:r>
          </w:p>
        </w:tc>
        <w:tc>
          <w:tcPr>
            <w:tcW w:w="2376" w:type="dxa"/>
            <w:gridSpan w:val="2"/>
            <w:tcBorders>
              <w:tl2br w:val="nil"/>
              <w:tr2bl w:val="nil"/>
            </w:tcBorders>
            <w:vAlign w:val="center"/>
          </w:tcPr>
          <w:p>
            <w:pPr>
              <w:textAlignment w:val="baseline"/>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关于印发教育领域省市、县财政事权和支出责任划分改革实施方案的通知（冀财教[2019]66号）</w:t>
            </w:r>
          </w:p>
        </w:tc>
        <w:tc>
          <w:tcPr>
            <w:tcW w:w="2413" w:type="dxa"/>
            <w:tcBorders>
              <w:tl2br w:val="nil"/>
              <w:tr2bl w:val="nil"/>
            </w:tcBorders>
            <w:vAlign w:val="center"/>
          </w:tcPr>
          <w:p>
            <w:pPr>
              <w:textAlignment w:val="baseline"/>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经费用于保障学校正常运转的项目</w:t>
            </w:r>
          </w:p>
        </w:tc>
        <w:tc>
          <w:tcPr>
            <w:tcW w:w="904" w:type="dxa"/>
            <w:tcBorders>
              <w:tl2br w:val="nil"/>
              <w:tr2bl w:val="nil"/>
            </w:tcBorders>
            <w:vAlign w:val="center"/>
          </w:tcPr>
          <w:p>
            <w:pPr>
              <w:jc w:val="center"/>
              <w:textAlignment w:val="baseline"/>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文字描述</w:t>
            </w:r>
          </w:p>
        </w:tc>
        <w:tc>
          <w:tcPr>
            <w:tcW w:w="650" w:type="dxa"/>
            <w:tcBorders>
              <w:tl2br w:val="nil"/>
              <w:tr2bl w:val="nil"/>
            </w:tcBorders>
            <w:vAlign w:val="center"/>
          </w:tcPr>
          <w:p>
            <w:pPr>
              <w:jc w:val="center"/>
              <w:textAlignment w:val="baseline"/>
              <w:rPr>
                <w:rFonts w:hint="eastAsia" w:ascii="仿宋_GB2312" w:hAnsi="仿宋_GB2312" w:eastAsia="仿宋_GB2312" w:cs="仿宋_GB2312"/>
                <w:color w:val="000000"/>
                <w:sz w:val="22"/>
              </w:rPr>
            </w:pPr>
          </w:p>
        </w:tc>
        <w:tc>
          <w:tcPr>
            <w:tcW w:w="832" w:type="dxa"/>
            <w:tcBorders>
              <w:tl2br w:val="nil"/>
              <w:tr2bl w:val="nil"/>
            </w:tcBorders>
            <w:vAlign w:val="center"/>
          </w:tcPr>
          <w:p>
            <w:pPr>
              <w:jc w:val="center"/>
              <w:textAlignment w:val="baseline"/>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完成岗位目标职责</w:t>
            </w:r>
          </w:p>
        </w:tc>
        <w:tc>
          <w:tcPr>
            <w:tcW w:w="2975" w:type="dxa"/>
            <w:tcBorders>
              <w:tl2br w:val="nil"/>
              <w:tr2bl w:val="nil"/>
            </w:tcBorders>
            <w:vAlign w:val="center"/>
          </w:tcPr>
          <w:p>
            <w:pPr>
              <w:textAlignment w:val="baseline"/>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关于印发教育领域省市、县财政事权和支出责任划分改革实施方案的通知（冀财教[2019]66号）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6" w:hRule="atLeast"/>
          <w:jc w:val="center"/>
        </w:trPr>
        <w:tc>
          <w:tcPr>
            <w:tcW w:w="577" w:type="dxa"/>
            <w:vMerge w:val="restart"/>
            <w:tcBorders>
              <w:tl2br w:val="nil"/>
              <w:tr2bl w:val="nil"/>
            </w:tcBorders>
            <w:vAlign w:val="center"/>
          </w:tcPr>
          <w:p>
            <w:pPr>
              <w:snapToGrid w:val="0"/>
              <w:jc w:val="center"/>
              <w:textAlignment w:val="baseline"/>
              <w:rPr>
                <w:rFonts w:ascii="方正书宋_GBK" w:eastAsia="方正书宋_GBK"/>
                <w:sz w:val="20"/>
              </w:rPr>
            </w:pPr>
            <w:r>
              <w:rPr>
                <w:rFonts w:ascii="方正书宋_GBK" w:eastAsia="方正书宋_GBK"/>
              </w:rPr>
              <w:t>部门</w:t>
            </w:r>
            <w:r>
              <w:rPr>
                <w:rFonts w:hint="eastAsia" w:ascii="方正书宋_GBK" w:eastAsia="方正书宋_GBK"/>
              </w:rPr>
              <w:t>效果</w:t>
            </w:r>
          </w:p>
        </w:tc>
        <w:tc>
          <w:tcPr>
            <w:tcW w:w="992" w:type="dxa"/>
            <w:tcBorders>
              <w:tl2br w:val="nil"/>
              <w:tr2bl w:val="nil"/>
            </w:tcBorders>
            <w:vAlign w:val="center"/>
          </w:tcPr>
          <w:p>
            <w:pPr>
              <w:widowControl/>
              <w:snapToGrid w:val="0"/>
              <w:jc w:val="center"/>
              <w:textAlignment w:val="baseline"/>
              <w:rPr>
                <w:rFonts w:ascii="方正书宋_GBK" w:eastAsia="方正书宋_GBK"/>
                <w:sz w:val="20"/>
              </w:rPr>
            </w:pPr>
            <w:r>
              <w:rPr>
                <w:rFonts w:ascii="方正书宋_GBK" w:eastAsia="方正书宋_GBK"/>
              </w:rPr>
              <w:t>社会</w:t>
            </w:r>
          </w:p>
          <w:p>
            <w:pPr>
              <w:widowControl/>
              <w:snapToGrid w:val="0"/>
              <w:jc w:val="center"/>
              <w:textAlignment w:val="baseline"/>
              <w:rPr>
                <w:rFonts w:ascii="方正书宋_GBK" w:eastAsia="方正书宋_GBK"/>
                <w:sz w:val="20"/>
              </w:rPr>
            </w:pPr>
            <w:r>
              <w:rPr>
                <w:rFonts w:ascii="方正书宋_GBK" w:eastAsia="方正书宋_GBK"/>
              </w:rPr>
              <w:t>效益</w:t>
            </w:r>
          </w:p>
        </w:tc>
        <w:tc>
          <w:tcPr>
            <w:tcW w:w="1406" w:type="dxa"/>
            <w:tcBorders>
              <w:tl2br w:val="nil"/>
              <w:tr2bl w:val="nil"/>
            </w:tcBorders>
            <w:vAlign w:val="center"/>
          </w:tcPr>
          <w:p>
            <w:pPr>
              <w:textAlignment w:val="baseline"/>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促进在校生德智体美劳全面发展</w:t>
            </w:r>
          </w:p>
        </w:tc>
        <w:tc>
          <w:tcPr>
            <w:tcW w:w="2376" w:type="dxa"/>
            <w:gridSpan w:val="2"/>
            <w:tcBorders>
              <w:tl2br w:val="nil"/>
              <w:tr2bl w:val="nil"/>
            </w:tcBorders>
            <w:vAlign w:val="center"/>
          </w:tcPr>
          <w:p>
            <w:pPr>
              <w:textAlignment w:val="baseline"/>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冀财教【2019】66号文件</w:t>
            </w:r>
          </w:p>
        </w:tc>
        <w:tc>
          <w:tcPr>
            <w:tcW w:w="2413" w:type="dxa"/>
            <w:tcBorders>
              <w:tl2br w:val="nil"/>
              <w:tr2bl w:val="nil"/>
            </w:tcBorders>
            <w:vAlign w:val="center"/>
          </w:tcPr>
          <w:p>
            <w:pPr>
              <w:textAlignment w:val="baseline"/>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资金用于学校正常运转，改善办学条件，促进义务教育/学前教育均衡发展及学生素质提高</w:t>
            </w:r>
          </w:p>
        </w:tc>
        <w:tc>
          <w:tcPr>
            <w:tcW w:w="904" w:type="dxa"/>
            <w:tcBorders>
              <w:tl2br w:val="nil"/>
              <w:tr2bl w:val="nil"/>
            </w:tcBorders>
            <w:vAlign w:val="center"/>
          </w:tcPr>
          <w:p>
            <w:pPr>
              <w:jc w:val="center"/>
              <w:textAlignment w:val="baseline"/>
              <w:rPr>
                <w:rFonts w:hint="eastAsia" w:ascii="仿宋_GB2312" w:hAnsi="仿宋_GB2312" w:eastAsia="仿宋_GB2312" w:cs="仿宋_GB2312"/>
                <w:color w:val="000000"/>
                <w:sz w:val="22"/>
                <w:lang w:eastAsia="zh-CN"/>
              </w:rPr>
            </w:pPr>
            <w:r>
              <w:rPr>
                <w:rFonts w:hint="eastAsia" w:ascii="仿宋_GB2312" w:hAnsi="仿宋_GB2312" w:eastAsia="仿宋_GB2312" w:cs="仿宋_GB2312"/>
                <w:color w:val="000000"/>
                <w:sz w:val="22"/>
                <w:lang w:eastAsia="zh-CN"/>
              </w:rPr>
              <w:t>文字描述</w:t>
            </w:r>
          </w:p>
        </w:tc>
        <w:tc>
          <w:tcPr>
            <w:tcW w:w="650" w:type="dxa"/>
            <w:tcBorders>
              <w:tl2br w:val="nil"/>
              <w:tr2bl w:val="nil"/>
            </w:tcBorders>
            <w:vAlign w:val="center"/>
          </w:tcPr>
          <w:p>
            <w:pPr>
              <w:jc w:val="center"/>
              <w:textAlignment w:val="baseline"/>
              <w:rPr>
                <w:rFonts w:hint="eastAsia" w:ascii="仿宋_GB2312" w:hAnsi="仿宋_GB2312" w:eastAsia="仿宋_GB2312" w:cs="仿宋_GB2312"/>
                <w:color w:val="000000"/>
                <w:sz w:val="22"/>
              </w:rPr>
            </w:pPr>
          </w:p>
        </w:tc>
        <w:tc>
          <w:tcPr>
            <w:tcW w:w="832" w:type="dxa"/>
            <w:tcBorders>
              <w:tl2br w:val="nil"/>
              <w:tr2bl w:val="nil"/>
            </w:tcBorders>
            <w:vAlign w:val="center"/>
          </w:tcPr>
          <w:p>
            <w:pPr>
              <w:jc w:val="center"/>
              <w:textAlignment w:val="baseline"/>
              <w:rPr>
                <w:rFonts w:hint="eastAsia" w:ascii="仿宋_GB2312" w:hAnsi="仿宋_GB2312" w:eastAsia="仿宋_GB2312" w:cs="仿宋_GB2312"/>
                <w:color w:val="000000"/>
                <w:sz w:val="22"/>
              </w:rPr>
            </w:pPr>
            <w:r>
              <w:rPr>
                <w:rFonts w:hint="eastAsia" w:ascii="仿宋_GB2312" w:hAnsi="仿宋_GB2312" w:eastAsia="仿宋_GB2312" w:cs="仿宋_GB2312"/>
              </w:rPr>
              <w:t>完成岗位目标职责</w:t>
            </w:r>
          </w:p>
        </w:tc>
        <w:tc>
          <w:tcPr>
            <w:tcW w:w="2975" w:type="dxa"/>
            <w:tcBorders>
              <w:tl2br w:val="nil"/>
              <w:tr2bl w:val="nil"/>
            </w:tcBorders>
            <w:vAlign w:val="center"/>
          </w:tcPr>
          <w:p>
            <w:pPr>
              <w:textAlignment w:val="baseline"/>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冀财教【2019】66号文件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62" w:hRule="atLeast"/>
          <w:jc w:val="center"/>
        </w:trPr>
        <w:tc>
          <w:tcPr>
            <w:tcW w:w="577" w:type="dxa"/>
            <w:vMerge w:val="continue"/>
            <w:tcBorders>
              <w:tl2br w:val="nil"/>
              <w:tr2bl w:val="nil"/>
            </w:tcBorders>
            <w:vAlign w:val="center"/>
          </w:tcPr>
          <w:p>
            <w:pPr>
              <w:textAlignment w:val="baseline"/>
              <w:rPr>
                <w:b/>
                <w:i/>
                <w:caps/>
              </w:rPr>
            </w:pPr>
          </w:p>
        </w:tc>
        <w:tc>
          <w:tcPr>
            <w:tcW w:w="992" w:type="dxa"/>
            <w:tcBorders>
              <w:tl2br w:val="nil"/>
              <w:tr2bl w:val="nil"/>
            </w:tcBorders>
            <w:vAlign w:val="center"/>
          </w:tcPr>
          <w:p>
            <w:pPr>
              <w:snapToGrid w:val="0"/>
              <w:jc w:val="center"/>
              <w:textAlignment w:val="baseline"/>
              <w:rPr>
                <w:rFonts w:hint="eastAsia" w:ascii="方正书宋_GBK" w:eastAsia="方正书宋_GBK"/>
                <w:lang w:eastAsia="zh-CN"/>
              </w:rPr>
            </w:pPr>
            <w:r>
              <w:rPr>
                <w:rFonts w:hint="eastAsia" w:ascii="方正书宋_GBK" w:eastAsia="方正书宋_GBK"/>
                <w:lang w:eastAsia="zh-CN"/>
              </w:rPr>
              <w:t>可持续影响</w:t>
            </w:r>
          </w:p>
        </w:tc>
        <w:tc>
          <w:tcPr>
            <w:tcW w:w="1406" w:type="dxa"/>
            <w:tcBorders>
              <w:tl2br w:val="nil"/>
              <w:tr2bl w:val="nil"/>
            </w:tcBorders>
            <w:noWrap/>
            <w:vAlign w:val="center"/>
          </w:tcPr>
          <w:p>
            <w:pPr>
              <w:textAlignment w:val="baseline"/>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推动义务教育从数量扩张向质量提高转变</w:t>
            </w:r>
          </w:p>
        </w:tc>
        <w:tc>
          <w:tcPr>
            <w:tcW w:w="2376" w:type="dxa"/>
            <w:gridSpan w:val="2"/>
            <w:tcBorders>
              <w:tl2br w:val="nil"/>
              <w:tr2bl w:val="nil"/>
            </w:tcBorders>
            <w:noWrap/>
            <w:vAlign w:val="center"/>
          </w:tcPr>
          <w:p>
            <w:pPr>
              <w:textAlignment w:val="baseline"/>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经费支出得满分，否则不得分</w:t>
            </w:r>
          </w:p>
        </w:tc>
        <w:tc>
          <w:tcPr>
            <w:tcW w:w="2413" w:type="dxa"/>
            <w:tcBorders>
              <w:tl2br w:val="nil"/>
              <w:tr2bl w:val="nil"/>
            </w:tcBorders>
            <w:noWrap/>
            <w:vAlign w:val="center"/>
          </w:tcPr>
          <w:p>
            <w:pPr>
              <w:textAlignment w:val="baseline"/>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资金用于学校正常运转，改善办学条件，促进义务教育/学前教育均衡发展及学生素质提高</w:t>
            </w:r>
          </w:p>
        </w:tc>
        <w:tc>
          <w:tcPr>
            <w:tcW w:w="904" w:type="dxa"/>
            <w:tcBorders>
              <w:tl2br w:val="nil"/>
              <w:tr2bl w:val="nil"/>
            </w:tcBorders>
            <w:vAlign w:val="center"/>
          </w:tcPr>
          <w:p>
            <w:pPr>
              <w:jc w:val="center"/>
              <w:textAlignment w:val="baseline"/>
              <w:rPr>
                <w:rFonts w:hint="eastAsia" w:ascii="仿宋_GB2312" w:hAnsi="仿宋_GB2312" w:eastAsia="仿宋_GB2312" w:cs="仿宋_GB2312"/>
                <w:color w:val="000000"/>
                <w:sz w:val="22"/>
                <w:lang w:eastAsia="zh-CN"/>
              </w:rPr>
            </w:pPr>
            <w:r>
              <w:rPr>
                <w:rFonts w:hint="eastAsia" w:ascii="仿宋_GB2312" w:hAnsi="仿宋_GB2312" w:eastAsia="仿宋_GB2312" w:cs="仿宋_GB2312"/>
                <w:color w:val="000000"/>
                <w:sz w:val="22"/>
                <w:lang w:eastAsia="zh-CN"/>
              </w:rPr>
              <w:t>文字描述</w:t>
            </w:r>
          </w:p>
        </w:tc>
        <w:tc>
          <w:tcPr>
            <w:tcW w:w="650" w:type="dxa"/>
            <w:tcBorders>
              <w:tl2br w:val="nil"/>
              <w:tr2bl w:val="nil"/>
            </w:tcBorders>
            <w:vAlign w:val="center"/>
          </w:tcPr>
          <w:p>
            <w:pPr>
              <w:jc w:val="center"/>
              <w:textAlignment w:val="baseline"/>
              <w:rPr>
                <w:rFonts w:hint="eastAsia" w:ascii="仿宋_GB2312" w:hAnsi="仿宋_GB2312" w:eastAsia="仿宋_GB2312" w:cs="仿宋_GB2312"/>
                <w:color w:val="000000"/>
                <w:sz w:val="22"/>
              </w:rPr>
            </w:pPr>
          </w:p>
        </w:tc>
        <w:tc>
          <w:tcPr>
            <w:tcW w:w="832" w:type="dxa"/>
            <w:tcBorders>
              <w:tl2br w:val="nil"/>
              <w:tr2bl w:val="nil"/>
            </w:tcBorders>
            <w:vAlign w:val="center"/>
          </w:tcPr>
          <w:p>
            <w:pPr>
              <w:jc w:val="center"/>
              <w:textAlignment w:val="baseline"/>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完成岗位目标职责</w:t>
            </w:r>
          </w:p>
        </w:tc>
        <w:tc>
          <w:tcPr>
            <w:tcW w:w="2975" w:type="dxa"/>
            <w:tcBorders>
              <w:tl2br w:val="nil"/>
              <w:tr2bl w:val="nil"/>
            </w:tcBorders>
            <w:vAlign w:val="center"/>
          </w:tcPr>
          <w:p>
            <w:pPr>
              <w:textAlignment w:val="baseline"/>
              <w:rPr>
                <w:rFonts w:hint="eastAsia" w:ascii="仿宋_GB2312" w:hAnsi="仿宋_GB2312" w:eastAsia="仿宋_GB2312" w:cs="仿宋_GB2312"/>
                <w:color w:val="000000"/>
                <w:sz w:val="22"/>
              </w:rPr>
            </w:pPr>
            <w:r>
              <w:rPr>
                <w:rFonts w:hint="eastAsia" w:ascii="仿宋_GB2312" w:hAnsi="仿宋_GB2312" w:eastAsia="仿宋_GB2312" w:cs="仿宋_GB2312"/>
              </w:rPr>
              <w:t>冀财教【2019】66号文件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62" w:hRule="atLeast"/>
          <w:jc w:val="center"/>
        </w:trPr>
        <w:tc>
          <w:tcPr>
            <w:tcW w:w="577" w:type="dxa"/>
            <w:vMerge w:val="continue"/>
            <w:tcBorders>
              <w:tl2br w:val="nil"/>
              <w:tr2bl w:val="nil"/>
            </w:tcBorders>
            <w:vAlign w:val="center"/>
          </w:tcPr>
          <w:p>
            <w:pPr>
              <w:textAlignment w:val="baseline"/>
              <w:rPr>
                <w:b/>
                <w:i/>
                <w:caps/>
              </w:rPr>
            </w:pPr>
          </w:p>
        </w:tc>
        <w:tc>
          <w:tcPr>
            <w:tcW w:w="992" w:type="dxa"/>
            <w:tcBorders>
              <w:tl2br w:val="nil"/>
              <w:tr2bl w:val="nil"/>
            </w:tcBorders>
            <w:vAlign w:val="center"/>
          </w:tcPr>
          <w:p>
            <w:pPr>
              <w:snapToGrid w:val="0"/>
              <w:jc w:val="center"/>
              <w:textAlignment w:val="baseline"/>
              <w:rPr>
                <w:rFonts w:ascii="方正书宋_GBK" w:eastAsia="方正书宋_GBK"/>
                <w:sz w:val="20"/>
              </w:rPr>
            </w:pPr>
            <w:r>
              <w:rPr>
                <w:rFonts w:hint="eastAsia" w:ascii="方正书宋_GBK" w:eastAsia="方正书宋_GBK"/>
              </w:rPr>
              <w:t>满意度</w:t>
            </w:r>
          </w:p>
        </w:tc>
        <w:tc>
          <w:tcPr>
            <w:tcW w:w="1406" w:type="dxa"/>
            <w:tcBorders>
              <w:tl2br w:val="nil"/>
              <w:tr2bl w:val="nil"/>
            </w:tcBorders>
            <w:noWrap/>
            <w:vAlign w:val="center"/>
          </w:tcPr>
          <w:p>
            <w:pPr>
              <w:textAlignment w:val="baseline"/>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教师、学生对学校的满意度</w:t>
            </w:r>
          </w:p>
        </w:tc>
        <w:tc>
          <w:tcPr>
            <w:tcW w:w="2376" w:type="dxa"/>
            <w:gridSpan w:val="2"/>
            <w:tcBorders>
              <w:tl2br w:val="nil"/>
              <w:tr2bl w:val="nil"/>
            </w:tcBorders>
            <w:noWrap/>
            <w:vAlign w:val="center"/>
          </w:tcPr>
          <w:p>
            <w:pPr>
              <w:textAlignment w:val="baseline"/>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10分。调查问卷满意度≥90%得满分，每减少1%扣1分，扣完为止。</w:t>
            </w:r>
          </w:p>
        </w:tc>
        <w:tc>
          <w:tcPr>
            <w:tcW w:w="2413" w:type="dxa"/>
            <w:tcBorders>
              <w:tl2br w:val="nil"/>
              <w:tr2bl w:val="nil"/>
            </w:tcBorders>
            <w:noWrap/>
            <w:vAlign w:val="center"/>
          </w:tcPr>
          <w:p>
            <w:pPr>
              <w:textAlignment w:val="baseline"/>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在校师生的满意程度</w:t>
            </w:r>
          </w:p>
        </w:tc>
        <w:tc>
          <w:tcPr>
            <w:tcW w:w="904" w:type="dxa"/>
            <w:tcBorders>
              <w:tl2br w:val="nil"/>
              <w:tr2bl w:val="nil"/>
            </w:tcBorders>
            <w:vAlign w:val="center"/>
          </w:tcPr>
          <w:p>
            <w:pPr>
              <w:jc w:val="center"/>
              <w:textAlignment w:val="baseline"/>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650" w:type="dxa"/>
            <w:tcBorders>
              <w:tl2br w:val="nil"/>
              <w:tr2bl w:val="nil"/>
            </w:tcBorders>
            <w:vAlign w:val="center"/>
          </w:tcPr>
          <w:p>
            <w:pPr>
              <w:jc w:val="center"/>
              <w:textAlignment w:val="baseline"/>
              <w:rPr>
                <w:rFonts w:hint="eastAsia"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rPr>
              <w:t>9</w:t>
            </w:r>
            <w:r>
              <w:rPr>
                <w:rFonts w:hint="eastAsia" w:ascii="仿宋_GB2312" w:hAnsi="仿宋_GB2312" w:eastAsia="仿宋_GB2312" w:cs="仿宋_GB2312"/>
                <w:color w:val="000000"/>
                <w:sz w:val="22"/>
                <w:lang w:val="en-US" w:eastAsia="zh-CN"/>
              </w:rPr>
              <w:t>8</w:t>
            </w:r>
          </w:p>
        </w:tc>
        <w:tc>
          <w:tcPr>
            <w:tcW w:w="832" w:type="dxa"/>
            <w:tcBorders>
              <w:tl2br w:val="nil"/>
              <w:tr2bl w:val="nil"/>
            </w:tcBorders>
            <w:vAlign w:val="center"/>
          </w:tcPr>
          <w:p>
            <w:pPr>
              <w:jc w:val="center"/>
              <w:textAlignment w:val="baseline"/>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2975" w:type="dxa"/>
            <w:tcBorders>
              <w:tl2br w:val="nil"/>
              <w:tr2bl w:val="nil"/>
            </w:tcBorders>
            <w:vAlign w:val="center"/>
          </w:tcPr>
          <w:p>
            <w:pPr>
              <w:textAlignment w:val="baseline"/>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调查问卷</w:t>
            </w:r>
          </w:p>
        </w:tc>
      </w:tr>
    </w:tbl>
    <w:p>
      <w:pPr>
        <w:snapToGrid w:val="0"/>
        <w:spacing w:after="156" w:line="580" w:lineRule="exact"/>
        <w:ind w:firstLine="630" w:firstLineChars="196"/>
        <w:jc w:val="left"/>
        <w:textAlignment w:val="baseline"/>
        <w:rPr>
          <w:rFonts w:ascii="楷体_GB2312" w:eastAsia="楷体_GB2312" w:cs="Times New Roman"/>
          <w:b/>
          <w:sz w:val="32"/>
          <w:szCs w:val="32"/>
        </w:rPr>
      </w:pPr>
    </w:p>
    <w:p>
      <w:pPr>
        <w:spacing w:line="584" w:lineRule="exact"/>
        <w:ind w:firstLine="640" w:firstLineChars="200"/>
        <w:textAlignment w:val="baseline"/>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spacing w:before="0" w:after="0"/>
        <w:ind w:firstLine="560"/>
        <w:jc w:val="left"/>
        <w:outlineLvl w:val="3"/>
        <w:rPr>
          <w:rFonts w:hint="eastAsia" w:ascii="仿宋_GB2312" w:hAnsi="仿宋_GB2312" w:eastAsia="仿宋_GB2312" w:cs="仿宋_GB2312"/>
        </w:rPr>
      </w:pPr>
      <w:bookmarkStart w:id="3" w:name="_Toc_4_4_0000000004"/>
      <w:r>
        <w:rPr>
          <w:rFonts w:hint="eastAsia" w:ascii="仿宋_GB2312" w:hAnsi="仿宋_GB2312" w:eastAsia="仿宋_GB2312" w:cs="仿宋_GB2312"/>
          <w:color w:val="000000"/>
          <w:sz w:val="28"/>
        </w:rPr>
        <w:t>1.城乡义务教育生均公用经费[区级]绩效目标表</w:t>
      </w:r>
      <w:bookmarkEnd w:id="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796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1.目标内容：保障义务教育教学正常的进行，改善办公条件，提升教育环境。</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56"/>
        <w:gridCol w:w="1337"/>
        <w:gridCol w:w="1488"/>
        <w:gridCol w:w="2427"/>
        <w:gridCol w:w="1110"/>
        <w:gridCol w:w="17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5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133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1488"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24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110"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1771"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6"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133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48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申请生均公用经费的学生人数</w:t>
            </w:r>
          </w:p>
        </w:tc>
        <w:tc>
          <w:tcPr>
            <w:tcW w:w="24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按文件要求申请生均公用经费的学生人数</w:t>
            </w:r>
          </w:p>
        </w:tc>
        <w:tc>
          <w:tcPr>
            <w:tcW w:w="111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1215人</w:t>
            </w:r>
          </w:p>
        </w:tc>
        <w:tc>
          <w:tcPr>
            <w:tcW w:w="177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印发教育领域省市、县财政事权和支出责任划分改革实施方案得通知（冀财政【2019】66号）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6" w:type="dxa"/>
            <w:vMerge w:val="continue"/>
            <w:vAlign w:val="center"/>
          </w:tcPr>
          <w:p>
            <w:pPr>
              <w:rPr>
                <w:rFonts w:hint="eastAsia" w:ascii="仿宋_GB2312" w:hAnsi="仿宋_GB2312" w:eastAsia="仿宋_GB2312" w:cs="仿宋_GB2312"/>
              </w:rPr>
            </w:pPr>
          </w:p>
        </w:tc>
        <w:tc>
          <w:tcPr>
            <w:tcW w:w="133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48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生均公用经费使用的合规率</w:t>
            </w:r>
          </w:p>
        </w:tc>
        <w:tc>
          <w:tcPr>
            <w:tcW w:w="24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生均公用经费使用符合文件中的相关规定</w:t>
            </w:r>
          </w:p>
        </w:tc>
        <w:tc>
          <w:tcPr>
            <w:tcW w:w="111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177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印发教育领域省市、县财政事权和支出责任划分改革实施方案得通知（冀财政【2019】66号）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6" w:type="dxa"/>
            <w:vMerge w:val="continue"/>
            <w:vAlign w:val="center"/>
          </w:tcPr>
          <w:p>
            <w:pPr>
              <w:rPr>
                <w:rFonts w:hint="eastAsia" w:ascii="仿宋_GB2312" w:hAnsi="仿宋_GB2312" w:eastAsia="仿宋_GB2312" w:cs="仿宋_GB2312"/>
              </w:rPr>
            </w:pPr>
          </w:p>
        </w:tc>
        <w:tc>
          <w:tcPr>
            <w:tcW w:w="133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148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24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使用生均公用经费，用于保障学校正常运转的项目完成情况</w:t>
            </w:r>
          </w:p>
        </w:tc>
        <w:tc>
          <w:tcPr>
            <w:tcW w:w="111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177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6" w:type="dxa"/>
            <w:vMerge w:val="continue"/>
            <w:vAlign w:val="center"/>
          </w:tcPr>
          <w:p>
            <w:pPr>
              <w:rPr>
                <w:rFonts w:hint="eastAsia" w:ascii="仿宋_GB2312" w:hAnsi="仿宋_GB2312" w:eastAsia="仿宋_GB2312" w:cs="仿宋_GB2312"/>
              </w:rPr>
            </w:pPr>
          </w:p>
        </w:tc>
        <w:tc>
          <w:tcPr>
            <w:tcW w:w="133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148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w:t>
            </w:r>
          </w:p>
        </w:tc>
        <w:tc>
          <w:tcPr>
            <w:tcW w:w="24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使用生均公用经费，用于保障学校正常运转的项目支出成本等于935元/生</w:t>
            </w:r>
          </w:p>
        </w:tc>
        <w:tc>
          <w:tcPr>
            <w:tcW w:w="111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935元/生</w:t>
            </w:r>
          </w:p>
          <w:p>
            <w:pPr>
              <w:pStyle w:val="14"/>
              <w:rPr>
                <w:rFonts w:hint="eastAsia" w:ascii="仿宋_GB2312" w:hAnsi="仿宋_GB2312" w:eastAsia="仿宋_GB2312" w:cs="仿宋_GB2312"/>
              </w:rPr>
            </w:pPr>
          </w:p>
        </w:tc>
        <w:tc>
          <w:tcPr>
            <w:tcW w:w="177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印发教育领域省市、县财政事权和支出责任划分改革实施方案得通知（冀财政【2019】66号）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133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48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义务教育/学前教育高质量发展</w:t>
            </w:r>
          </w:p>
        </w:tc>
        <w:tc>
          <w:tcPr>
            <w:tcW w:w="24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该资金用于学校正常运转，改善办学条件，促进义务教育/学前教育均衡发展及学生素质提高</w:t>
            </w:r>
          </w:p>
        </w:tc>
        <w:tc>
          <w:tcPr>
            <w:tcW w:w="111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支持</w:t>
            </w:r>
          </w:p>
        </w:tc>
        <w:tc>
          <w:tcPr>
            <w:tcW w:w="177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冀财政【2019】66号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33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48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24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111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177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问卷调查</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spacing w:before="0" w:after="0"/>
        <w:ind w:firstLine="560"/>
        <w:jc w:val="left"/>
        <w:outlineLvl w:val="3"/>
        <w:rPr>
          <w:rFonts w:hint="eastAsia" w:ascii="仿宋_GB2312" w:hAnsi="仿宋_GB2312" w:eastAsia="仿宋_GB2312" w:cs="仿宋_GB2312"/>
        </w:rPr>
      </w:pPr>
      <w:bookmarkStart w:id="4" w:name="_Toc_4_4_0000000005"/>
      <w:r>
        <w:rPr>
          <w:rFonts w:hint="eastAsia" w:ascii="仿宋_GB2312" w:hAnsi="仿宋_GB2312" w:eastAsia="仿宋_GB2312" w:cs="仿宋_GB2312"/>
          <w:color w:val="000000"/>
          <w:sz w:val="28"/>
        </w:rPr>
        <w:t>2.城乡义务教育生均公用经费[省级]绩效目标表</w:t>
      </w:r>
      <w:bookmarkEnd w:id="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796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1.廊坊第六中学对2022年在校学生3978人，按照义务教育生均公用经费标准申请财政预算资金，通过合理、合规使用资金达到保证学校正常运转，改善办学条件，促进义务教育发展。</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106"/>
        <w:gridCol w:w="1470"/>
        <w:gridCol w:w="2385"/>
        <w:gridCol w:w="960"/>
        <w:gridCol w:w="20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110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1470"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2385"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960"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2041"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110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47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申请生均公用经费的学生人数</w:t>
            </w:r>
          </w:p>
        </w:tc>
        <w:tc>
          <w:tcPr>
            <w:tcW w:w="238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按文件要求申请生均公用经费的学生人数</w:t>
            </w:r>
          </w:p>
        </w:tc>
        <w:tc>
          <w:tcPr>
            <w:tcW w:w="96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3978人</w:t>
            </w:r>
          </w:p>
        </w:tc>
        <w:tc>
          <w:tcPr>
            <w:tcW w:w="204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10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47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生均公用经费使用的合规率</w:t>
            </w:r>
          </w:p>
        </w:tc>
        <w:tc>
          <w:tcPr>
            <w:tcW w:w="238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生均公用经费使用符合文件中的相关规定</w:t>
            </w:r>
          </w:p>
        </w:tc>
        <w:tc>
          <w:tcPr>
            <w:tcW w:w="96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204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10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147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238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使用生均公用经费，用于保障学校正常运转的项目完成情况</w:t>
            </w:r>
          </w:p>
        </w:tc>
        <w:tc>
          <w:tcPr>
            <w:tcW w:w="96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204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10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147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w:t>
            </w:r>
          </w:p>
        </w:tc>
        <w:tc>
          <w:tcPr>
            <w:tcW w:w="238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使用生均公用经费，用于保障学校正常运转的项目支出成本等于XXX元/生</w:t>
            </w:r>
          </w:p>
        </w:tc>
        <w:tc>
          <w:tcPr>
            <w:tcW w:w="96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935元</w:t>
            </w:r>
          </w:p>
        </w:tc>
        <w:tc>
          <w:tcPr>
            <w:tcW w:w="204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110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47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义务教育高质量发展</w:t>
            </w:r>
          </w:p>
        </w:tc>
        <w:tc>
          <w:tcPr>
            <w:tcW w:w="238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该资金用于学校正常运转，改善办学条件，促进义务教育均衡发展及学生素质提高</w:t>
            </w:r>
          </w:p>
        </w:tc>
        <w:tc>
          <w:tcPr>
            <w:tcW w:w="96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支持</w:t>
            </w:r>
          </w:p>
        </w:tc>
        <w:tc>
          <w:tcPr>
            <w:tcW w:w="204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廊财教[2021]61号文件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10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47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238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96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204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spacing w:before="0" w:after="0"/>
        <w:ind w:firstLine="560"/>
        <w:jc w:val="left"/>
        <w:outlineLvl w:val="3"/>
        <w:rPr>
          <w:rFonts w:hint="eastAsia" w:ascii="仿宋_GB2312" w:hAnsi="仿宋_GB2312" w:eastAsia="仿宋_GB2312" w:cs="仿宋_GB2312"/>
        </w:rPr>
      </w:pPr>
      <w:bookmarkStart w:id="5" w:name="_Toc_4_4_0000000006"/>
      <w:r>
        <w:rPr>
          <w:rFonts w:hint="eastAsia" w:ascii="仿宋_GB2312" w:hAnsi="仿宋_GB2312" w:eastAsia="仿宋_GB2312" w:cs="仿宋_GB2312"/>
          <w:color w:val="000000"/>
          <w:sz w:val="28"/>
        </w:rPr>
        <w:t>3.合同制教师人员经费绩效目标表</w:t>
      </w:r>
      <w:bookmarkEnd w:id="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796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1.缓解教师短缺，保障教育教学正常的进行</w:t>
            </w:r>
          </w:p>
          <w:p>
            <w:pPr>
              <w:pStyle w:val="14"/>
              <w:rPr>
                <w:rFonts w:hint="eastAsia" w:ascii="仿宋_GB2312" w:hAnsi="仿宋_GB2312" w:eastAsia="仿宋_GB2312" w:cs="仿宋_GB2312"/>
              </w:rPr>
            </w:pPr>
            <w:r>
              <w:rPr>
                <w:rFonts w:hint="eastAsia" w:ascii="仿宋_GB2312" w:hAnsi="仿宋_GB2312" w:eastAsia="仿宋_GB2312" w:cs="仿宋_GB2312"/>
              </w:rPr>
              <w:t>2.保障教学质量，提升教育水平</w:t>
            </w:r>
          </w:p>
          <w:p>
            <w:pPr>
              <w:pStyle w:val="14"/>
              <w:rPr>
                <w:rFonts w:hint="eastAsia" w:ascii="仿宋_GB2312" w:hAnsi="仿宋_GB2312" w:eastAsia="仿宋_GB2312" w:cs="仿宋_GB2312"/>
              </w:rPr>
            </w:pPr>
            <w:r>
              <w:rPr>
                <w:rFonts w:hint="eastAsia" w:ascii="仿宋_GB2312" w:hAnsi="仿宋_GB2312" w:eastAsia="仿宋_GB2312" w:cs="仿宋_GB2312"/>
              </w:rPr>
              <w:t>3.保障合同制教师工资福利待遇，并及时发放。</w:t>
            </w:r>
          </w:p>
          <w:p>
            <w:pPr>
              <w:pStyle w:val="14"/>
              <w:rPr>
                <w:rFonts w:hint="eastAsia" w:ascii="仿宋_GB2312" w:hAnsi="仿宋_GB2312" w:eastAsia="仿宋_GB2312" w:cs="仿宋_GB2312"/>
              </w:rPr>
            </w:pPr>
            <w:r>
              <w:rPr>
                <w:rFonts w:hint="eastAsia" w:ascii="仿宋_GB2312" w:hAnsi="仿宋_GB2312" w:eastAsia="仿宋_GB2312" w:cs="仿宋_GB2312"/>
              </w:rPr>
              <w:t>4.学生、学校、家长对合同制教师的满意度达到95%以上</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361"/>
        <w:gridCol w:w="1620"/>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2361"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620"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合同制教师在校人数</w:t>
            </w:r>
          </w:p>
        </w:tc>
        <w:tc>
          <w:tcPr>
            <w:tcW w:w="236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保障2022合同制教师 46人工资福利</w:t>
            </w:r>
          </w:p>
        </w:tc>
        <w:tc>
          <w:tcPr>
            <w:tcW w:w="162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46人</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合同制教师完成岗位目标</w:t>
            </w:r>
          </w:p>
        </w:tc>
        <w:tc>
          <w:tcPr>
            <w:tcW w:w="236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不同学科合同制教师岗位目标明确，并得以执行</w:t>
            </w:r>
          </w:p>
        </w:tc>
        <w:tc>
          <w:tcPr>
            <w:tcW w:w="162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完成岗位目标职责</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区在职教师考核办法文件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合同制教师的考核合格率</w:t>
            </w:r>
          </w:p>
        </w:tc>
        <w:tc>
          <w:tcPr>
            <w:tcW w:w="236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合格率达到100%</w:t>
            </w:r>
          </w:p>
        </w:tc>
        <w:tc>
          <w:tcPr>
            <w:tcW w:w="162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≥98%</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区考核办法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资金支出率（%）</w:t>
            </w:r>
          </w:p>
        </w:tc>
        <w:tc>
          <w:tcPr>
            <w:tcW w:w="236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按月支付合同制教师工资及缴纳社会保障及住房公积金</w:t>
            </w:r>
          </w:p>
        </w:tc>
        <w:tc>
          <w:tcPr>
            <w:tcW w:w="162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保障项目正常运行</w:t>
            </w:r>
          </w:p>
        </w:tc>
        <w:tc>
          <w:tcPr>
            <w:tcW w:w="236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合同制教师薪酬测算标准</w:t>
            </w:r>
          </w:p>
        </w:tc>
        <w:tc>
          <w:tcPr>
            <w:tcW w:w="162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根据廊广传【2021】19号文件合同制教师与在职教师同工同酬</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缓解师资供需矛盾</w:t>
            </w:r>
          </w:p>
        </w:tc>
        <w:tc>
          <w:tcPr>
            <w:tcW w:w="236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缓解教师短缺，保障教育教学正常的进行</w:t>
            </w:r>
          </w:p>
        </w:tc>
        <w:tc>
          <w:tcPr>
            <w:tcW w:w="162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缓解</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学生满意度</w:t>
            </w:r>
          </w:p>
        </w:tc>
        <w:tc>
          <w:tcPr>
            <w:tcW w:w="236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所教班级学生满意度</w:t>
            </w:r>
          </w:p>
        </w:tc>
        <w:tc>
          <w:tcPr>
            <w:tcW w:w="162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学校满意度</w:t>
            </w:r>
          </w:p>
        </w:tc>
        <w:tc>
          <w:tcPr>
            <w:tcW w:w="236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在校教师满意度</w:t>
            </w:r>
          </w:p>
        </w:tc>
        <w:tc>
          <w:tcPr>
            <w:tcW w:w="162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家长满意度</w:t>
            </w:r>
          </w:p>
        </w:tc>
        <w:tc>
          <w:tcPr>
            <w:tcW w:w="236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所教班级家长满意度</w:t>
            </w:r>
          </w:p>
        </w:tc>
        <w:tc>
          <w:tcPr>
            <w:tcW w:w="162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spacing w:before="0" w:after="0"/>
        <w:ind w:firstLine="560"/>
        <w:jc w:val="left"/>
        <w:outlineLvl w:val="3"/>
        <w:rPr>
          <w:rFonts w:hint="eastAsia" w:ascii="仿宋_GB2312" w:hAnsi="仿宋_GB2312" w:eastAsia="仿宋_GB2312" w:cs="仿宋_GB2312"/>
        </w:rPr>
      </w:pPr>
      <w:bookmarkStart w:id="6" w:name="_Toc_4_4_0000000007"/>
      <w:r>
        <w:rPr>
          <w:rFonts w:hint="eastAsia" w:ascii="仿宋_GB2312" w:hAnsi="仿宋_GB2312" w:eastAsia="仿宋_GB2312" w:cs="仿宋_GB2312"/>
          <w:color w:val="000000"/>
          <w:sz w:val="28"/>
        </w:rPr>
        <w:t>4.教育经费绩效目标表</w:t>
      </w:r>
      <w:bookmarkEnd w:id="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92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921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1.弥补办公经费不足，保障教育教学正常的进行。</w:t>
            </w:r>
          </w:p>
          <w:p>
            <w:pPr>
              <w:pStyle w:val="14"/>
              <w:rPr>
                <w:rFonts w:hint="eastAsia" w:ascii="仿宋_GB2312" w:hAnsi="仿宋_GB2312" w:eastAsia="仿宋_GB2312" w:cs="仿宋_GB2312"/>
              </w:rPr>
            </w:pPr>
            <w:r>
              <w:rPr>
                <w:rFonts w:hint="eastAsia" w:ascii="仿宋_GB2312" w:hAnsi="仿宋_GB2312" w:eastAsia="仿宋_GB2312" w:cs="仿宋_GB2312"/>
              </w:rPr>
              <w:t>2.改善办学条件，提高教育教学环境。</w:t>
            </w:r>
          </w:p>
          <w:p>
            <w:pPr>
              <w:pStyle w:val="14"/>
              <w:rPr>
                <w:rFonts w:hint="eastAsia" w:ascii="仿宋_GB2312" w:hAnsi="仿宋_GB2312" w:eastAsia="仿宋_GB2312" w:cs="仿宋_GB2312"/>
              </w:rPr>
            </w:pPr>
            <w:r>
              <w:rPr>
                <w:rFonts w:hint="eastAsia" w:ascii="仿宋_GB2312" w:hAnsi="仿宋_GB2312" w:eastAsia="仿宋_GB2312" w:cs="仿宋_GB2312"/>
              </w:rPr>
              <w:t>3.开展文化体育等社会活动，提高学校社会影响力。</w:t>
            </w:r>
          </w:p>
          <w:p>
            <w:pPr>
              <w:pStyle w:val="14"/>
              <w:rPr>
                <w:rFonts w:hint="eastAsia" w:ascii="仿宋_GB2312" w:hAnsi="仿宋_GB2312" w:eastAsia="仿宋_GB2312" w:cs="仿宋_GB2312"/>
              </w:rPr>
            </w:pPr>
            <w:r>
              <w:rPr>
                <w:rFonts w:hint="eastAsia" w:ascii="仿宋_GB2312" w:hAnsi="仿宋_GB2312" w:eastAsia="仿宋_GB2312" w:cs="仿宋_GB2312"/>
              </w:rPr>
              <w:t>4.开展教师培训，提高教师队伍水平。</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61"/>
        <w:gridCol w:w="1324"/>
        <w:gridCol w:w="2724"/>
        <w:gridCol w:w="2476"/>
        <w:gridCol w:w="1048"/>
        <w:gridCol w:w="18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61"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1324"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2724"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24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048"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1848"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1"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132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272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保12个月教学正常运转</w:t>
            </w:r>
          </w:p>
        </w:tc>
        <w:tc>
          <w:tcPr>
            <w:tcW w:w="24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保障教学正常运转时长</w:t>
            </w:r>
          </w:p>
        </w:tc>
        <w:tc>
          <w:tcPr>
            <w:tcW w:w="104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12月</w:t>
            </w:r>
          </w:p>
        </w:tc>
        <w:tc>
          <w:tcPr>
            <w:tcW w:w="184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实际教学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1" w:type="dxa"/>
            <w:vMerge w:val="continue"/>
            <w:vAlign w:val="center"/>
          </w:tcPr>
          <w:p>
            <w:pPr>
              <w:rPr>
                <w:rFonts w:hint="eastAsia" w:ascii="仿宋_GB2312" w:hAnsi="仿宋_GB2312" w:eastAsia="仿宋_GB2312" w:cs="仿宋_GB2312"/>
              </w:rPr>
            </w:pPr>
          </w:p>
        </w:tc>
        <w:tc>
          <w:tcPr>
            <w:tcW w:w="132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272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物资采购合格率</w:t>
            </w:r>
          </w:p>
        </w:tc>
        <w:tc>
          <w:tcPr>
            <w:tcW w:w="24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保障日常教学器材及物资充裕</w:t>
            </w:r>
          </w:p>
        </w:tc>
        <w:tc>
          <w:tcPr>
            <w:tcW w:w="104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184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物资质量评价标准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1" w:type="dxa"/>
            <w:vMerge w:val="continue"/>
            <w:vAlign w:val="center"/>
          </w:tcPr>
          <w:p>
            <w:pPr>
              <w:rPr>
                <w:rFonts w:hint="eastAsia" w:ascii="仿宋_GB2312" w:hAnsi="仿宋_GB2312" w:eastAsia="仿宋_GB2312" w:cs="仿宋_GB2312"/>
              </w:rPr>
            </w:pPr>
          </w:p>
        </w:tc>
        <w:tc>
          <w:tcPr>
            <w:tcW w:w="132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272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上级下达学校的各项工作任务完成率</w:t>
            </w:r>
          </w:p>
        </w:tc>
        <w:tc>
          <w:tcPr>
            <w:tcW w:w="24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保证完成上级下达学校的各项工作任务</w:t>
            </w:r>
          </w:p>
        </w:tc>
        <w:tc>
          <w:tcPr>
            <w:tcW w:w="104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184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1" w:type="dxa"/>
            <w:vMerge w:val="continue"/>
            <w:vAlign w:val="center"/>
          </w:tcPr>
          <w:p>
            <w:pPr>
              <w:rPr>
                <w:rFonts w:hint="eastAsia" w:ascii="仿宋_GB2312" w:hAnsi="仿宋_GB2312" w:eastAsia="仿宋_GB2312" w:cs="仿宋_GB2312"/>
              </w:rPr>
            </w:pPr>
          </w:p>
        </w:tc>
        <w:tc>
          <w:tcPr>
            <w:tcW w:w="132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272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24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及时提供的教学用品、保障教学设施、设备正常运行</w:t>
            </w:r>
          </w:p>
        </w:tc>
        <w:tc>
          <w:tcPr>
            <w:tcW w:w="104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184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1" w:type="dxa"/>
            <w:vMerge w:val="continue"/>
            <w:vAlign w:val="center"/>
          </w:tcPr>
          <w:p>
            <w:pPr>
              <w:rPr>
                <w:rFonts w:hint="eastAsia" w:ascii="仿宋_GB2312" w:hAnsi="仿宋_GB2312" w:eastAsia="仿宋_GB2312" w:cs="仿宋_GB2312"/>
              </w:rPr>
            </w:pPr>
          </w:p>
        </w:tc>
        <w:tc>
          <w:tcPr>
            <w:tcW w:w="132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272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经费支出成本</w:t>
            </w:r>
          </w:p>
        </w:tc>
        <w:tc>
          <w:tcPr>
            <w:tcW w:w="24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经费各项支出不高于项目资金总额</w:t>
            </w:r>
          </w:p>
        </w:tc>
        <w:tc>
          <w:tcPr>
            <w:tcW w:w="104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≤57.32万元</w:t>
            </w:r>
          </w:p>
        </w:tc>
        <w:tc>
          <w:tcPr>
            <w:tcW w:w="184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资金分配表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132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72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义务教育高质量发展</w:t>
            </w:r>
          </w:p>
        </w:tc>
        <w:tc>
          <w:tcPr>
            <w:tcW w:w="24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推动义务教育从数量扩张向质量提高转变</w:t>
            </w:r>
          </w:p>
        </w:tc>
        <w:tc>
          <w:tcPr>
            <w:tcW w:w="104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提高</w:t>
            </w:r>
          </w:p>
        </w:tc>
        <w:tc>
          <w:tcPr>
            <w:tcW w:w="184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1"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32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72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24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104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184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1" w:type="dxa"/>
            <w:vMerge w:val="continue"/>
            <w:vAlign w:val="center"/>
          </w:tcPr>
          <w:p>
            <w:pPr>
              <w:rPr>
                <w:rFonts w:hint="eastAsia" w:ascii="仿宋_GB2312" w:hAnsi="仿宋_GB2312" w:eastAsia="仿宋_GB2312" w:cs="仿宋_GB2312"/>
              </w:rPr>
            </w:pPr>
          </w:p>
        </w:tc>
        <w:tc>
          <w:tcPr>
            <w:tcW w:w="132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72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家长的满意程度</w:t>
            </w:r>
          </w:p>
        </w:tc>
        <w:tc>
          <w:tcPr>
            <w:tcW w:w="24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家长的满意程度</w:t>
            </w:r>
          </w:p>
        </w:tc>
        <w:tc>
          <w:tcPr>
            <w:tcW w:w="104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184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spacing w:line="584" w:lineRule="exact"/>
        <w:ind w:firstLine="640" w:firstLineChars="200"/>
        <w:jc w:val="left"/>
        <w:textAlignment w:val="baseline"/>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textAlignment w:val="baseline"/>
        <w:rPr>
          <w:rFonts w:ascii="Times New Roman" w:hAnsi="Times New Roman" w:eastAsia="仿宋_GB2312" w:cs="Times New Roman"/>
          <w:sz w:val="32"/>
          <w:szCs w:val="24"/>
        </w:rPr>
      </w:pPr>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p>
      <w:pPr>
        <w:jc w:val="center"/>
        <w:textAlignment w:val="baseline"/>
        <w:rPr>
          <w:rFonts w:ascii="方正小标宋_GBK" w:eastAsia="方正小标宋_GBK" w:cs="Times New Roman"/>
          <w:sz w:val="32"/>
        </w:rPr>
      </w:pPr>
      <w:bookmarkStart w:id="7" w:name="_Toc64920910"/>
      <w:r>
        <w:rPr>
          <w:rFonts w:hint="eastAsia" w:ascii="方正小标宋_GBK" w:eastAsia="方正小标宋_GBK" w:cs="Times New Roman"/>
          <w:sz w:val="32"/>
        </w:rPr>
        <w:t>部门政府采购预算</w:t>
      </w:r>
      <w:bookmarkEnd w:id="7"/>
    </w:p>
    <w:p>
      <w:pPr>
        <w:textAlignment w:val="baseline"/>
        <w:rPr>
          <w:rFonts w:ascii="方正小标宋_GBK" w:eastAsia="方正小标宋_GBK" w:cs="Times New Roman"/>
          <w:sz w:val="32"/>
        </w:rPr>
      </w:pPr>
      <w:r>
        <w:rPr>
          <w:rFonts w:hint="eastAsia"/>
        </w:rPr>
        <w:t>[</w:t>
      </w:r>
      <w:r>
        <w:t>484001]</w:t>
      </w:r>
      <w:r>
        <w:rPr>
          <w:rFonts w:hint="eastAsia"/>
        </w:rPr>
        <w:t>廊坊市第九中学</w:t>
      </w:r>
      <w:r>
        <w:t xml:space="preserve">                                                                                            单位：万元</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09"/>
        <w:gridCol w:w="890"/>
        <w:gridCol w:w="1043"/>
        <w:gridCol w:w="1043"/>
        <w:gridCol w:w="652"/>
        <w:gridCol w:w="782"/>
        <w:gridCol w:w="782"/>
        <w:gridCol w:w="887"/>
        <w:gridCol w:w="887"/>
        <w:gridCol w:w="887"/>
        <w:gridCol w:w="887"/>
        <w:gridCol w:w="887"/>
        <w:gridCol w:w="888"/>
        <w:gridCol w:w="888"/>
        <w:gridCol w:w="888"/>
        <w:gridCol w:w="8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670" w:type="pct"/>
            <w:gridSpan w:val="2"/>
            <w:vAlign w:val="center"/>
          </w:tcPr>
          <w:p>
            <w:pPr>
              <w:pStyle w:val="12"/>
              <w:textAlignment w:val="baseline"/>
            </w:pPr>
            <w:r>
              <w:t>政府采购项目来源</w:t>
            </w:r>
          </w:p>
        </w:tc>
        <w:tc>
          <w:tcPr>
            <w:tcW w:w="368" w:type="pct"/>
            <w:vMerge w:val="restart"/>
            <w:vAlign w:val="center"/>
          </w:tcPr>
          <w:p>
            <w:pPr>
              <w:pStyle w:val="12"/>
              <w:textAlignment w:val="baseline"/>
            </w:pPr>
            <w:r>
              <w:t>采购物品名称</w:t>
            </w:r>
          </w:p>
        </w:tc>
        <w:tc>
          <w:tcPr>
            <w:tcW w:w="368" w:type="pct"/>
            <w:vMerge w:val="restart"/>
            <w:vAlign w:val="center"/>
          </w:tcPr>
          <w:p>
            <w:pPr>
              <w:pStyle w:val="12"/>
              <w:textAlignment w:val="baseline"/>
            </w:pPr>
            <w:r>
              <w:t>政府采购目录序号</w:t>
            </w:r>
          </w:p>
        </w:tc>
        <w:tc>
          <w:tcPr>
            <w:tcW w:w="230" w:type="pct"/>
            <w:vMerge w:val="restart"/>
            <w:vAlign w:val="center"/>
          </w:tcPr>
          <w:p>
            <w:pPr>
              <w:pStyle w:val="12"/>
              <w:textAlignment w:val="baseline"/>
            </w:pPr>
            <w:r>
              <w:t>计量  单位</w:t>
            </w:r>
          </w:p>
        </w:tc>
        <w:tc>
          <w:tcPr>
            <w:tcW w:w="276" w:type="pct"/>
            <w:vMerge w:val="restart"/>
            <w:vAlign w:val="center"/>
          </w:tcPr>
          <w:p>
            <w:pPr>
              <w:pStyle w:val="12"/>
              <w:textAlignment w:val="baseline"/>
            </w:pPr>
            <w:r>
              <w:t>数量</w:t>
            </w:r>
          </w:p>
        </w:tc>
        <w:tc>
          <w:tcPr>
            <w:tcW w:w="276" w:type="pct"/>
            <w:vMerge w:val="restart"/>
            <w:vAlign w:val="center"/>
          </w:tcPr>
          <w:p>
            <w:pPr>
              <w:pStyle w:val="12"/>
              <w:textAlignment w:val="baseline"/>
            </w:pPr>
            <w:r>
              <w:t>单价</w:t>
            </w:r>
          </w:p>
        </w:tc>
        <w:tc>
          <w:tcPr>
            <w:tcW w:w="2503" w:type="pct"/>
            <w:gridSpan w:val="8"/>
            <w:vAlign w:val="center"/>
          </w:tcPr>
          <w:p>
            <w:pPr>
              <w:pStyle w:val="12"/>
              <w:textAlignment w:val="baseline"/>
            </w:pPr>
            <w:r>
              <w:t>政府采购金额（当年部门预算安排资金）</w:t>
            </w:r>
          </w:p>
        </w:tc>
        <w:tc>
          <w:tcPr>
            <w:tcW w:w="309" w:type="pct"/>
            <w:vMerge w:val="restart"/>
            <w:vAlign w:val="center"/>
          </w:tcPr>
          <w:p>
            <w:pPr>
              <w:pStyle w:val="12"/>
              <w:textAlignment w:val="baseline"/>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356" w:type="pct"/>
            <w:vAlign w:val="center"/>
          </w:tcPr>
          <w:p>
            <w:pPr>
              <w:pStyle w:val="12"/>
              <w:textAlignment w:val="baseline"/>
            </w:pPr>
            <w:r>
              <w:t>项目名称</w:t>
            </w:r>
          </w:p>
        </w:tc>
        <w:tc>
          <w:tcPr>
            <w:tcW w:w="313" w:type="pct"/>
            <w:vAlign w:val="center"/>
          </w:tcPr>
          <w:p>
            <w:pPr>
              <w:pStyle w:val="12"/>
              <w:textAlignment w:val="baseline"/>
            </w:pPr>
            <w:r>
              <w:t>预算    资金</w:t>
            </w:r>
          </w:p>
        </w:tc>
        <w:tc>
          <w:tcPr>
            <w:tcW w:w="368" w:type="pct"/>
            <w:vMerge w:val="continue"/>
          </w:tcPr>
          <w:p>
            <w:pPr>
              <w:textAlignment w:val="baseline"/>
              <w:rPr>
                <w:sz w:val="20"/>
              </w:rPr>
            </w:pPr>
          </w:p>
        </w:tc>
        <w:tc>
          <w:tcPr>
            <w:tcW w:w="368" w:type="pct"/>
            <w:vMerge w:val="continue"/>
          </w:tcPr>
          <w:p>
            <w:pPr>
              <w:textAlignment w:val="baseline"/>
              <w:rPr>
                <w:sz w:val="20"/>
              </w:rPr>
            </w:pPr>
          </w:p>
        </w:tc>
        <w:tc>
          <w:tcPr>
            <w:tcW w:w="230" w:type="pct"/>
            <w:vMerge w:val="continue"/>
          </w:tcPr>
          <w:p>
            <w:pPr>
              <w:textAlignment w:val="baseline"/>
              <w:rPr>
                <w:sz w:val="20"/>
              </w:rPr>
            </w:pPr>
          </w:p>
        </w:tc>
        <w:tc>
          <w:tcPr>
            <w:tcW w:w="276" w:type="pct"/>
            <w:vMerge w:val="continue"/>
          </w:tcPr>
          <w:p>
            <w:pPr>
              <w:textAlignment w:val="baseline"/>
              <w:rPr>
                <w:sz w:val="20"/>
              </w:rPr>
            </w:pPr>
          </w:p>
        </w:tc>
        <w:tc>
          <w:tcPr>
            <w:tcW w:w="276" w:type="pct"/>
            <w:vMerge w:val="continue"/>
          </w:tcPr>
          <w:p>
            <w:pPr>
              <w:textAlignment w:val="baseline"/>
              <w:rPr>
                <w:sz w:val="20"/>
              </w:rPr>
            </w:pPr>
          </w:p>
        </w:tc>
        <w:tc>
          <w:tcPr>
            <w:tcW w:w="313" w:type="pct"/>
            <w:vAlign w:val="center"/>
          </w:tcPr>
          <w:p>
            <w:pPr>
              <w:pStyle w:val="12"/>
              <w:textAlignment w:val="baseline"/>
            </w:pPr>
            <w:r>
              <w:t>合计</w:t>
            </w:r>
          </w:p>
        </w:tc>
        <w:tc>
          <w:tcPr>
            <w:tcW w:w="313" w:type="pct"/>
            <w:vAlign w:val="center"/>
          </w:tcPr>
          <w:p>
            <w:pPr>
              <w:pStyle w:val="12"/>
              <w:textAlignment w:val="baseline"/>
            </w:pPr>
            <w:r>
              <w:t>一般公共预算拨款</w:t>
            </w:r>
          </w:p>
        </w:tc>
        <w:tc>
          <w:tcPr>
            <w:tcW w:w="313" w:type="pct"/>
            <w:vAlign w:val="center"/>
          </w:tcPr>
          <w:p>
            <w:pPr>
              <w:pStyle w:val="12"/>
              <w:textAlignment w:val="baseline"/>
            </w:pPr>
            <w:r>
              <w:t>基金预算拨款</w:t>
            </w:r>
          </w:p>
        </w:tc>
        <w:tc>
          <w:tcPr>
            <w:tcW w:w="313" w:type="pct"/>
            <w:vAlign w:val="center"/>
          </w:tcPr>
          <w:p>
            <w:pPr>
              <w:pStyle w:val="12"/>
              <w:textAlignment w:val="baseline"/>
            </w:pPr>
            <w:r>
              <w:t>国有资本经营预算拨款</w:t>
            </w:r>
          </w:p>
        </w:tc>
        <w:tc>
          <w:tcPr>
            <w:tcW w:w="313" w:type="pct"/>
            <w:vAlign w:val="center"/>
          </w:tcPr>
          <w:p>
            <w:pPr>
              <w:pStyle w:val="12"/>
              <w:textAlignment w:val="baseline"/>
            </w:pPr>
            <w:r>
              <w:t>财政专户核拨</w:t>
            </w:r>
          </w:p>
        </w:tc>
        <w:tc>
          <w:tcPr>
            <w:tcW w:w="313" w:type="pct"/>
            <w:vAlign w:val="center"/>
          </w:tcPr>
          <w:p>
            <w:pPr>
              <w:pStyle w:val="12"/>
              <w:textAlignment w:val="baseline"/>
            </w:pPr>
            <w:r>
              <w:t>单位    资金</w:t>
            </w:r>
          </w:p>
        </w:tc>
        <w:tc>
          <w:tcPr>
            <w:tcW w:w="313" w:type="pct"/>
            <w:vAlign w:val="center"/>
          </w:tcPr>
          <w:p>
            <w:pPr>
              <w:pStyle w:val="12"/>
              <w:textAlignment w:val="baseline"/>
            </w:pPr>
            <w:r>
              <w:t>财政拨    款结转</w:t>
            </w:r>
          </w:p>
        </w:tc>
        <w:tc>
          <w:tcPr>
            <w:tcW w:w="313" w:type="pct"/>
            <w:vAlign w:val="center"/>
          </w:tcPr>
          <w:p>
            <w:pPr>
              <w:pStyle w:val="12"/>
              <w:textAlignment w:val="baseline"/>
            </w:pPr>
            <w:r>
              <w:t>非财政    拨款结    转结余</w:t>
            </w:r>
          </w:p>
        </w:tc>
        <w:tc>
          <w:tcPr>
            <w:tcW w:w="309" w:type="pct"/>
            <w:vMerge w:val="continue"/>
          </w:tcPr>
          <w:p>
            <w:pPr>
              <w:textAlignment w:val="baseline"/>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356" w:type="pct"/>
            <w:vAlign w:val="center"/>
          </w:tcPr>
          <w:p>
            <w:pPr>
              <w:pStyle w:val="16"/>
              <w:textAlignment w:val="baseline"/>
            </w:pPr>
            <w:r>
              <w:t>合  计</w:t>
            </w:r>
          </w:p>
        </w:tc>
        <w:tc>
          <w:tcPr>
            <w:tcW w:w="313" w:type="pct"/>
            <w:vAlign w:val="center"/>
          </w:tcPr>
          <w:p>
            <w:pPr>
              <w:pStyle w:val="17"/>
              <w:textAlignment w:val="baseline"/>
            </w:pPr>
          </w:p>
        </w:tc>
        <w:tc>
          <w:tcPr>
            <w:tcW w:w="368" w:type="pct"/>
            <w:vAlign w:val="center"/>
          </w:tcPr>
          <w:p>
            <w:pPr>
              <w:pStyle w:val="18"/>
              <w:textAlignment w:val="baseline"/>
            </w:pPr>
          </w:p>
        </w:tc>
        <w:tc>
          <w:tcPr>
            <w:tcW w:w="368" w:type="pct"/>
            <w:vAlign w:val="center"/>
          </w:tcPr>
          <w:p>
            <w:pPr>
              <w:pStyle w:val="18"/>
              <w:textAlignment w:val="baseline"/>
            </w:pPr>
          </w:p>
        </w:tc>
        <w:tc>
          <w:tcPr>
            <w:tcW w:w="230" w:type="pct"/>
            <w:vAlign w:val="center"/>
          </w:tcPr>
          <w:p>
            <w:pPr>
              <w:pStyle w:val="16"/>
              <w:textAlignment w:val="baseline"/>
            </w:pPr>
          </w:p>
        </w:tc>
        <w:tc>
          <w:tcPr>
            <w:tcW w:w="276" w:type="pct"/>
            <w:vAlign w:val="center"/>
          </w:tcPr>
          <w:p>
            <w:pPr>
              <w:pStyle w:val="17"/>
              <w:textAlignment w:val="baseline"/>
            </w:pPr>
          </w:p>
        </w:tc>
        <w:tc>
          <w:tcPr>
            <w:tcW w:w="276" w:type="pct"/>
            <w:vAlign w:val="center"/>
          </w:tcPr>
          <w:p>
            <w:pPr>
              <w:pStyle w:val="17"/>
              <w:textAlignment w:val="baseline"/>
            </w:pPr>
          </w:p>
        </w:tc>
        <w:tc>
          <w:tcPr>
            <w:tcW w:w="313" w:type="pct"/>
            <w:vAlign w:val="center"/>
          </w:tcPr>
          <w:p>
            <w:pPr>
              <w:pStyle w:val="17"/>
              <w:textAlignment w:val="baseline"/>
            </w:pPr>
          </w:p>
        </w:tc>
        <w:tc>
          <w:tcPr>
            <w:tcW w:w="313" w:type="pct"/>
            <w:vAlign w:val="center"/>
          </w:tcPr>
          <w:p>
            <w:pPr>
              <w:pStyle w:val="17"/>
              <w:textAlignment w:val="baseline"/>
            </w:pPr>
          </w:p>
        </w:tc>
        <w:tc>
          <w:tcPr>
            <w:tcW w:w="313" w:type="pct"/>
            <w:vAlign w:val="center"/>
          </w:tcPr>
          <w:p>
            <w:pPr>
              <w:pStyle w:val="17"/>
              <w:textAlignment w:val="baseline"/>
            </w:pPr>
          </w:p>
        </w:tc>
        <w:tc>
          <w:tcPr>
            <w:tcW w:w="313" w:type="pct"/>
            <w:vAlign w:val="center"/>
          </w:tcPr>
          <w:p>
            <w:pPr>
              <w:pStyle w:val="17"/>
              <w:textAlignment w:val="baseline"/>
            </w:pPr>
          </w:p>
        </w:tc>
        <w:tc>
          <w:tcPr>
            <w:tcW w:w="313" w:type="pct"/>
            <w:vAlign w:val="center"/>
          </w:tcPr>
          <w:p>
            <w:pPr>
              <w:pStyle w:val="17"/>
              <w:textAlignment w:val="baseline"/>
            </w:pPr>
          </w:p>
        </w:tc>
        <w:tc>
          <w:tcPr>
            <w:tcW w:w="313" w:type="pct"/>
            <w:vAlign w:val="center"/>
          </w:tcPr>
          <w:p>
            <w:pPr>
              <w:pStyle w:val="17"/>
              <w:textAlignment w:val="baseline"/>
            </w:pPr>
          </w:p>
        </w:tc>
        <w:tc>
          <w:tcPr>
            <w:tcW w:w="313" w:type="pct"/>
            <w:vAlign w:val="center"/>
          </w:tcPr>
          <w:p>
            <w:pPr>
              <w:pStyle w:val="17"/>
              <w:textAlignment w:val="baseline"/>
            </w:pPr>
          </w:p>
        </w:tc>
        <w:tc>
          <w:tcPr>
            <w:tcW w:w="313" w:type="pct"/>
            <w:vAlign w:val="center"/>
          </w:tcPr>
          <w:p>
            <w:pPr>
              <w:pStyle w:val="17"/>
              <w:textAlignment w:val="baseline"/>
            </w:pPr>
          </w:p>
        </w:tc>
        <w:tc>
          <w:tcPr>
            <w:tcW w:w="309" w:type="pct"/>
            <w:vAlign w:val="center"/>
          </w:tcPr>
          <w:p>
            <w:pPr>
              <w:pStyle w:val="17"/>
              <w:textAlignment w:val="baseline"/>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356" w:type="pct"/>
            <w:vAlign w:val="center"/>
          </w:tcPr>
          <w:p>
            <w:pPr>
              <w:pStyle w:val="16"/>
              <w:textAlignment w:val="baseline"/>
            </w:pPr>
          </w:p>
        </w:tc>
        <w:tc>
          <w:tcPr>
            <w:tcW w:w="313" w:type="pct"/>
            <w:vAlign w:val="center"/>
          </w:tcPr>
          <w:p>
            <w:pPr>
              <w:pStyle w:val="17"/>
              <w:textAlignment w:val="baseline"/>
            </w:pPr>
          </w:p>
        </w:tc>
        <w:tc>
          <w:tcPr>
            <w:tcW w:w="368" w:type="pct"/>
            <w:vAlign w:val="center"/>
          </w:tcPr>
          <w:p>
            <w:pPr>
              <w:pStyle w:val="18"/>
              <w:textAlignment w:val="baseline"/>
            </w:pPr>
          </w:p>
        </w:tc>
        <w:tc>
          <w:tcPr>
            <w:tcW w:w="368" w:type="pct"/>
            <w:vAlign w:val="center"/>
          </w:tcPr>
          <w:p>
            <w:pPr>
              <w:pStyle w:val="18"/>
              <w:textAlignment w:val="baseline"/>
            </w:pPr>
          </w:p>
        </w:tc>
        <w:tc>
          <w:tcPr>
            <w:tcW w:w="230" w:type="pct"/>
            <w:vAlign w:val="center"/>
          </w:tcPr>
          <w:p>
            <w:pPr>
              <w:pStyle w:val="16"/>
              <w:textAlignment w:val="baseline"/>
            </w:pPr>
          </w:p>
        </w:tc>
        <w:tc>
          <w:tcPr>
            <w:tcW w:w="276" w:type="pct"/>
            <w:vAlign w:val="center"/>
          </w:tcPr>
          <w:p>
            <w:pPr>
              <w:pStyle w:val="17"/>
              <w:textAlignment w:val="baseline"/>
            </w:pPr>
          </w:p>
        </w:tc>
        <w:tc>
          <w:tcPr>
            <w:tcW w:w="276" w:type="pct"/>
            <w:vAlign w:val="center"/>
          </w:tcPr>
          <w:p>
            <w:pPr>
              <w:pStyle w:val="17"/>
              <w:textAlignment w:val="baseline"/>
            </w:pPr>
          </w:p>
        </w:tc>
        <w:tc>
          <w:tcPr>
            <w:tcW w:w="313" w:type="pct"/>
            <w:vAlign w:val="center"/>
          </w:tcPr>
          <w:p>
            <w:pPr>
              <w:pStyle w:val="17"/>
              <w:textAlignment w:val="baseline"/>
            </w:pPr>
          </w:p>
        </w:tc>
        <w:tc>
          <w:tcPr>
            <w:tcW w:w="313" w:type="pct"/>
            <w:vAlign w:val="center"/>
          </w:tcPr>
          <w:p>
            <w:pPr>
              <w:pStyle w:val="17"/>
              <w:textAlignment w:val="baseline"/>
            </w:pPr>
          </w:p>
        </w:tc>
        <w:tc>
          <w:tcPr>
            <w:tcW w:w="313" w:type="pct"/>
            <w:vAlign w:val="center"/>
          </w:tcPr>
          <w:p>
            <w:pPr>
              <w:pStyle w:val="17"/>
              <w:textAlignment w:val="baseline"/>
            </w:pPr>
          </w:p>
        </w:tc>
        <w:tc>
          <w:tcPr>
            <w:tcW w:w="313" w:type="pct"/>
            <w:vAlign w:val="center"/>
          </w:tcPr>
          <w:p>
            <w:pPr>
              <w:pStyle w:val="17"/>
              <w:textAlignment w:val="baseline"/>
            </w:pPr>
          </w:p>
        </w:tc>
        <w:tc>
          <w:tcPr>
            <w:tcW w:w="313" w:type="pct"/>
            <w:vAlign w:val="center"/>
          </w:tcPr>
          <w:p>
            <w:pPr>
              <w:pStyle w:val="17"/>
              <w:textAlignment w:val="baseline"/>
            </w:pPr>
          </w:p>
        </w:tc>
        <w:tc>
          <w:tcPr>
            <w:tcW w:w="313" w:type="pct"/>
            <w:vAlign w:val="center"/>
          </w:tcPr>
          <w:p>
            <w:pPr>
              <w:pStyle w:val="17"/>
              <w:textAlignment w:val="baseline"/>
            </w:pPr>
          </w:p>
        </w:tc>
        <w:tc>
          <w:tcPr>
            <w:tcW w:w="313" w:type="pct"/>
            <w:vAlign w:val="center"/>
          </w:tcPr>
          <w:p>
            <w:pPr>
              <w:pStyle w:val="17"/>
              <w:textAlignment w:val="baseline"/>
            </w:pPr>
          </w:p>
        </w:tc>
        <w:tc>
          <w:tcPr>
            <w:tcW w:w="313" w:type="pct"/>
            <w:vAlign w:val="center"/>
          </w:tcPr>
          <w:p>
            <w:pPr>
              <w:pStyle w:val="17"/>
              <w:textAlignment w:val="baseline"/>
            </w:pPr>
          </w:p>
        </w:tc>
        <w:tc>
          <w:tcPr>
            <w:tcW w:w="309" w:type="pct"/>
            <w:vAlign w:val="center"/>
          </w:tcPr>
          <w:p>
            <w:pPr>
              <w:pStyle w:val="17"/>
              <w:textAlignment w:val="baseline"/>
            </w:pPr>
          </w:p>
        </w:tc>
      </w:tr>
    </w:tbl>
    <w:p>
      <w:pPr>
        <w:spacing w:line="500" w:lineRule="exact"/>
        <w:ind w:firstLine="420"/>
        <w:textAlignment w:val="baseline"/>
        <w:rPr>
          <w:rFonts w:ascii="方正仿宋_GBK" w:hAnsi="方正仿宋_GBK" w:eastAsia="方正仿宋_GBK" w:cs="方正仿宋_GBK"/>
          <w:color w:val="000000"/>
          <w:sz w:val="2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textAlignment w:val="baseline"/>
        <w:rPr>
          <w:rFonts w:ascii="方正仿宋_GBK" w:hAnsi="方正仿宋_GBK" w:eastAsia="方正仿宋_GBK" w:cs="方正仿宋_GBK"/>
          <w:color w:val="000000"/>
          <w:sz w:val="20"/>
        </w:rPr>
      </w:pPr>
    </w:p>
    <w:p>
      <w:pPr>
        <w:spacing w:line="500" w:lineRule="exact"/>
        <w:ind w:firstLine="420"/>
        <w:textAlignment w:val="baseline"/>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第九中学</w:t>
      </w:r>
      <w:r>
        <w:rPr>
          <w:rFonts w:ascii="Times New Roman" w:hAnsi="Times New Roman" w:eastAsia="仿宋_GB2312" w:cs="Times New Roman"/>
          <w:sz w:val="32"/>
          <w:szCs w:val="32"/>
        </w:rPr>
        <w:t>上年末固定资产金额为1938.64万元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元，</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textAlignment w:val="baseline"/>
        <w:rPr>
          <w:rFonts w:ascii="Times New Roman" w:hAnsi="Times New Roman" w:eastAsia="仿宋_GB2312" w:cs="Times New Roman"/>
          <w:sz w:val="32"/>
          <w:szCs w:val="32"/>
        </w:rPr>
      </w:pP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textAlignment w:val="baseline"/>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第九中学</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textAlignment w:val="baseline"/>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第九中学</w:t>
            </w:r>
          </w:p>
        </w:tc>
        <w:tc>
          <w:tcPr>
            <w:tcW w:w="5103" w:type="dxa"/>
            <w:tcBorders>
              <w:top w:val="nil"/>
              <w:left w:val="nil"/>
              <w:bottom w:val="nil"/>
              <w:right w:val="nil"/>
            </w:tcBorders>
            <w:shd w:val="clear" w:color="auto" w:fill="auto"/>
            <w:noWrap/>
            <w:vAlign w:val="center"/>
          </w:tcPr>
          <w:p>
            <w:pPr>
              <w:widowControl/>
              <w:spacing w:line="584" w:lineRule="exact"/>
              <w:jc w:val="left"/>
              <w:textAlignment w:val="baseline"/>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textAlignment w:val="baseline"/>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textAlignment w:val="baseline"/>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textAlignment w:val="baseline"/>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textAlignment w:val="baseline"/>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textAlignment w:val="baseline"/>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textAlignment w:val="baseline"/>
              <w:rPr>
                <w:rFonts w:ascii="Times New Roman" w:hAnsi="Times New Roman" w:eastAsia="仿宋_GB2312" w:cs="Times New Roman"/>
                <w:sz w:val="22"/>
                <w:highlight w:val="yellow"/>
              </w:rPr>
            </w:pPr>
            <w:r>
              <w:rPr>
                <w:rFonts w:ascii="Times New Roman" w:hAnsi="Times New Roman" w:eastAsia="仿宋_GB2312" w:cs="Times New Roman"/>
                <w:sz w:val="22"/>
              </w:rPr>
              <w:t>1938.64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textAlignment w:val="baseline"/>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textAlignment w:val="baseline"/>
              <w:rPr>
                <w:rFonts w:ascii="Times New Roman" w:hAnsi="Times New Roman" w:eastAsia="仿宋_GB2312" w:cs="Times New Roman"/>
                <w:sz w:val="22"/>
              </w:rPr>
            </w:pPr>
            <w:r>
              <w:rPr>
                <w:rFonts w:ascii="Times New Roman" w:hAnsi="Times New Roman" w:eastAsia="仿宋_GB2312" w:cs="Times New Roman"/>
                <w:sz w:val="22"/>
              </w:rPr>
              <w:t>14085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textAlignment w:val="baseline"/>
              <w:rPr>
                <w:rFonts w:ascii="Times New Roman" w:hAnsi="Times New Roman" w:eastAsia="仿宋_GB2312" w:cs="Times New Roman"/>
                <w:sz w:val="22"/>
                <w:highlight w:val="yellow"/>
              </w:rPr>
            </w:pPr>
            <w:r>
              <w:rPr>
                <w:rFonts w:ascii="Times New Roman" w:hAnsi="Times New Roman" w:eastAsia="仿宋_GB2312" w:cs="Times New Roman"/>
                <w:sz w:val="22"/>
              </w:rPr>
              <w:t>1195.30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textAlignment w:val="baseline"/>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textAlignment w:val="baseline"/>
              <w:rPr>
                <w:rFonts w:ascii="Times New Roman" w:hAnsi="Times New Roman" w:eastAsia="仿宋_GB2312" w:cs="Times New Roman"/>
                <w:sz w:val="22"/>
              </w:rPr>
            </w:pPr>
            <w:r>
              <w:rPr>
                <w:rFonts w:ascii="Times New Roman" w:hAnsi="Times New Roman" w:eastAsia="仿宋_GB2312" w:cs="Times New Roman"/>
                <w:sz w:val="22"/>
              </w:rPr>
              <w:t>14085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textAlignment w:val="baseline"/>
              <w:rPr>
                <w:rFonts w:ascii="Times New Roman" w:hAnsi="Times New Roman" w:eastAsia="仿宋_GB2312" w:cs="Times New Roman"/>
                <w:sz w:val="22"/>
                <w:highlight w:val="yellow"/>
              </w:rPr>
            </w:pPr>
            <w:r>
              <w:rPr>
                <w:rFonts w:ascii="Times New Roman" w:hAnsi="Times New Roman" w:eastAsia="仿宋_GB2312" w:cs="Times New Roman"/>
                <w:sz w:val="22"/>
              </w:rPr>
              <w:t>1195.30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textAlignment w:val="baseline"/>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textAlignment w:val="baseline"/>
              <w:rPr>
                <w:rFonts w:ascii="Times New Roman" w:hAnsi="Times New Roman" w:eastAsia="仿宋_GB2312" w:cs="Times New Roman"/>
                <w:sz w:val="22"/>
              </w:rPr>
            </w:pPr>
            <w:r>
              <w:rPr>
                <w:rFonts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textAlignment w:val="baseline"/>
              <w:rPr>
                <w:rFonts w:ascii="Times New Roman" w:hAnsi="Times New Roman" w:eastAsia="仿宋_GB2312" w:cs="Times New Roman"/>
                <w:sz w:val="22"/>
                <w:highlight w:val="yellow"/>
              </w:rPr>
            </w:pPr>
            <w:r>
              <w:rPr>
                <w:rFonts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textAlignment w:val="baseline"/>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textAlignment w:val="baseline"/>
              <w:rPr>
                <w:rFonts w:ascii="Times New Roman" w:hAnsi="Times New Roman" w:eastAsia="仿宋_GB2312" w:cs="Times New Roman"/>
                <w:sz w:val="22"/>
              </w:rPr>
            </w:pPr>
            <w:r>
              <w:rPr>
                <w:rFonts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textAlignment w:val="baseline"/>
              <w:rPr>
                <w:rFonts w:ascii="Times New Roman" w:hAnsi="Times New Roman" w:eastAsia="仿宋_GB2312" w:cs="Times New Roman"/>
                <w:sz w:val="22"/>
                <w:highlight w:val="yellow"/>
              </w:rPr>
            </w:pPr>
            <w:r>
              <w:rPr>
                <w:rFonts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textAlignment w:val="baseline"/>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textAlignment w:val="baseline"/>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textAlignment w:val="baseline"/>
              <w:rPr>
                <w:rFonts w:ascii="Times New Roman" w:hAnsi="Times New Roman" w:eastAsia="仿宋_GB2312" w:cs="Times New Roman"/>
                <w:sz w:val="22"/>
                <w:highlight w:val="yellow"/>
              </w:rPr>
            </w:pPr>
            <w:r>
              <w:rPr>
                <w:rFonts w:ascii="Times New Roman" w:hAnsi="Times New Roman" w:eastAsia="仿宋_GB2312" w:cs="Times New Roman"/>
                <w:sz w:val="22"/>
              </w:rPr>
              <w:t>743.34</w:t>
            </w:r>
          </w:p>
        </w:tc>
      </w:tr>
    </w:tbl>
    <w:p>
      <w:pPr>
        <w:spacing w:line="584" w:lineRule="exact"/>
        <w:ind w:firstLine="640" w:firstLineChars="200"/>
        <w:jc w:val="left"/>
        <w:textAlignment w:val="baseline"/>
        <w:rPr>
          <w:rFonts w:ascii="Times New Roman" w:hAnsi="Times New Roman" w:eastAsia="黑体" w:cs="Times New Roman"/>
          <w:sz w:val="32"/>
          <w:szCs w:val="32"/>
        </w:rPr>
      </w:pPr>
    </w:p>
    <w:p>
      <w:pPr>
        <w:spacing w:line="584" w:lineRule="exact"/>
        <w:ind w:firstLine="640" w:firstLineChars="200"/>
        <w:jc w:val="left"/>
        <w:textAlignment w:val="baseline"/>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textAlignment w:val="baseline"/>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textAlignment w:val="baseline"/>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textAlignment w:val="baseline"/>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textAlignment w:val="baseline"/>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textAlignment w:val="baseline"/>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textAlignment w:val="baseline"/>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textAlignment w:val="baseline"/>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textAlignment w:val="baseline"/>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textAlignment w:val="baseline"/>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textAlignment w:val="baseline"/>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spacing w:line="584" w:lineRule="exact"/>
        <w:ind w:firstLine="640" w:firstLineChars="200"/>
        <w:jc w:val="left"/>
        <w:textAlignment w:val="baseline"/>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9</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230E6"/>
    <w:rsid w:val="000F6018"/>
    <w:rsid w:val="00155E1E"/>
    <w:rsid w:val="0025632D"/>
    <w:rsid w:val="00275ECB"/>
    <w:rsid w:val="0029157E"/>
    <w:rsid w:val="002A655B"/>
    <w:rsid w:val="002D686C"/>
    <w:rsid w:val="003059E0"/>
    <w:rsid w:val="00322505"/>
    <w:rsid w:val="003C2073"/>
    <w:rsid w:val="00477827"/>
    <w:rsid w:val="004A54AA"/>
    <w:rsid w:val="00633867"/>
    <w:rsid w:val="006728ED"/>
    <w:rsid w:val="00777E1A"/>
    <w:rsid w:val="00944233"/>
    <w:rsid w:val="00947248"/>
    <w:rsid w:val="00B40732"/>
    <w:rsid w:val="00B80935"/>
    <w:rsid w:val="00B84D39"/>
    <w:rsid w:val="00C31C96"/>
    <w:rsid w:val="00C95EE0"/>
    <w:rsid w:val="00CA6A92"/>
    <w:rsid w:val="00D347CC"/>
    <w:rsid w:val="00D445BE"/>
    <w:rsid w:val="00D95CF2"/>
    <w:rsid w:val="00DC72B4"/>
    <w:rsid w:val="00DE0654"/>
    <w:rsid w:val="00E6111E"/>
    <w:rsid w:val="00F93DD2"/>
    <w:rsid w:val="0CEC1180"/>
    <w:rsid w:val="3C3410C9"/>
    <w:rsid w:val="74C668FD"/>
    <w:rsid w:val="7C245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1002</Words>
  <Characters>5718</Characters>
  <Lines>47</Lines>
  <Paragraphs>13</Paragraphs>
  <TotalTime>2</TotalTime>
  <ScaleCrop>false</ScaleCrop>
  <LinksUpToDate>false</LinksUpToDate>
  <CharactersWithSpaces>6707</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2022-07-07T01:26:20Z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AA5FA1A517B1484E99D60DB362F4B666</vt:lpwstr>
  </property>
</Properties>
</file>