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w:t>
      </w:r>
      <w:bookmarkStart w:id="3" w:name="_GoBack"/>
      <w:r>
        <w:rPr>
          <w:rFonts w:hint="eastAsia" w:ascii="Times New Roman" w:hAnsi="Times New Roman" w:eastAsia="方正小标宋简体" w:cs="Times New Roman"/>
          <w:sz w:val="44"/>
          <w:szCs w:val="44"/>
          <w:lang w:val="en-US" w:eastAsia="zh-CN"/>
        </w:rPr>
        <w:t>供销社</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bookmarkEnd w:id="3"/>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广阳区供销社</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widowControl/>
        <w:spacing w:line="360" w:lineRule="atLeast"/>
        <w:ind w:firstLine="1120" w:firstLineChars="35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（一）</w:t>
      </w:r>
      <w:r>
        <w:rPr>
          <w:rFonts w:ascii="仿宋_GB2312" w:eastAsia="仿宋_GB2312" w:cs="宋体"/>
          <w:color w:val="000000"/>
          <w:kern w:val="0"/>
          <w:sz w:val="32"/>
          <w:szCs w:val="32"/>
        </w:rPr>
        <w:t xml:space="preserve"> </w:t>
      </w:r>
      <w:r>
        <w:rPr>
          <w:rFonts w:hint="eastAsia" w:ascii="仿宋_GB2312" w:eastAsia="仿宋_GB2312" w:cs="宋体"/>
          <w:color w:val="000000"/>
          <w:kern w:val="0"/>
          <w:sz w:val="32"/>
          <w:szCs w:val="32"/>
        </w:rPr>
        <w:t>是贯彻区委、区政府有关农村工作和社会发展的方针、政策；</w:t>
      </w:r>
      <w:r>
        <w:rPr>
          <w:rFonts w:ascii="仿宋_GB2312" w:eastAsia="仿宋_GB2312" w:cs="宋体"/>
          <w:color w:val="000000"/>
          <w:kern w:val="0"/>
          <w:sz w:val="32"/>
          <w:szCs w:val="32"/>
        </w:rPr>
        <w:br w:type="textWrapping"/>
      </w:r>
      <w:r>
        <w:rPr>
          <w:rFonts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（二）是按照区政府授权，对全区农业生产资料、日用消费品、棉花、食盐、烟花爆竹喝废旧再生资源等进行组织、协调和管理；</w:t>
      </w:r>
      <w:r>
        <w:rPr>
          <w:rFonts w:ascii="仿宋_GB2312" w:eastAsia="仿宋_GB2312" w:cs="宋体"/>
          <w:color w:val="000000"/>
          <w:kern w:val="0"/>
          <w:sz w:val="32"/>
          <w:szCs w:val="32"/>
        </w:rPr>
        <w:br w:type="textWrapping"/>
      </w:r>
      <w:r>
        <w:rPr>
          <w:rFonts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三）是负责指导全区供销社的业务工作，参与、推动和服务农业产业化经营，发展龙头企业、专业合作社和消费合作社，加快农业社会服务体系和农产品市场体系建设，开拓城乡市场。同时，承办区委、区政府和市供销社交办的其它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廊坊市广阳区供销合作社联合社</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事业单位</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广阳区供销社</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724.48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724.48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724.48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692.68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627.99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64.69</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31.8</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政府购买农村产权交易服务资金</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 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724.48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rPr>
        <w:t>减少34.45</w:t>
      </w:r>
      <w:r>
        <w:rPr>
          <w:rFonts w:ascii="Times New Roman" w:hAnsi="Times New Roman" w:eastAsia="仿宋_GB2312" w:cs="Times New Roman"/>
          <w:sz w:val="32"/>
          <w:szCs w:val="32"/>
        </w:rPr>
        <w:t>万元，其中：基本支出减少</w:t>
      </w:r>
      <w:r>
        <w:rPr>
          <w:rFonts w:hint="eastAsia" w:ascii="Times New Roman" w:hAnsi="Times New Roman" w:eastAsia="仿宋_GB2312" w:cs="Times New Roman"/>
          <w:sz w:val="32"/>
          <w:szCs w:val="32"/>
        </w:rPr>
        <w:t>34.45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rPr>
        <w:t>与2021年度持平</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农村产权交易服务资金</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rPr>
        <w:t>64.69</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区社</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一、总体绩效目标</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总体目标：按照省、市总体部署，紧紧围绕全区“三农”工作大局，以推进农业供给侧结构性改革为引领，以优化和创新供销服务供给为重点，整合社会资源，扩大开放办社，努力走新路、上品质、求赶超，努力实现增比进位，开创在全省系统看得见、拿得出、排得上、叫得响的广阳区发展模式。</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二、分项绩效目标</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1、供销流通管理</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紧紧围绕“三农”工作大局，以密切与农民利益联结为核心，以提升为农服务能力为根本，以强化基层社和创新联合社治理机制为重点，努力开创特色供销合作事业新局面。按照“改造自我，服务农民”的总体要求，朝着办成农民合作经济组织的方向，大力推行经营创新、组织创新、服务创新，推动综合改革顺利进行。</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2、服务三农事务管理                          </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改革创新为动力、以物流配送为支撑，坚持供销社主办、合作式发展、市场化运作，在乡镇政府所在地和行政村重点建设以日用消费品、农业生产资料为主营业务的供销社农村超市；在县城重点建设日用消费品、农业生产资料中心超市并具备配送功能。2.健全农村市场体系，大力发展农业生产资料现代经营服务网络、日用消费品现代经营网络、烟花爆竹零售网络和再生资源回收利用网络，推进适应现代农业要求的流通产业发展，促进全区农村经济快速健康发展。加快全区供销社系统农资、日用消费品、烟花爆竹和再生资源四大网络建设，增强企业发展实力.3.紧紧围绕“三农”工作大局，以密切与农民利益联结为核心，以提升为农服务能力为根本，把供销合作社系统打造成为与农民联结更紧密、为农服务功能更完备、市场化运行更高效的合作经济组织体系，成为服务农民生产生活的生力军和综合平台，成为党和政府密切联系农民群众的桥梁纽带，切实在农业现代化建设中更好地发挥作用。适应新型城镇化和新农村建设要求，加快建设农村综合服务社和城乡社区服务中心（站），为城乡居民提供日用消费品、文体娱乐、养老幼教、就业培训等多样化服务。</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3、供销合作政务管理</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负责管理运营本级社有资产，对直属企业行使出资人职能，依法享有所有者的资产收益、重大问题决策和选择管理者的权利，决定资产收益办法和支配方式。负责机关及直属单位党建、精神文明建设和政治思想工作，按照干部管理权限考察任免干部。以供销社综合改革为契机，盘活现有资产、推进社属企业改革，维护区直和谐稳定局面。</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4、农村产权交易管理</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借助供销社现有组织体系，经营网点，资产设施，农村金融业务等为农服务资源，逐步发展成为集信息发布汇总，产权交易、法律咨询、资产平复、抵押融资等为一体的区级为农服务平台</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三、工作保障措施</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1、完善制度建设</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建立健全各项管理规章制度，以规章制度管理人员，管理财政预算各项经费的支出</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2、加强支出管理</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规范区供销社机关财政供养人员工资、津贴补贴发放，进一步完善工会会费、福利费等公用经费的管理，严格按照相关文件规定支出</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3、加强绩效运行监控</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绩效目标为核心，对各项支出进行监控，对偏离绩效目标的支出及时采取纠偏措施，保证绩效目标如期实现。构建绩效监控系统，逐步实现与预算编制、国库集中支付、政府采购、资产、财务、业务等系统信息共享，提高预警能力和分析水平</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4、做好绩效自评</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预算绩效评价是指各级财务部门和事业部门（单位）根据设定的绩效目标，运用科学、合理的绩效评价指标、评价标准和评价发放，对预算经费支出的经济性、效率性和效益性进行客观、公正的评价。绩效评价涵盖预算经费支出的全过程，包括事前（预算申报阶段）评价、事中（预算执行阶段）评价和事后（预算完成阶段）评价。</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5、规范财务资产管理</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认真学习贯彻财经法规，遵守财经纪律，严格按照政府会计制度保证本单位财产物资、货币资金的安全并确保合理使用。</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6、加强内部监督</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构建科学有效的内部监督机制，推动供销社系统安全、有效、稳健的运行</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7、加强宣传培训调研等</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努力探索新形势下加强和改进思想政治工作的新方式和新方法。通过召开研讨会和座谈会、深入基层访谈、调研活动等途经了解社情民意，围绕干部群众关心的日电、难点问题解疑释惑。</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 w:type="dxa"/>
          <w:bottom w:w="0" w:type="dxa"/>
          <w:right w:w="11" w:type="dxa"/>
        </w:tblCellMar>
      </w:tblPr>
      <w:tblGrid>
        <w:gridCol w:w="821"/>
        <w:gridCol w:w="1243"/>
        <w:gridCol w:w="1912"/>
        <w:gridCol w:w="3383"/>
        <w:gridCol w:w="2290"/>
        <w:gridCol w:w="800"/>
        <w:gridCol w:w="710"/>
        <w:gridCol w:w="850"/>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294" w:type="pct"/>
            <w:vMerge w:val="restart"/>
            <w:tcBorders>
              <w:tl2br w:val="nil"/>
              <w:tr2bl w:val="nil"/>
            </w:tcBorders>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445" w:type="pct"/>
            <w:vMerge w:val="restart"/>
            <w:tcBorders>
              <w:tl2br w:val="nil"/>
              <w:tr2bl w:val="nil"/>
            </w:tcBorders>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二级</w:t>
            </w:r>
          </w:p>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指标</w:t>
            </w:r>
          </w:p>
        </w:tc>
        <w:tc>
          <w:tcPr>
            <w:tcW w:w="684" w:type="pct"/>
            <w:vMerge w:val="restart"/>
            <w:tcBorders>
              <w:tl2br w:val="nil"/>
              <w:tr2bl w:val="nil"/>
            </w:tcBorders>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三级</w:t>
            </w:r>
          </w:p>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指标</w:t>
            </w:r>
          </w:p>
        </w:tc>
        <w:tc>
          <w:tcPr>
            <w:tcW w:w="1210" w:type="pct"/>
            <w:vMerge w:val="restart"/>
            <w:tcBorders>
              <w:tl2br w:val="nil"/>
              <w:tr2bl w:val="nil"/>
            </w:tcBorders>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评（扣）分标准</w:t>
            </w:r>
          </w:p>
        </w:tc>
        <w:tc>
          <w:tcPr>
            <w:tcW w:w="819" w:type="pct"/>
            <w:vMerge w:val="restart"/>
            <w:tcBorders>
              <w:tl2br w:val="nil"/>
              <w:tr2bl w:val="nil"/>
            </w:tcBorders>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绩效指标</w:t>
            </w:r>
          </w:p>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描述</w:t>
            </w:r>
          </w:p>
        </w:tc>
        <w:tc>
          <w:tcPr>
            <w:tcW w:w="844" w:type="pct"/>
            <w:gridSpan w:val="3"/>
            <w:tcBorders>
              <w:tl2br w:val="nil"/>
              <w:tr2bl w:val="nil"/>
            </w:tcBorders>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702" w:type="pct"/>
            <w:vMerge w:val="restart"/>
            <w:tcBorders>
              <w:tl2br w:val="nil"/>
              <w:tr2bl w:val="nil"/>
            </w:tcBorders>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指标值</w:t>
            </w:r>
          </w:p>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294" w:type="pct"/>
            <w:vMerge w:val="continue"/>
            <w:tcBorders>
              <w:tl2br w:val="nil"/>
              <w:tr2bl w:val="nil"/>
            </w:tcBorders>
            <w:vAlign w:val="center"/>
          </w:tcPr>
          <w:p>
            <w:pPr>
              <w:rPr>
                <w:rFonts w:hint="eastAsia" w:ascii="仿宋_GB2312" w:hAnsi="仿宋_GB2312" w:eastAsia="仿宋_GB2312" w:cs="仿宋_GB2312"/>
              </w:rPr>
            </w:pPr>
          </w:p>
        </w:tc>
        <w:tc>
          <w:tcPr>
            <w:tcW w:w="445" w:type="pct"/>
            <w:vMerge w:val="continue"/>
            <w:tcBorders>
              <w:tl2br w:val="nil"/>
              <w:tr2bl w:val="nil"/>
            </w:tcBorders>
            <w:vAlign w:val="center"/>
          </w:tcPr>
          <w:p>
            <w:pPr>
              <w:rPr>
                <w:rFonts w:hint="eastAsia" w:ascii="仿宋_GB2312" w:hAnsi="仿宋_GB2312" w:eastAsia="仿宋_GB2312" w:cs="仿宋_GB2312"/>
              </w:rPr>
            </w:pPr>
          </w:p>
        </w:tc>
        <w:tc>
          <w:tcPr>
            <w:tcW w:w="684" w:type="pct"/>
            <w:vMerge w:val="continue"/>
            <w:tcBorders>
              <w:tl2br w:val="nil"/>
              <w:tr2bl w:val="nil"/>
            </w:tcBorders>
            <w:vAlign w:val="center"/>
          </w:tcPr>
          <w:p>
            <w:pPr>
              <w:rPr>
                <w:rFonts w:hint="eastAsia" w:ascii="仿宋_GB2312" w:hAnsi="仿宋_GB2312" w:eastAsia="仿宋_GB2312" w:cs="仿宋_GB2312"/>
              </w:rPr>
            </w:pPr>
          </w:p>
        </w:tc>
        <w:tc>
          <w:tcPr>
            <w:tcW w:w="1210" w:type="pct"/>
            <w:vMerge w:val="continue"/>
            <w:tcBorders>
              <w:tl2br w:val="nil"/>
              <w:tr2bl w:val="nil"/>
            </w:tcBorders>
            <w:vAlign w:val="center"/>
          </w:tcPr>
          <w:p>
            <w:pPr>
              <w:rPr>
                <w:rFonts w:hint="eastAsia" w:ascii="仿宋_GB2312" w:hAnsi="仿宋_GB2312" w:eastAsia="仿宋_GB2312" w:cs="仿宋_GB2312"/>
              </w:rPr>
            </w:pPr>
          </w:p>
        </w:tc>
        <w:tc>
          <w:tcPr>
            <w:tcW w:w="819" w:type="pct"/>
            <w:vMerge w:val="continue"/>
            <w:tcBorders>
              <w:tl2br w:val="nil"/>
              <w:tr2bl w:val="nil"/>
            </w:tcBorders>
            <w:vAlign w:val="center"/>
          </w:tcPr>
          <w:p>
            <w:pPr>
              <w:rPr>
                <w:rFonts w:hint="eastAsia" w:ascii="仿宋_GB2312" w:hAnsi="仿宋_GB2312" w:eastAsia="仿宋_GB2312" w:cs="仿宋_GB2312"/>
              </w:rPr>
            </w:pPr>
          </w:p>
        </w:tc>
        <w:tc>
          <w:tcPr>
            <w:tcW w:w="286" w:type="pct"/>
            <w:tcBorders>
              <w:tl2br w:val="nil"/>
              <w:tr2bl w:val="nil"/>
            </w:tcBorders>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符号</w:t>
            </w:r>
          </w:p>
        </w:tc>
        <w:tc>
          <w:tcPr>
            <w:tcW w:w="254" w:type="pct"/>
            <w:tcBorders>
              <w:tl2br w:val="nil"/>
              <w:tr2bl w:val="nil"/>
            </w:tcBorders>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值</w:t>
            </w:r>
          </w:p>
        </w:tc>
        <w:tc>
          <w:tcPr>
            <w:tcW w:w="303" w:type="pct"/>
            <w:tcBorders>
              <w:tl2br w:val="nil"/>
              <w:tr2bl w:val="nil"/>
            </w:tcBorders>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单位</w:t>
            </w:r>
          </w:p>
        </w:tc>
        <w:tc>
          <w:tcPr>
            <w:tcW w:w="702" w:type="pct"/>
            <w:vMerge w:val="continue"/>
            <w:tcBorders>
              <w:tl2br w:val="nil"/>
              <w:tr2bl w:val="nil"/>
            </w:tcBorders>
            <w:vAlign w:val="center"/>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294" w:type="pct"/>
            <w:vMerge w:val="restar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部门产出</w:t>
            </w:r>
          </w:p>
        </w:tc>
        <w:tc>
          <w:tcPr>
            <w:tcW w:w="445"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数量</w:t>
            </w:r>
          </w:p>
        </w:tc>
        <w:tc>
          <w:tcPr>
            <w:tcW w:w="684"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保障办公人数</w:t>
            </w:r>
          </w:p>
        </w:tc>
        <w:tc>
          <w:tcPr>
            <w:tcW w:w="1210"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人员数量是否达标</w:t>
            </w:r>
          </w:p>
        </w:tc>
        <w:tc>
          <w:tcPr>
            <w:tcW w:w="81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保障办公人数</w:t>
            </w:r>
          </w:p>
        </w:tc>
        <w:tc>
          <w:tcPr>
            <w:tcW w:w="286"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254"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34</w:t>
            </w:r>
          </w:p>
        </w:tc>
        <w:tc>
          <w:tcPr>
            <w:tcW w:w="303"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人</w:t>
            </w:r>
          </w:p>
        </w:tc>
        <w:tc>
          <w:tcPr>
            <w:tcW w:w="702"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工资表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294" w:type="pct"/>
            <w:vMerge w:val="continue"/>
            <w:tcBorders>
              <w:tl2br w:val="nil"/>
              <w:tr2bl w:val="nil"/>
            </w:tcBorders>
            <w:vAlign w:val="center"/>
          </w:tcPr>
          <w:p>
            <w:pPr>
              <w:rPr>
                <w:rFonts w:hint="eastAsia" w:ascii="仿宋_GB2312" w:hAnsi="仿宋_GB2312" w:eastAsia="仿宋_GB2312" w:cs="仿宋_GB2312"/>
              </w:rPr>
            </w:pPr>
          </w:p>
        </w:tc>
        <w:tc>
          <w:tcPr>
            <w:tcW w:w="445"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质量</w:t>
            </w:r>
          </w:p>
        </w:tc>
        <w:tc>
          <w:tcPr>
            <w:tcW w:w="684"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机关运转率</w:t>
            </w:r>
          </w:p>
        </w:tc>
        <w:tc>
          <w:tcPr>
            <w:tcW w:w="1210"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运转率是否正常</w:t>
            </w:r>
          </w:p>
        </w:tc>
        <w:tc>
          <w:tcPr>
            <w:tcW w:w="81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各项日常工作保障率</w:t>
            </w:r>
          </w:p>
        </w:tc>
        <w:tc>
          <w:tcPr>
            <w:tcW w:w="286"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254"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303"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百分之</w:t>
            </w:r>
          </w:p>
        </w:tc>
        <w:tc>
          <w:tcPr>
            <w:tcW w:w="702"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294" w:type="pct"/>
            <w:vMerge w:val="continue"/>
            <w:tcBorders>
              <w:tl2br w:val="nil"/>
              <w:tr2bl w:val="nil"/>
            </w:tcBorders>
            <w:vAlign w:val="center"/>
          </w:tcPr>
          <w:p>
            <w:pPr>
              <w:rPr>
                <w:rFonts w:hint="eastAsia" w:ascii="仿宋_GB2312" w:hAnsi="仿宋_GB2312" w:eastAsia="仿宋_GB2312" w:cs="仿宋_GB2312"/>
              </w:rPr>
            </w:pPr>
          </w:p>
        </w:tc>
        <w:tc>
          <w:tcPr>
            <w:tcW w:w="445"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时效</w:t>
            </w:r>
          </w:p>
        </w:tc>
        <w:tc>
          <w:tcPr>
            <w:tcW w:w="684"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按规定时限发放工资、缴纳保险</w:t>
            </w:r>
          </w:p>
        </w:tc>
        <w:tc>
          <w:tcPr>
            <w:tcW w:w="1210"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是否按规定时限发放</w:t>
            </w:r>
          </w:p>
        </w:tc>
        <w:tc>
          <w:tcPr>
            <w:tcW w:w="81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按规定时限发放工资、缴纳保险</w:t>
            </w:r>
          </w:p>
        </w:tc>
        <w:tc>
          <w:tcPr>
            <w:tcW w:w="286"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文字描述</w:t>
            </w:r>
          </w:p>
        </w:tc>
        <w:tc>
          <w:tcPr>
            <w:tcW w:w="254"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303"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及时发放</w:t>
            </w:r>
          </w:p>
        </w:tc>
        <w:tc>
          <w:tcPr>
            <w:tcW w:w="702"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按月发放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294" w:type="pct"/>
            <w:vMerge w:val="continue"/>
            <w:tcBorders>
              <w:tl2br w:val="nil"/>
              <w:tr2bl w:val="nil"/>
            </w:tcBorders>
            <w:vAlign w:val="center"/>
          </w:tcPr>
          <w:p>
            <w:pPr>
              <w:rPr>
                <w:rFonts w:hint="eastAsia" w:ascii="仿宋_GB2312" w:hAnsi="仿宋_GB2312" w:eastAsia="仿宋_GB2312" w:cs="仿宋_GB2312"/>
              </w:rPr>
            </w:pPr>
          </w:p>
        </w:tc>
        <w:tc>
          <w:tcPr>
            <w:tcW w:w="445"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成本</w:t>
            </w:r>
          </w:p>
        </w:tc>
        <w:tc>
          <w:tcPr>
            <w:tcW w:w="684"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经费开支</w:t>
            </w:r>
          </w:p>
        </w:tc>
        <w:tc>
          <w:tcPr>
            <w:tcW w:w="1210"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是否按标准开支</w:t>
            </w:r>
          </w:p>
        </w:tc>
        <w:tc>
          <w:tcPr>
            <w:tcW w:w="81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办公费、水电费等公用经费的开支标准</w:t>
            </w:r>
          </w:p>
        </w:tc>
        <w:tc>
          <w:tcPr>
            <w:tcW w:w="286"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文字描述</w:t>
            </w:r>
          </w:p>
        </w:tc>
        <w:tc>
          <w:tcPr>
            <w:tcW w:w="254"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303"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按统一规定执行</w:t>
            </w:r>
          </w:p>
        </w:tc>
        <w:tc>
          <w:tcPr>
            <w:tcW w:w="702"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年度预算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294" w:type="pct"/>
            <w:vMerge w:val="restart"/>
            <w:tcBorders>
              <w:tl2br w:val="nil"/>
              <w:tr2bl w:val="nil"/>
            </w:tcBorders>
            <w:vAlign w:val="center"/>
          </w:tcPr>
          <w:p>
            <w:pPr>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部门效果</w:t>
            </w:r>
          </w:p>
        </w:tc>
        <w:tc>
          <w:tcPr>
            <w:tcW w:w="445"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社会</w:t>
            </w:r>
          </w:p>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效益</w:t>
            </w:r>
          </w:p>
        </w:tc>
        <w:tc>
          <w:tcPr>
            <w:tcW w:w="684"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保障机关单位正常运转</w:t>
            </w:r>
          </w:p>
        </w:tc>
        <w:tc>
          <w:tcPr>
            <w:tcW w:w="1210"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是否正常运转</w:t>
            </w:r>
          </w:p>
        </w:tc>
        <w:tc>
          <w:tcPr>
            <w:tcW w:w="81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保障机关单位正常运转</w:t>
            </w:r>
          </w:p>
        </w:tc>
        <w:tc>
          <w:tcPr>
            <w:tcW w:w="286"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文字描述</w:t>
            </w:r>
          </w:p>
        </w:tc>
        <w:tc>
          <w:tcPr>
            <w:tcW w:w="254"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303"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维持单位正常运转</w:t>
            </w:r>
          </w:p>
        </w:tc>
        <w:tc>
          <w:tcPr>
            <w:tcW w:w="702"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294" w:type="pct"/>
            <w:vMerge w:val="continue"/>
            <w:tcBorders>
              <w:tl2br w:val="nil"/>
              <w:tr2bl w:val="nil"/>
            </w:tcBorders>
            <w:vAlign w:val="center"/>
          </w:tcPr>
          <w:p>
            <w:pPr>
              <w:rPr>
                <w:rFonts w:hint="eastAsia" w:ascii="仿宋_GB2312" w:hAnsi="仿宋_GB2312" w:eastAsia="仿宋_GB2312" w:cs="仿宋_GB2312"/>
              </w:rPr>
            </w:pPr>
          </w:p>
        </w:tc>
        <w:tc>
          <w:tcPr>
            <w:tcW w:w="445"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满意度</w:t>
            </w:r>
          </w:p>
        </w:tc>
        <w:tc>
          <w:tcPr>
            <w:tcW w:w="684" w:type="pct"/>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210" w:type="pct"/>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是否满意</w:t>
            </w:r>
          </w:p>
        </w:tc>
        <w:tc>
          <w:tcPr>
            <w:tcW w:w="819" w:type="pct"/>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单位人员满意度</w:t>
            </w:r>
          </w:p>
        </w:tc>
        <w:tc>
          <w:tcPr>
            <w:tcW w:w="286"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w:t>
            </w:r>
          </w:p>
        </w:tc>
        <w:tc>
          <w:tcPr>
            <w:tcW w:w="254"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100</w:t>
            </w:r>
          </w:p>
        </w:tc>
        <w:tc>
          <w:tcPr>
            <w:tcW w:w="303"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百分之</w:t>
            </w:r>
          </w:p>
        </w:tc>
        <w:tc>
          <w:tcPr>
            <w:tcW w:w="702"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调查问卷</w:t>
            </w: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 xml:space="preserve">政府购买农村产权交易资金 </w:t>
      </w:r>
      <w:r>
        <w:rPr>
          <w:rFonts w:ascii="Times New Roman" w:hAnsi="Times New Roman" w:eastAsia="仿宋_GB2312" w:cs="Times New Roman"/>
          <w:sz w:val="28"/>
        </w:rPr>
        <w:t>绩效目标表</w:t>
      </w:r>
      <w:bookmarkStart w:id="0" w:name="_Toc29799657"/>
      <w:bookmarkEnd w:id="0"/>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通过项目的开展完成农村产权流转交易服务体系建设，积极开展集体资产流转交易鉴证，落实“应进必进”原则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站点服务</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业务咨询和办理工作人员数</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≥6个</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廊广政办【2017】4号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完成率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服务站点与任务数比</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廊广改革办【2021】2号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及时拨付资金</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购买服务资金拨付企业</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≤3月</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往来票据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人员服务费</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不高于当地劳务派遣费</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≤2500元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交易事务办结率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完成率和交易鉴证数的比率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交易鉴证书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调查表</w:t>
            </w:r>
          </w:p>
        </w:tc>
      </w:tr>
    </w:tbl>
    <w:p>
      <w:pPr>
        <w:autoSpaceDE w:val="0"/>
        <w:autoSpaceDN w:val="0"/>
        <w:adjustRightInd w:val="0"/>
        <w:spacing w:line="584" w:lineRule="exact"/>
        <w:jc w:val="left"/>
        <w:rPr>
          <w:rFonts w:ascii="Times New Roman" w:hAnsi="Times New Roman" w:eastAsia="黑体" w:cs="Times New Roman"/>
          <w:sz w:val="44"/>
          <w:szCs w:val="44"/>
        </w:rPr>
      </w:pPr>
    </w:p>
    <w:p>
      <w:pPr>
        <w:autoSpaceDE w:val="0"/>
        <w:autoSpaceDN w:val="0"/>
        <w:adjustRightInd w:val="0"/>
        <w:spacing w:line="584" w:lineRule="exact"/>
        <w:jc w:val="left"/>
        <w:rPr>
          <w:rFonts w:ascii="Times New Roman" w:hAnsi="Times New Roman" w:eastAsia="黑体" w:cs="Times New Roman"/>
          <w:sz w:val="44"/>
          <w:szCs w:val="44"/>
        </w:rPr>
      </w:pPr>
    </w:p>
    <w:p>
      <w:pPr>
        <w:autoSpaceDE w:val="0"/>
        <w:autoSpaceDN w:val="0"/>
        <w:adjustRightInd w:val="0"/>
        <w:spacing w:line="584" w:lineRule="exact"/>
        <w:jc w:val="left"/>
        <w:rPr>
          <w:rFonts w:ascii="Times New Roman" w:hAnsi="Times New Roman" w:eastAsia="黑体" w:cs="Times New Roman"/>
          <w:sz w:val="44"/>
          <w:szCs w:val="44"/>
        </w:rPr>
      </w:pPr>
    </w:p>
    <w:p>
      <w:pPr>
        <w:autoSpaceDE w:val="0"/>
        <w:autoSpaceDN w:val="0"/>
        <w:adjustRightInd w:val="0"/>
        <w:spacing w:line="584" w:lineRule="exact"/>
        <w:jc w:val="left"/>
        <w:rPr>
          <w:rFonts w:ascii="Times New Roman" w:hAnsi="Times New Roman" w:eastAsia="黑体" w:cs="Times New Roman"/>
          <w:sz w:val="44"/>
          <w:szCs w:val="44"/>
        </w:rPr>
      </w:pPr>
    </w:p>
    <w:p>
      <w:pPr>
        <w:autoSpaceDE w:val="0"/>
        <w:autoSpaceDN w:val="0"/>
        <w:adjustRightInd w:val="0"/>
        <w:spacing w:line="584" w:lineRule="exact"/>
        <w:jc w:val="left"/>
        <w:rPr>
          <w:rFonts w:ascii="Times New Roman" w:hAnsi="Times New Roman" w:eastAsia="黑体" w:cs="Times New Roman"/>
          <w:sz w:val="44"/>
          <w:szCs w:val="44"/>
        </w:rPr>
      </w:pPr>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rPr>
        <w:t>31.8</w:t>
      </w:r>
      <w:r>
        <w:rPr>
          <w:rFonts w:ascii="Times New Roman" w:hAnsi="Times New Roman" w:eastAsia="仿宋_GB2312" w:cs="Times New Roman"/>
          <w:sz w:val="32"/>
          <w:szCs w:val="24"/>
        </w:rPr>
        <w:t>万元。具体内容见下表。</w:t>
      </w:r>
    </w:p>
    <w:bookmarkEnd w:id="1"/>
    <w:p>
      <w:pPr>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rPr>
        <w:t>部门政府采购预算</w:t>
      </w:r>
      <w:bookmarkEnd w:id="2"/>
    </w:p>
    <w:p>
      <w:pPr>
        <w:outlineLvl w:val="1"/>
        <w:rPr>
          <w:rFonts w:ascii="方正小标宋_GBK" w:eastAsia="方正小标宋_GBK" w:cs="Times New Roman"/>
          <w:sz w:val="32"/>
        </w:rPr>
      </w:pPr>
      <w:r>
        <w:t>***廊坊市</w:t>
      </w:r>
      <w:r>
        <w:rPr>
          <w:rFonts w:hint="eastAsia"/>
        </w:rPr>
        <w:t>广阳区*</w:t>
      </w:r>
      <w:r>
        <w:t>**                                                                                                         单位：万元</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06"/>
        <w:gridCol w:w="888"/>
        <w:gridCol w:w="1041"/>
        <w:gridCol w:w="1041"/>
        <w:gridCol w:w="650"/>
        <w:gridCol w:w="780"/>
        <w:gridCol w:w="780"/>
        <w:gridCol w:w="885"/>
        <w:gridCol w:w="885"/>
        <w:gridCol w:w="885"/>
        <w:gridCol w:w="885"/>
        <w:gridCol w:w="885"/>
        <w:gridCol w:w="885"/>
        <w:gridCol w:w="885"/>
        <w:gridCol w:w="902"/>
        <w:gridCol w:w="8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68" w:type="pct"/>
            <w:gridSpan w:val="2"/>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政府采购项目来源</w:t>
            </w:r>
          </w:p>
        </w:tc>
        <w:tc>
          <w:tcPr>
            <w:tcW w:w="367" w:type="pct"/>
            <w:vMerge w:val="restar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采购物品名称</w:t>
            </w:r>
          </w:p>
        </w:tc>
        <w:tc>
          <w:tcPr>
            <w:tcW w:w="367" w:type="pct"/>
            <w:vMerge w:val="restar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政府采购目录序号</w:t>
            </w:r>
          </w:p>
        </w:tc>
        <w:tc>
          <w:tcPr>
            <w:tcW w:w="229" w:type="pct"/>
            <w:vMerge w:val="restar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计量  单位</w:t>
            </w:r>
          </w:p>
        </w:tc>
        <w:tc>
          <w:tcPr>
            <w:tcW w:w="275" w:type="pct"/>
            <w:vMerge w:val="restar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数量</w:t>
            </w:r>
          </w:p>
        </w:tc>
        <w:tc>
          <w:tcPr>
            <w:tcW w:w="275" w:type="pct"/>
            <w:vMerge w:val="restar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单价</w:t>
            </w:r>
          </w:p>
        </w:tc>
        <w:tc>
          <w:tcPr>
            <w:tcW w:w="2502" w:type="pct"/>
            <w:gridSpan w:val="8"/>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政府采购金额（当年部门预算安排资金）</w:t>
            </w:r>
          </w:p>
        </w:tc>
        <w:tc>
          <w:tcPr>
            <w:tcW w:w="312" w:type="pct"/>
            <w:vMerge w:val="restar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55"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项目名称</w:t>
            </w:r>
          </w:p>
        </w:tc>
        <w:tc>
          <w:tcPr>
            <w:tcW w:w="313"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预算    资金</w:t>
            </w:r>
          </w:p>
        </w:tc>
        <w:tc>
          <w:tcPr>
            <w:tcW w:w="367" w:type="pct"/>
            <w:vMerge w:val="continue"/>
          </w:tcPr>
          <w:p>
            <w:pPr>
              <w:rPr>
                <w:rFonts w:hint="eastAsia" w:ascii="仿宋_GB2312" w:hAnsi="仿宋_GB2312" w:eastAsia="仿宋_GB2312" w:cs="仿宋_GB2312"/>
              </w:rPr>
            </w:pPr>
          </w:p>
        </w:tc>
        <w:tc>
          <w:tcPr>
            <w:tcW w:w="367" w:type="pct"/>
            <w:vMerge w:val="continue"/>
          </w:tcPr>
          <w:p>
            <w:pPr>
              <w:rPr>
                <w:rFonts w:hint="eastAsia" w:ascii="仿宋_GB2312" w:hAnsi="仿宋_GB2312" w:eastAsia="仿宋_GB2312" w:cs="仿宋_GB2312"/>
              </w:rPr>
            </w:pPr>
          </w:p>
        </w:tc>
        <w:tc>
          <w:tcPr>
            <w:tcW w:w="229" w:type="pct"/>
            <w:vMerge w:val="continue"/>
          </w:tcPr>
          <w:p>
            <w:pPr>
              <w:rPr>
                <w:rFonts w:hint="eastAsia" w:ascii="仿宋_GB2312" w:hAnsi="仿宋_GB2312" w:eastAsia="仿宋_GB2312" w:cs="仿宋_GB2312"/>
              </w:rPr>
            </w:pPr>
          </w:p>
        </w:tc>
        <w:tc>
          <w:tcPr>
            <w:tcW w:w="275" w:type="pct"/>
            <w:vMerge w:val="continue"/>
          </w:tcPr>
          <w:p>
            <w:pPr>
              <w:rPr>
                <w:rFonts w:hint="eastAsia" w:ascii="仿宋_GB2312" w:hAnsi="仿宋_GB2312" w:eastAsia="仿宋_GB2312" w:cs="仿宋_GB2312"/>
              </w:rPr>
            </w:pPr>
          </w:p>
        </w:tc>
        <w:tc>
          <w:tcPr>
            <w:tcW w:w="275" w:type="pct"/>
            <w:vMerge w:val="continue"/>
          </w:tcPr>
          <w:p>
            <w:pPr>
              <w:rPr>
                <w:rFonts w:hint="eastAsia" w:ascii="仿宋_GB2312" w:hAnsi="仿宋_GB2312" w:eastAsia="仿宋_GB2312" w:cs="仿宋_GB2312"/>
              </w:rPr>
            </w:pPr>
          </w:p>
        </w:tc>
        <w:tc>
          <w:tcPr>
            <w:tcW w:w="312"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合计</w:t>
            </w:r>
          </w:p>
        </w:tc>
        <w:tc>
          <w:tcPr>
            <w:tcW w:w="312"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一般公共预算拨款</w:t>
            </w:r>
          </w:p>
        </w:tc>
        <w:tc>
          <w:tcPr>
            <w:tcW w:w="312"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基金预算拨款</w:t>
            </w:r>
          </w:p>
        </w:tc>
        <w:tc>
          <w:tcPr>
            <w:tcW w:w="312"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国有资本经营预算拨款</w:t>
            </w:r>
          </w:p>
        </w:tc>
        <w:tc>
          <w:tcPr>
            <w:tcW w:w="312"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财政专户核拨</w:t>
            </w:r>
          </w:p>
        </w:tc>
        <w:tc>
          <w:tcPr>
            <w:tcW w:w="312"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单位    资金</w:t>
            </w:r>
          </w:p>
        </w:tc>
        <w:tc>
          <w:tcPr>
            <w:tcW w:w="312"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财政拨    款结转</w:t>
            </w:r>
          </w:p>
        </w:tc>
        <w:tc>
          <w:tcPr>
            <w:tcW w:w="313"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非财政    拨款结    转结余</w:t>
            </w:r>
          </w:p>
        </w:tc>
        <w:tc>
          <w:tcPr>
            <w:tcW w:w="312" w:type="pct"/>
            <w:vMerge w:val="continue"/>
          </w:tcPr>
          <w:p>
            <w:pPr>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5" w:type="pct"/>
            <w:vAlign w:val="center"/>
          </w:tcPr>
          <w:p>
            <w:pPr>
              <w:pStyle w:val="16"/>
              <w:rPr>
                <w:rFonts w:hint="eastAsia" w:ascii="仿宋_GB2312" w:hAnsi="仿宋_GB2312" w:eastAsia="仿宋_GB2312" w:cs="仿宋_GB2312"/>
                <w:b w:val="0"/>
                <w:bCs/>
                <w:lang w:eastAsia="zh-CN"/>
              </w:rPr>
            </w:pPr>
            <w:r>
              <w:rPr>
                <w:rFonts w:hint="eastAsia" w:ascii="仿宋_GB2312" w:hAnsi="仿宋_GB2312" w:eastAsia="仿宋_GB2312" w:cs="仿宋_GB2312"/>
                <w:b w:val="0"/>
                <w:bCs/>
                <w:lang w:eastAsia="zh-CN"/>
              </w:rPr>
              <w:t>政府购买农村产权交易服务资金</w:t>
            </w:r>
          </w:p>
        </w:tc>
        <w:tc>
          <w:tcPr>
            <w:tcW w:w="313" w:type="pct"/>
            <w:vAlign w:val="center"/>
          </w:tcPr>
          <w:p>
            <w:pPr>
              <w:pStyle w:val="17"/>
              <w:rPr>
                <w:rFonts w:hint="eastAsia" w:ascii="仿宋_GB2312" w:hAnsi="仿宋_GB2312" w:eastAsia="仿宋_GB2312" w:cs="仿宋_GB2312"/>
                <w:b w:val="0"/>
                <w:bCs/>
                <w:lang w:eastAsia="zh-CN"/>
              </w:rPr>
            </w:pPr>
            <w:r>
              <w:rPr>
                <w:rFonts w:hint="eastAsia" w:ascii="仿宋_GB2312" w:hAnsi="仿宋_GB2312" w:eastAsia="仿宋_GB2312" w:cs="仿宋_GB2312"/>
                <w:b w:val="0"/>
                <w:bCs/>
                <w:lang w:eastAsia="zh-CN"/>
              </w:rPr>
              <w:t>31.8</w:t>
            </w:r>
          </w:p>
        </w:tc>
        <w:tc>
          <w:tcPr>
            <w:tcW w:w="367" w:type="pct"/>
            <w:vAlign w:val="center"/>
          </w:tcPr>
          <w:p>
            <w:pPr>
              <w:pStyle w:val="18"/>
              <w:rPr>
                <w:rFonts w:hint="eastAsia" w:ascii="仿宋_GB2312" w:hAnsi="仿宋_GB2312" w:eastAsia="仿宋_GB2312" w:cs="仿宋_GB2312"/>
                <w:b w:val="0"/>
                <w:bCs/>
                <w:lang w:eastAsia="zh-CN"/>
              </w:rPr>
            </w:pPr>
            <w:r>
              <w:rPr>
                <w:rFonts w:hint="eastAsia" w:ascii="仿宋_GB2312" w:hAnsi="仿宋_GB2312" w:eastAsia="仿宋_GB2312" w:cs="仿宋_GB2312"/>
                <w:b w:val="0"/>
                <w:bCs/>
                <w:lang w:eastAsia="zh-CN"/>
              </w:rPr>
              <w:t>购买服务</w:t>
            </w:r>
          </w:p>
        </w:tc>
        <w:tc>
          <w:tcPr>
            <w:tcW w:w="367" w:type="pct"/>
            <w:vAlign w:val="center"/>
          </w:tcPr>
          <w:p>
            <w:pPr>
              <w:pStyle w:val="18"/>
              <w:rPr>
                <w:rFonts w:hint="eastAsia" w:ascii="仿宋_GB2312" w:hAnsi="仿宋_GB2312" w:eastAsia="仿宋_GB2312" w:cs="仿宋_GB2312"/>
                <w:b w:val="0"/>
                <w:bCs/>
              </w:rPr>
            </w:pPr>
          </w:p>
        </w:tc>
        <w:tc>
          <w:tcPr>
            <w:tcW w:w="229" w:type="pct"/>
            <w:vAlign w:val="center"/>
          </w:tcPr>
          <w:p>
            <w:pPr>
              <w:pStyle w:val="16"/>
              <w:rPr>
                <w:rFonts w:hint="eastAsia" w:ascii="仿宋_GB2312" w:hAnsi="仿宋_GB2312" w:eastAsia="仿宋_GB2312" w:cs="仿宋_GB2312"/>
                <w:b w:val="0"/>
                <w:bCs/>
              </w:rPr>
            </w:pPr>
          </w:p>
        </w:tc>
        <w:tc>
          <w:tcPr>
            <w:tcW w:w="275" w:type="pct"/>
            <w:vAlign w:val="center"/>
          </w:tcPr>
          <w:p>
            <w:pPr>
              <w:pStyle w:val="17"/>
              <w:rPr>
                <w:rFonts w:hint="eastAsia" w:ascii="仿宋_GB2312" w:hAnsi="仿宋_GB2312" w:eastAsia="仿宋_GB2312" w:cs="仿宋_GB2312"/>
                <w:b w:val="0"/>
                <w:bCs/>
                <w:lang w:eastAsia="zh-CN"/>
              </w:rPr>
            </w:pPr>
            <w:r>
              <w:rPr>
                <w:rFonts w:hint="eastAsia" w:ascii="仿宋_GB2312" w:hAnsi="仿宋_GB2312" w:eastAsia="仿宋_GB2312" w:cs="仿宋_GB2312"/>
                <w:b w:val="0"/>
                <w:bCs/>
                <w:lang w:eastAsia="zh-CN"/>
              </w:rPr>
              <w:t>1</w:t>
            </w:r>
          </w:p>
        </w:tc>
        <w:tc>
          <w:tcPr>
            <w:tcW w:w="275" w:type="pct"/>
            <w:vAlign w:val="center"/>
          </w:tcPr>
          <w:p>
            <w:pPr>
              <w:pStyle w:val="17"/>
              <w:rPr>
                <w:rFonts w:hint="eastAsia" w:ascii="仿宋_GB2312" w:hAnsi="仿宋_GB2312" w:eastAsia="仿宋_GB2312" w:cs="仿宋_GB2312"/>
                <w:b w:val="0"/>
                <w:bCs/>
                <w:lang w:eastAsia="zh-CN"/>
              </w:rPr>
            </w:pPr>
            <w:r>
              <w:rPr>
                <w:rFonts w:hint="eastAsia" w:ascii="仿宋_GB2312" w:hAnsi="仿宋_GB2312" w:eastAsia="仿宋_GB2312" w:cs="仿宋_GB2312"/>
                <w:b w:val="0"/>
                <w:bCs/>
                <w:lang w:eastAsia="zh-CN"/>
              </w:rPr>
              <w:t>31.8</w:t>
            </w:r>
          </w:p>
        </w:tc>
        <w:tc>
          <w:tcPr>
            <w:tcW w:w="312" w:type="pct"/>
            <w:vAlign w:val="center"/>
          </w:tcPr>
          <w:p>
            <w:pPr>
              <w:pStyle w:val="17"/>
              <w:rPr>
                <w:rFonts w:hint="eastAsia" w:ascii="仿宋_GB2312" w:hAnsi="仿宋_GB2312" w:eastAsia="仿宋_GB2312" w:cs="仿宋_GB2312"/>
                <w:b w:val="0"/>
                <w:bCs/>
                <w:lang w:eastAsia="zh-CN"/>
              </w:rPr>
            </w:pPr>
            <w:r>
              <w:rPr>
                <w:rFonts w:hint="eastAsia" w:ascii="仿宋_GB2312" w:hAnsi="仿宋_GB2312" w:eastAsia="仿宋_GB2312" w:cs="仿宋_GB2312"/>
                <w:b w:val="0"/>
                <w:bCs/>
                <w:lang w:eastAsia="zh-CN"/>
              </w:rPr>
              <w:t>31.8</w:t>
            </w:r>
          </w:p>
        </w:tc>
        <w:tc>
          <w:tcPr>
            <w:tcW w:w="312" w:type="pct"/>
            <w:vAlign w:val="center"/>
          </w:tcPr>
          <w:p>
            <w:pPr>
              <w:pStyle w:val="17"/>
              <w:rPr>
                <w:rFonts w:hint="eastAsia" w:ascii="仿宋_GB2312" w:hAnsi="仿宋_GB2312" w:eastAsia="仿宋_GB2312" w:cs="仿宋_GB2312"/>
                <w:b w:val="0"/>
                <w:bCs/>
                <w:lang w:eastAsia="zh-CN"/>
              </w:rPr>
            </w:pPr>
            <w:r>
              <w:rPr>
                <w:rFonts w:hint="eastAsia" w:ascii="仿宋_GB2312" w:hAnsi="仿宋_GB2312" w:eastAsia="仿宋_GB2312" w:cs="仿宋_GB2312"/>
                <w:b w:val="0"/>
                <w:bCs/>
                <w:lang w:eastAsia="zh-CN"/>
              </w:rPr>
              <w:t>31.8</w:t>
            </w:r>
          </w:p>
        </w:tc>
        <w:tc>
          <w:tcPr>
            <w:tcW w:w="312" w:type="pct"/>
            <w:vAlign w:val="center"/>
          </w:tcPr>
          <w:p>
            <w:pPr>
              <w:pStyle w:val="17"/>
              <w:rPr>
                <w:rFonts w:hint="eastAsia" w:ascii="仿宋_GB2312" w:hAnsi="仿宋_GB2312" w:eastAsia="仿宋_GB2312" w:cs="仿宋_GB2312"/>
                <w:b w:val="0"/>
                <w:bCs/>
              </w:rPr>
            </w:pPr>
          </w:p>
        </w:tc>
        <w:tc>
          <w:tcPr>
            <w:tcW w:w="312" w:type="pct"/>
            <w:vAlign w:val="center"/>
          </w:tcPr>
          <w:p>
            <w:pPr>
              <w:pStyle w:val="17"/>
              <w:rPr>
                <w:rFonts w:hint="eastAsia" w:ascii="仿宋_GB2312" w:hAnsi="仿宋_GB2312" w:eastAsia="仿宋_GB2312" w:cs="仿宋_GB2312"/>
                <w:b w:val="0"/>
                <w:bCs/>
              </w:rPr>
            </w:pPr>
          </w:p>
        </w:tc>
        <w:tc>
          <w:tcPr>
            <w:tcW w:w="312" w:type="pct"/>
            <w:vAlign w:val="center"/>
          </w:tcPr>
          <w:p>
            <w:pPr>
              <w:pStyle w:val="17"/>
              <w:rPr>
                <w:rFonts w:hint="eastAsia" w:ascii="仿宋_GB2312" w:hAnsi="仿宋_GB2312" w:eastAsia="仿宋_GB2312" w:cs="仿宋_GB2312"/>
                <w:b w:val="0"/>
                <w:bCs/>
              </w:rPr>
            </w:pPr>
          </w:p>
        </w:tc>
        <w:tc>
          <w:tcPr>
            <w:tcW w:w="312" w:type="pct"/>
            <w:vAlign w:val="center"/>
          </w:tcPr>
          <w:p>
            <w:pPr>
              <w:pStyle w:val="17"/>
              <w:rPr>
                <w:rFonts w:hint="eastAsia" w:ascii="仿宋_GB2312" w:hAnsi="仿宋_GB2312" w:eastAsia="仿宋_GB2312" w:cs="仿宋_GB2312"/>
                <w:b w:val="0"/>
                <w:bCs/>
              </w:rPr>
            </w:pPr>
          </w:p>
        </w:tc>
        <w:tc>
          <w:tcPr>
            <w:tcW w:w="312" w:type="pct"/>
            <w:vAlign w:val="center"/>
          </w:tcPr>
          <w:p>
            <w:pPr>
              <w:pStyle w:val="17"/>
              <w:rPr>
                <w:rFonts w:hint="eastAsia" w:ascii="仿宋_GB2312" w:hAnsi="仿宋_GB2312" w:eastAsia="仿宋_GB2312" w:cs="仿宋_GB2312"/>
                <w:b w:val="0"/>
                <w:bCs/>
              </w:rPr>
            </w:pPr>
          </w:p>
        </w:tc>
        <w:tc>
          <w:tcPr>
            <w:tcW w:w="313" w:type="pct"/>
            <w:vAlign w:val="center"/>
          </w:tcPr>
          <w:p>
            <w:pPr>
              <w:pStyle w:val="17"/>
              <w:rPr>
                <w:rFonts w:hint="eastAsia" w:ascii="仿宋_GB2312" w:hAnsi="仿宋_GB2312" w:eastAsia="仿宋_GB2312" w:cs="仿宋_GB2312"/>
                <w:b w:val="0"/>
                <w:bCs/>
              </w:rPr>
            </w:pPr>
          </w:p>
        </w:tc>
        <w:tc>
          <w:tcPr>
            <w:tcW w:w="312" w:type="pct"/>
            <w:vAlign w:val="center"/>
          </w:tcPr>
          <w:p>
            <w:pPr>
              <w:pStyle w:val="17"/>
              <w:rPr>
                <w:rFonts w:hint="eastAsia" w:ascii="仿宋_GB2312" w:hAnsi="仿宋_GB2312" w:eastAsia="仿宋_GB2312" w:cs="仿宋_GB2312"/>
                <w:b w:val="0"/>
                <w:bCs/>
                <w:lang w:eastAsia="zh-CN"/>
              </w:rPr>
            </w:pPr>
            <w:r>
              <w:rPr>
                <w:rFonts w:hint="eastAsia" w:ascii="仿宋_GB2312" w:hAnsi="仿宋_GB2312" w:eastAsia="仿宋_GB2312" w:cs="仿宋_GB2312"/>
                <w:b w:val="0"/>
                <w:bCs/>
                <w:lang w:eastAsia="zh-CN"/>
              </w:rPr>
              <w:t>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5" w:type="pct"/>
            <w:vAlign w:val="center"/>
          </w:tcPr>
          <w:p>
            <w:pPr>
              <w:pStyle w:val="16"/>
              <w:rPr>
                <w:rFonts w:hint="eastAsia" w:ascii="仿宋_GB2312" w:hAnsi="仿宋_GB2312" w:eastAsia="仿宋_GB2312" w:cs="仿宋_GB2312"/>
              </w:rPr>
            </w:pPr>
          </w:p>
        </w:tc>
        <w:tc>
          <w:tcPr>
            <w:tcW w:w="313" w:type="pct"/>
            <w:vAlign w:val="center"/>
          </w:tcPr>
          <w:p>
            <w:pPr>
              <w:pStyle w:val="17"/>
              <w:rPr>
                <w:rFonts w:hint="eastAsia" w:ascii="仿宋_GB2312" w:hAnsi="仿宋_GB2312" w:eastAsia="仿宋_GB2312" w:cs="仿宋_GB2312"/>
              </w:rPr>
            </w:pPr>
          </w:p>
        </w:tc>
        <w:tc>
          <w:tcPr>
            <w:tcW w:w="367" w:type="pct"/>
            <w:vAlign w:val="center"/>
          </w:tcPr>
          <w:p>
            <w:pPr>
              <w:pStyle w:val="18"/>
              <w:rPr>
                <w:rFonts w:hint="eastAsia" w:ascii="仿宋_GB2312" w:hAnsi="仿宋_GB2312" w:eastAsia="仿宋_GB2312" w:cs="仿宋_GB2312"/>
              </w:rPr>
            </w:pPr>
          </w:p>
        </w:tc>
        <w:tc>
          <w:tcPr>
            <w:tcW w:w="367" w:type="pct"/>
            <w:vAlign w:val="center"/>
          </w:tcPr>
          <w:p>
            <w:pPr>
              <w:pStyle w:val="18"/>
              <w:rPr>
                <w:rFonts w:hint="eastAsia" w:ascii="仿宋_GB2312" w:hAnsi="仿宋_GB2312" w:eastAsia="仿宋_GB2312" w:cs="仿宋_GB2312"/>
              </w:rPr>
            </w:pPr>
          </w:p>
        </w:tc>
        <w:tc>
          <w:tcPr>
            <w:tcW w:w="229" w:type="pct"/>
            <w:vAlign w:val="center"/>
          </w:tcPr>
          <w:p>
            <w:pPr>
              <w:pStyle w:val="16"/>
              <w:rPr>
                <w:rFonts w:hint="eastAsia" w:ascii="仿宋_GB2312" w:hAnsi="仿宋_GB2312" w:eastAsia="仿宋_GB2312" w:cs="仿宋_GB2312"/>
              </w:rPr>
            </w:pPr>
          </w:p>
        </w:tc>
        <w:tc>
          <w:tcPr>
            <w:tcW w:w="275" w:type="pct"/>
            <w:vAlign w:val="center"/>
          </w:tcPr>
          <w:p>
            <w:pPr>
              <w:pStyle w:val="17"/>
              <w:rPr>
                <w:rFonts w:hint="eastAsia" w:ascii="仿宋_GB2312" w:hAnsi="仿宋_GB2312" w:eastAsia="仿宋_GB2312" w:cs="仿宋_GB2312"/>
              </w:rPr>
            </w:pPr>
          </w:p>
        </w:tc>
        <w:tc>
          <w:tcPr>
            <w:tcW w:w="275" w:type="pct"/>
            <w:vAlign w:val="center"/>
          </w:tcPr>
          <w:p>
            <w:pPr>
              <w:pStyle w:val="17"/>
              <w:rPr>
                <w:rFonts w:hint="eastAsia" w:ascii="仿宋_GB2312" w:hAnsi="仿宋_GB2312" w:eastAsia="仿宋_GB2312" w:cs="仿宋_GB2312"/>
              </w:rPr>
            </w:pPr>
          </w:p>
        </w:tc>
        <w:tc>
          <w:tcPr>
            <w:tcW w:w="312" w:type="pct"/>
            <w:vAlign w:val="center"/>
          </w:tcPr>
          <w:p>
            <w:pPr>
              <w:pStyle w:val="17"/>
              <w:rPr>
                <w:rFonts w:hint="eastAsia" w:ascii="仿宋_GB2312" w:hAnsi="仿宋_GB2312" w:eastAsia="仿宋_GB2312" w:cs="仿宋_GB2312"/>
              </w:rPr>
            </w:pPr>
          </w:p>
        </w:tc>
        <w:tc>
          <w:tcPr>
            <w:tcW w:w="312" w:type="pct"/>
            <w:vAlign w:val="center"/>
          </w:tcPr>
          <w:p>
            <w:pPr>
              <w:pStyle w:val="17"/>
              <w:rPr>
                <w:rFonts w:hint="eastAsia" w:ascii="仿宋_GB2312" w:hAnsi="仿宋_GB2312" w:eastAsia="仿宋_GB2312" w:cs="仿宋_GB2312"/>
              </w:rPr>
            </w:pPr>
          </w:p>
        </w:tc>
        <w:tc>
          <w:tcPr>
            <w:tcW w:w="312" w:type="pct"/>
            <w:vAlign w:val="center"/>
          </w:tcPr>
          <w:p>
            <w:pPr>
              <w:pStyle w:val="17"/>
              <w:rPr>
                <w:rFonts w:hint="eastAsia" w:ascii="仿宋_GB2312" w:hAnsi="仿宋_GB2312" w:eastAsia="仿宋_GB2312" w:cs="仿宋_GB2312"/>
              </w:rPr>
            </w:pPr>
          </w:p>
        </w:tc>
        <w:tc>
          <w:tcPr>
            <w:tcW w:w="312" w:type="pct"/>
            <w:vAlign w:val="center"/>
          </w:tcPr>
          <w:p>
            <w:pPr>
              <w:pStyle w:val="17"/>
              <w:rPr>
                <w:rFonts w:hint="eastAsia" w:ascii="仿宋_GB2312" w:hAnsi="仿宋_GB2312" w:eastAsia="仿宋_GB2312" w:cs="仿宋_GB2312"/>
              </w:rPr>
            </w:pPr>
          </w:p>
        </w:tc>
        <w:tc>
          <w:tcPr>
            <w:tcW w:w="312" w:type="pct"/>
            <w:vAlign w:val="center"/>
          </w:tcPr>
          <w:p>
            <w:pPr>
              <w:pStyle w:val="17"/>
              <w:rPr>
                <w:rFonts w:hint="eastAsia" w:ascii="仿宋_GB2312" w:hAnsi="仿宋_GB2312" w:eastAsia="仿宋_GB2312" w:cs="仿宋_GB2312"/>
              </w:rPr>
            </w:pPr>
          </w:p>
        </w:tc>
        <w:tc>
          <w:tcPr>
            <w:tcW w:w="312" w:type="pct"/>
            <w:vAlign w:val="center"/>
          </w:tcPr>
          <w:p>
            <w:pPr>
              <w:pStyle w:val="17"/>
              <w:rPr>
                <w:rFonts w:hint="eastAsia" w:ascii="仿宋_GB2312" w:hAnsi="仿宋_GB2312" w:eastAsia="仿宋_GB2312" w:cs="仿宋_GB2312"/>
              </w:rPr>
            </w:pPr>
          </w:p>
        </w:tc>
        <w:tc>
          <w:tcPr>
            <w:tcW w:w="312" w:type="pct"/>
            <w:vAlign w:val="center"/>
          </w:tcPr>
          <w:p>
            <w:pPr>
              <w:pStyle w:val="17"/>
              <w:rPr>
                <w:rFonts w:hint="eastAsia" w:ascii="仿宋_GB2312" w:hAnsi="仿宋_GB2312" w:eastAsia="仿宋_GB2312" w:cs="仿宋_GB2312"/>
              </w:rPr>
            </w:pPr>
          </w:p>
        </w:tc>
        <w:tc>
          <w:tcPr>
            <w:tcW w:w="313" w:type="pct"/>
            <w:vAlign w:val="center"/>
          </w:tcPr>
          <w:p>
            <w:pPr>
              <w:pStyle w:val="17"/>
              <w:rPr>
                <w:rFonts w:hint="eastAsia" w:ascii="仿宋_GB2312" w:hAnsi="仿宋_GB2312" w:eastAsia="仿宋_GB2312" w:cs="仿宋_GB2312"/>
              </w:rPr>
            </w:pPr>
          </w:p>
        </w:tc>
        <w:tc>
          <w:tcPr>
            <w:tcW w:w="312" w:type="pct"/>
            <w:vAlign w:val="center"/>
          </w:tcPr>
          <w:p>
            <w:pPr>
              <w:pStyle w:val="17"/>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5" w:type="pct"/>
            <w:vAlign w:val="center"/>
          </w:tcPr>
          <w:p>
            <w:pPr>
              <w:pStyle w:val="14"/>
              <w:rPr>
                <w:rFonts w:hint="eastAsia" w:ascii="仿宋_GB2312" w:hAnsi="仿宋_GB2312" w:eastAsia="仿宋_GB2312" w:cs="仿宋_GB2312"/>
              </w:rPr>
            </w:pPr>
          </w:p>
        </w:tc>
        <w:tc>
          <w:tcPr>
            <w:tcW w:w="313" w:type="pct"/>
            <w:vAlign w:val="center"/>
          </w:tcPr>
          <w:p>
            <w:pPr>
              <w:pStyle w:val="13"/>
              <w:rPr>
                <w:rFonts w:hint="eastAsia" w:ascii="仿宋_GB2312" w:hAnsi="仿宋_GB2312" w:eastAsia="仿宋_GB2312" w:cs="仿宋_GB2312"/>
              </w:rPr>
            </w:pPr>
          </w:p>
        </w:tc>
        <w:tc>
          <w:tcPr>
            <w:tcW w:w="367" w:type="pct"/>
            <w:vAlign w:val="center"/>
          </w:tcPr>
          <w:p>
            <w:pPr>
              <w:pStyle w:val="14"/>
              <w:rPr>
                <w:rFonts w:hint="eastAsia" w:ascii="仿宋_GB2312" w:hAnsi="仿宋_GB2312" w:eastAsia="仿宋_GB2312" w:cs="仿宋_GB2312"/>
              </w:rPr>
            </w:pPr>
          </w:p>
        </w:tc>
        <w:tc>
          <w:tcPr>
            <w:tcW w:w="367" w:type="pct"/>
            <w:vAlign w:val="center"/>
          </w:tcPr>
          <w:p>
            <w:pPr>
              <w:pStyle w:val="14"/>
              <w:rPr>
                <w:rFonts w:hint="eastAsia" w:ascii="仿宋_GB2312" w:hAnsi="仿宋_GB2312" w:eastAsia="仿宋_GB2312" w:cs="仿宋_GB2312"/>
              </w:rPr>
            </w:pPr>
          </w:p>
        </w:tc>
        <w:tc>
          <w:tcPr>
            <w:tcW w:w="229" w:type="pct"/>
            <w:vAlign w:val="center"/>
          </w:tcPr>
          <w:p>
            <w:pPr>
              <w:pStyle w:val="15"/>
              <w:rPr>
                <w:rFonts w:hint="eastAsia" w:ascii="仿宋_GB2312" w:hAnsi="仿宋_GB2312" w:eastAsia="仿宋_GB2312" w:cs="仿宋_GB2312"/>
              </w:rPr>
            </w:pPr>
          </w:p>
        </w:tc>
        <w:tc>
          <w:tcPr>
            <w:tcW w:w="275" w:type="pct"/>
            <w:vAlign w:val="center"/>
          </w:tcPr>
          <w:p>
            <w:pPr>
              <w:pStyle w:val="13"/>
              <w:rPr>
                <w:rFonts w:hint="eastAsia" w:ascii="仿宋_GB2312" w:hAnsi="仿宋_GB2312" w:eastAsia="仿宋_GB2312" w:cs="仿宋_GB2312"/>
              </w:rPr>
            </w:pPr>
          </w:p>
        </w:tc>
        <w:tc>
          <w:tcPr>
            <w:tcW w:w="275"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c>
          <w:tcPr>
            <w:tcW w:w="313"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5" w:type="pct"/>
            <w:vAlign w:val="center"/>
          </w:tcPr>
          <w:p>
            <w:pPr>
              <w:pStyle w:val="14"/>
              <w:rPr>
                <w:rFonts w:hint="eastAsia" w:ascii="仿宋_GB2312" w:hAnsi="仿宋_GB2312" w:eastAsia="仿宋_GB2312" w:cs="仿宋_GB2312"/>
              </w:rPr>
            </w:pPr>
          </w:p>
        </w:tc>
        <w:tc>
          <w:tcPr>
            <w:tcW w:w="313" w:type="pct"/>
            <w:vAlign w:val="center"/>
          </w:tcPr>
          <w:p>
            <w:pPr>
              <w:pStyle w:val="13"/>
              <w:rPr>
                <w:rFonts w:hint="eastAsia" w:ascii="仿宋_GB2312" w:hAnsi="仿宋_GB2312" w:eastAsia="仿宋_GB2312" w:cs="仿宋_GB2312"/>
              </w:rPr>
            </w:pPr>
          </w:p>
        </w:tc>
        <w:tc>
          <w:tcPr>
            <w:tcW w:w="367" w:type="pct"/>
            <w:vAlign w:val="center"/>
          </w:tcPr>
          <w:p>
            <w:pPr>
              <w:pStyle w:val="14"/>
              <w:rPr>
                <w:rFonts w:hint="eastAsia" w:ascii="仿宋_GB2312" w:hAnsi="仿宋_GB2312" w:eastAsia="仿宋_GB2312" w:cs="仿宋_GB2312"/>
              </w:rPr>
            </w:pPr>
          </w:p>
        </w:tc>
        <w:tc>
          <w:tcPr>
            <w:tcW w:w="367" w:type="pct"/>
            <w:vAlign w:val="center"/>
          </w:tcPr>
          <w:p>
            <w:pPr>
              <w:pStyle w:val="14"/>
              <w:rPr>
                <w:rFonts w:hint="eastAsia" w:ascii="仿宋_GB2312" w:hAnsi="仿宋_GB2312" w:eastAsia="仿宋_GB2312" w:cs="仿宋_GB2312"/>
              </w:rPr>
            </w:pPr>
          </w:p>
        </w:tc>
        <w:tc>
          <w:tcPr>
            <w:tcW w:w="229" w:type="pct"/>
            <w:vAlign w:val="center"/>
          </w:tcPr>
          <w:p>
            <w:pPr>
              <w:pStyle w:val="15"/>
              <w:rPr>
                <w:rFonts w:hint="eastAsia" w:ascii="仿宋_GB2312" w:hAnsi="仿宋_GB2312" w:eastAsia="仿宋_GB2312" w:cs="仿宋_GB2312"/>
              </w:rPr>
            </w:pPr>
          </w:p>
        </w:tc>
        <w:tc>
          <w:tcPr>
            <w:tcW w:w="275" w:type="pct"/>
            <w:vAlign w:val="center"/>
          </w:tcPr>
          <w:p>
            <w:pPr>
              <w:pStyle w:val="13"/>
              <w:rPr>
                <w:rFonts w:hint="eastAsia" w:ascii="仿宋_GB2312" w:hAnsi="仿宋_GB2312" w:eastAsia="仿宋_GB2312" w:cs="仿宋_GB2312"/>
              </w:rPr>
            </w:pPr>
          </w:p>
        </w:tc>
        <w:tc>
          <w:tcPr>
            <w:tcW w:w="275"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c>
          <w:tcPr>
            <w:tcW w:w="313"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5" w:type="pct"/>
            <w:vAlign w:val="center"/>
          </w:tcPr>
          <w:p>
            <w:pPr>
              <w:pStyle w:val="14"/>
              <w:rPr>
                <w:rFonts w:hint="eastAsia" w:ascii="仿宋_GB2312" w:hAnsi="仿宋_GB2312" w:eastAsia="仿宋_GB2312" w:cs="仿宋_GB2312"/>
              </w:rPr>
            </w:pPr>
          </w:p>
        </w:tc>
        <w:tc>
          <w:tcPr>
            <w:tcW w:w="313" w:type="pct"/>
            <w:vAlign w:val="center"/>
          </w:tcPr>
          <w:p>
            <w:pPr>
              <w:pStyle w:val="13"/>
              <w:rPr>
                <w:rFonts w:hint="eastAsia" w:ascii="仿宋_GB2312" w:hAnsi="仿宋_GB2312" w:eastAsia="仿宋_GB2312" w:cs="仿宋_GB2312"/>
              </w:rPr>
            </w:pPr>
          </w:p>
        </w:tc>
        <w:tc>
          <w:tcPr>
            <w:tcW w:w="367" w:type="pct"/>
            <w:vAlign w:val="center"/>
          </w:tcPr>
          <w:p>
            <w:pPr>
              <w:pStyle w:val="14"/>
              <w:rPr>
                <w:rFonts w:hint="eastAsia" w:ascii="仿宋_GB2312" w:hAnsi="仿宋_GB2312" w:eastAsia="仿宋_GB2312" w:cs="仿宋_GB2312"/>
              </w:rPr>
            </w:pPr>
          </w:p>
        </w:tc>
        <w:tc>
          <w:tcPr>
            <w:tcW w:w="367" w:type="pct"/>
            <w:vAlign w:val="center"/>
          </w:tcPr>
          <w:p>
            <w:pPr>
              <w:pStyle w:val="14"/>
              <w:rPr>
                <w:rFonts w:hint="eastAsia" w:ascii="仿宋_GB2312" w:hAnsi="仿宋_GB2312" w:eastAsia="仿宋_GB2312" w:cs="仿宋_GB2312"/>
              </w:rPr>
            </w:pPr>
          </w:p>
        </w:tc>
        <w:tc>
          <w:tcPr>
            <w:tcW w:w="229" w:type="pct"/>
            <w:vAlign w:val="center"/>
          </w:tcPr>
          <w:p>
            <w:pPr>
              <w:pStyle w:val="15"/>
              <w:rPr>
                <w:rFonts w:hint="eastAsia" w:ascii="仿宋_GB2312" w:hAnsi="仿宋_GB2312" w:eastAsia="仿宋_GB2312" w:cs="仿宋_GB2312"/>
              </w:rPr>
            </w:pPr>
          </w:p>
        </w:tc>
        <w:tc>
          <w:tcPr>
            <w:tcW w:w="275" w:type="pct"/>
            <w:vAlign w:val="center"/>
          </w:tcPr>
          <w:p>
            <w:pPr>
              <w:pStyle w:val="13"/>
              <w:rPr>
                <w:rFonts w:hint="eastAsia" w:ascii="仿宋_GB2312" w:hAnsi="仿宋_GB2312" w:eastAsia="仿宋_GB2312" w:cs="仿宋_GB2312"/>
              </w:rPr>
            </w:pPr>
          </w:p>
        </w:tc>
        <w:tc>
          <w:tcPr>
            <w:tcW w:w="275"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c>
          <w:tcPr>
            <w:tcW w:w="313"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广阳区供销社</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1.576482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w:t>
            </w:r>
            <w:r>
              <w:rPr>
                <w:rFonts w:hint="eastAsia" w:ascii="Times New Roman" w:hAnsi="Times New Roman" w:eastAsia="仿宋_GB2312" w:cs="Times New Roman"/>
                <w:kern w:val="0"/>
                <w:sz w:val="22"/>
                <w:lang w:val="en-US" w:eastAsia="zh-CN"/>
              </w:rPr>
              <w:t>供销社</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1.576482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打印机、传真机、办公家具</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1.576482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15</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230E6"/>
    <w:rsid w:val="000B0681"/>
    <w:rsid w:val="000F6018"/>
    <w:rsid w:val="00142C4E"/>
    <w:rsid w:val="0025632D"/>
    <w:rsid w:val="003059E0"/>
    <w:rsid w:val="0036492F"/>
    <w:rsid w:val="00457567"/>
    <w:rsid w:val="004A54AA"/>
    <w:rsid w:val="00590029"/>
    <w:rsid w:val="007A05B6"/>
    <w:rsid w:val="00944233"/>
    <w:rsid w:val="00A63BCA"/>
    <w:rsid w:val="00B40732"/>
    <w:rsid w:val="00B50FD4"/>
    <w:rsid w:val="00B80935"/>
    <w:rsid w:val="00C2049D"/>
    <w:rsid w:val="00C63F50"/>
    <w:rsid w:val="00D347CC"/>
    <w:rsid w:val="00DC72B4"/>
    <w:rsid w:val="04D65F35"/>
    <w:rsid w:val="0CEC1180"/>
    <w:rsid w:val="2D2B4E34"/>
    <w:rsid w:val="36E30F73"/>
    <w:rsid w:val="450E6D56"/>
    <w:rsid w:val="6B5225D4"/>
    <w:rsid w:val="73693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770</Words>
  <Characters>4391</Characters>
  <Lines>36</Lines>
  <Paragraphs>10</Paragraphs>
  <TotalTime>4</TotalTime>
  <ScaleCrop>false</ScaleCrop>
  <LinksUpToDate>false</LinksUpToDate>
  <CharactersWithSpaces>5151</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2022-07-07T00:45:18Z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B719D1478559493A865C93BD75922B5F</vt:lpwstr>
  </property>
</Properties>
</file>