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hint="eastAsia" w:ascii="Times New Roman" w:hAnsi="Times New Roman" w:eastAsia="方正小标宋简体" w:cs="Times New Roman"/>
          <w:sz w:val="44"/>
          <w:szCs w:val="44"/>
          <w:lang w:val="en-US" w:eastAsia="zh-CN"/>
        </w:rPr>
        <w:t>河北廊坊广阳经济开发区管理委员会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2</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河北廊坊广阳经济开发区管理委员会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hd w:val="clear" w:color="auto" w:fill="FFFFFF"/>
        <w:wordWrap w:val="0"/>
        <w:spacing w:line="600" w:lineRule="exact"/>
        <w:ind w:firstLine="482"/>
        <w:jc w:val="left"/>
        <w:rPr>
          <w:rFonts w:ascii="仿宋_GB2312" w:eastAsia="仿宋_GB2312" w:cs="宋体"/>
          <w:color w:val="000000"/>
          <w:sz w:val="32"/>
          <w:szCs w:val="32"/>
        </w:rPr>
      </w:pPr>
      <w:r>
        <w:rPr>
          <w:rFonts w:hint="eastAsia" w:ascii="仿宋_GB2312" w:eastAsia="仿宋_GB2312" w:cs="宋体"/>
          <w:color w:val="000000"/>
          <w:sz w:val="32"/>
          <w:szCs w:val="32"/>
        </w:rPr>
        <w:t>1、是贯彻执行党和国家的方针、政策、法律、法规和市、区人民政府的有关规定，制定产业区科技、经济、社会发展的规划、各项计划和产业区行政管理规定，并组织实施。</w:t>
      </w:r>
    </w:p>
    <w:p>
      <w:pPr>
        <w:widowControl/>
        <w:shd w:val="clear" w:color="auto" w:fill="FFFFFF"/>
        <w:wordWrap w:val="0"/>
        <w:spacing w:line="600" w:lineRule="exact"/>
        <w:ind w:firstLine="482"/>
        <w:jc w:val="left"/>
        <w:rPr>
          <w:rFonts w:ascii="仿宋_GB2312" w:eastAsia="仿宋_GB2312" w:cs="宋体"/>
          <w:color w:val="000000"/>
          <w:sz w:val="32"/>
          <w:szCs w:val="32"/>
        </w:rPr>
      </w:pPr>
      <w:r>
        <w:rPr>
          <w:rFonts w:hint="eastAsia" w:ascii="仿宋_GB2312" w:eastAsia="仿宋_GB2312" w:cs="宋体"/>
          <w:color w:val="000000"/>
          <w:sz w:val="32"/>
          <w:szCs w:val="32"/>
        </w:rPr>
        <w:t>2、是制定产业区招商引资政策，编制招商规划，发布对外招商项目；组织对外招商活动和对外经济技术合作。</w:t>
      </w:r>
    </w:p>
    <w:p>
      <w:pPr>
        <w:widowControl/>
        <w:shd w:val="clear" w:color="auto" w:fill="FFFFFF"/>
        <w:wordWrap w:val="0"/>
        <w:spacing w:line="600" w:lineRule="exact"/>
        <w:ind w:firstLine="482"/>
        <w:jc w:val="left"/>
        <w:rPr>
          <w:rFonts w:hint="eastAsia" w:ascii="仿宋_GB2312" w:eastAsia="仿宋_GB2312" w:cs="宋体"/>
          <w:color w:val="000000"/>
          <w:sz w:val="32"/>
          <w:szCs w:val="32"/>
        </w:rPr>
      </w:pPr>
      <w:r>
        <w:rPr>
          <w:rFonts w:hint="eastAsia" w:ascii="仿宋_GB2312" w:eastAsia="仿宋_GB2312" w:cs="宋体"/>
          <w:color w:val="000000"/>
          <w:sz w:val="32"/>
          <w:szCs w:val="32"/>
        </w:rPr>
        <w:t>3、是负责产业区建设用地的开发、利用和管理；负责产业区的城市建设和管理工作。</w:t>
      </w:r>
    </w:p>
    <w:p>
      <w:pPr>
        <w:autoSpaceDE w:val="0"/>
        <w:autoSpaceDN w:val="0"/>
        <w:adjustRightInd w:val="0"/>
        <w:spacing w:line="584" w:lineRule="exact"/>
        <w:jc w:val="left"/>
        <w:rPr>
          <w:rFonts w:ascii="Times New Roman" w:hAnsi="Times New Roman" w:eastAsia="楷体_GB2312" w:cs="Times New Roman"/>
          <w:b/>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r>
        <w:rPr>
          <w:rFonts w:hint="eastAsia" w:ascii="仿宋" w:hAnsi="仿宋" w:eastAsia="仿宋" w:cs="仿宋"/>
          <w:sz w:val="32"/>
          <w:szCs w:val="32"/>
        </w:rPr>
        <w:t>开发区内设机构6个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其中行政机构5个，事业机构1个），</w:t>
      </w:r>
      <w:r>
        <w:rPr>
          <w:rFonts w:hint="eastAsia" w:ascii="仿宋" w:hAnsi="仿宋" w:eastAsia="仿宋" w:cs="仿宋"/>
          <w:sz w:val="32"/>
          <w:szCs w:val="32"/>
        </w:rPr>
        <w:t>分别为党政办公室、财政局、经济发展与招商合作局、规划建设局、行政审批局、社会事务综合服务管理中心。</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center"/>
              <w:rPr>
                <w:rFonts w:hint="eastAsia" w:ascii="仿宋_GB2312" w:eastAsia="仿宋_GB2312" w:cs="宋体"/>
                <w:kern w:val="0"/>
                <w:sz w:val="32"/>
                <w:szCs w:val="32"/>
                <w:lang w:val="en-US" w:eastAsia="zh-CN"/>
              </w:rPr>
            </w:pPr>
            <w:r>
              <w:rPr>
                <w:rFonts w:hint="eastAsia" w:ascii="仿宋_GB2312" w:eastAsia="仿宋_GB2312" w:cs="宋体"/>
                <w:kern w:val="0"/>
                <w:sz w:val="32"/>
                <w:szCs w:val="32"/>
                <w:lang w:val="en-US" w:eastAsia="zh-CN"/>
              </w:rPr>
              <w:t>河北廊坊广阳经济开发区</w:t>
            </w:r>
          </w:p>
          <w:p>
            <w:pPr>
              <w:widowControl/>
              <w:spacing w:line="225" w:lineRule="atLeast"/>
              <w:jc w:val="center"/>
              <w:rPr>
                <w:rFonts w:ascii="Times New Roman" w:hAnsi="Times New Roman" w:eastAsia="仿宋_GB2312" w:cs="Times New Roman"/>
                <w:b/>
              </w:rPr>
            </w:pPr>
            <w:r>
              <w:rPr>
                <w:rFonts w:hint="eastAsia" w:ascii="仿宋_GB2312" w:eastAsia="仿宋_GB2312" w:cs="宋体"/>
                <w:kern w:val="0"/>
                <w:sz w:val="32"/>
                <w:szCs w:val="32"/>
                <w:lang w:val="en-US" w:eastAsia="zh-CN"/>
              </w:rPr>
              <w:t>管理委员会</w:t>
            </w:r>
          </w:p>
        </w:tc>
        <w:tc>
          <w:tcPr>
            <w:tcW w:w="1134" w:type="dxa"/>
            <w:shd w:val="clear" w:color="auto" w:fill="auto"/>
            <w:vAlign w:val="center"/>
          </w:tcPr>
          <w:p>
            <w:pPr>
              <w:widowControl/>
              <w:spacing w:line="225" w:lineRule="atLeast"/>
              <w:jc w:val="center"/>
              <w:rPr>
                <w:rFonts w:ascii="Times New Roman" w:hAnsi="Times New Roman" w:eastAsia="仿宋_GB2312" w:cs="Times New Roman"/>
                <w:b/>
              </w:rPr>
            </w:pPr>
            <w:r>
              <w:rPr>
                <w:rFonts w:hint="eastAsia" w:ascii="仿宋_GB2312" w:eastAsia="仿宋_GB2312" w:cs="宋体"/>
                <w:kern w:val="0"/>
                <w:sz w:val="32"/>
                <w:szCs w:val="32"/>
                <w:lang w:val="en-US" w:eastAsia="zh-CN"/>
              </w:rPr>
              <w:t>行政单位</w:t>
            </w:r>
          </w:p>
        </w:tc>
        <w:tc>
          <w:tcPr>
            <w:tcW w:w="1276" w:type="dxa"/>
            <w:shd w:val="clear" w:color="auto" w:fill="auto"/>
            <w:vAlign w:val="center"/>
          </w:tcPr>
          <w:p>
            <w:pPr>
              <w:widowControl/>
              <w:spacing w:line="225" w:lineRule="atLeast"/>
              <w:jc w:val="center"/>
              <w:rPr>
                <w:rFonts w:ascii="Times New Roman" w:hAnsi="Times New Roman" w:eastAsia="仿宋_GB2312" w:cs="Times New Roman"/>
                <w:b/>
              </w:rPr>
            </w:pPr>
            <w:r>
              <w:rPr>
                <w:rFonts w:hint="eastAsia" w:ascii="仿宋_GB2312" w:eastAsia="仿宋_GB2312" w:cs="宋体"/>
                <w:kern w:val="0"/>
                <w:sz w:val="32"/>
                <w:szCs w:val="32"/>
                <w:lang w:val="en-US" w:eastAsia="zh-CN"/>
              </w:rPr>
              <w:t>副处级</w:t>
            </w:r>
          </w:p>
        </w:tc>
        <w:tc>
          <w:tcPr>
            <w:tcW w:w="2902" w:type="dxa"/>
            <w:shd w:val="clear" w:color="auto" w:fill="auto"/>
            <w:vAlign w:val="center"/>
          </w:tcPr>
          <w:p>
            <w:pPr>
              <w:widowControl/>
              <w:spacing w:line="225" w:lineRule="atLeast"/>
              <w:jc w:val="center"/>
              <w:rPr>
                <w:rFonts w:ascii="Times New Roman" w:hAnsi="Times New Roman" w:eastAsia="仿宋_GB2312" w:cs="Times New Roman"/>
                <w:b/>
              </w:rPr>
            </w:pPr>
            <w:r>
              <w:rPr>
                <w:rFonts w:hint="eastAsia" w:ascii="仿宋" w:eastAsia="仿宋"/>
                <w:color w:val="auto"/>
                <w:sz w:val="32"/>
                <w:szCs w:val="32"/>
              </w:rPr>
              <w:t>财政拨款</w:t>
            </w:r>
          </w:p>
        </w:tc>
      </w:tr>
    </w:tbl>
    <w:p>
      <w:pPr>
        <w:tabs>
          <w:tab w:val="left" w:pos="1686"/>
        </w:tabs>
        <w:spacing w:line="584" w:lineRule="exact"/>
        <w:jc w:val="both"/>
        <w:rPr>
          <w:rFonts w:hint="eastAsia" w:ascii="Times New Roman" w:hAnsi="Times New Roman" w:eastAsia="黑体" w:cs="Times New Roman"/>
          <w:sz w:val="32"/>
          <w:szCs w:val="32"/>
          <w:lang w:eastAsia="zh-CN"/>
        </w:rPr>
      </w:pPr>
    </w:p>
    <w:p>
      <w:pPr>
        <w:spacing w:line="584"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按照预算管理有关规定，目前我区部门预算的编制实行综合预算制度，即全部收入和支出都反映在预算中。</w:t>
      </w:r>
      <w:r>
        <w:rPr>
          <w:rFonts w:hint="eastAsia" w:ascii="仿宋" w:hAnsi="仿宋" w:eastAsia="仿宋" w:cs="仿宋"/>
          <w:sz w:val="32"/>
          <w:szCs w:val="32"/>
          <w:lang w:val="en-US" w:eastAsia="zh-CN"/>
        </w:rPr>
        <w:t>河北廊坊广阳经济开发区管理委员会</w:t>
      </w:r>
      <w:r>
        <w:rPr>
          <w:rFonts w:hint="eastAsia" w:ascii="仿宋" w:hAnsi="仿宋" w:eastAsia="仿宋" w:cs="仿宋"/>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49204.94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1083.66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41242.67</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6878.61</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lang w:val="en-US" w:eastAsia="zh-CN"/>
        </w:rPr>
        <w:t>河北廊坊广阳经济开发区管理委员会2022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49204.94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923.66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871.28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52.38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3358.96</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val="en-US" w:eastAsia="zh-CN"/>
        </w:rPr>
        <w:t>专项人员支出及新业路道路工程支出</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49204.94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40003.2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减少940.46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经开区部分聘用人员薪酬由下属国有企业支出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color w:val="auto"/>
          <w:sz w:val="32"/>
          <w:szCs w:val="32"/>
          <w:highlight w:val="none"/>
          <w:lang w:val="en-US" w:eastAsia="zh-CN"/>
        </w:rPr>
        <w:t>33852.67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城乡社区</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政府性基金项目支出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包括征地和拆迁补偿支出16833.16万元；土地开发支出7899.58万元；城市建设支出12947万元；补助被征地农民支出2826.38万元及土地出让业务支出736.55万元</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52.38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经开区</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经开区</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年相比持平，无增减变化。</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在区委、区政府的坚强领导下，强作风，转观念，勇于担当，紧密结合辖区实际，以推进产业发展、项目建设、服务企业为抓手，在狠抓经济建设的基础上，扎实推进各项事业全面发展。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提质强素，持续抓好班子带好队伍</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深入十九届五中全会精神，扎实推进党风廉政建设，</w:t>
      </w:r>
      <w:r>
        <w:rPr>
          <w:rFonts w:hint="eastAsia" w:eastAsia="仿宋_GB2312" w:cs="Times New Roman"/>
          <w:kern w:val="2"/>
          <w:sz w:val="32"/>
          <w:szCs w:val="32"/>
          <w:lang w:val="en-US" w:eastAsia="zh-CN" w:bidi="ar-SA"/>
        </w:rPr>
        <w:t>落实全面从严治党</w:t>
      </w:r>
      <w:r>
        <w:rPr>
          <w:rFonts w:ascii="Times New Roman" w:hAnsi="Times New Roman" w:eastAsia="仿宋_GB2312" w:cs="Times New Roman"/>
          <w:kern w:val="2"/>
          <w:sz w:val="32"/>
          <w:szCs w:val="32"/>
          <w:lang w:val="en-US" w:eastAsia="zh-CN" w:bidi="ar-SA"/>
        </w:rPr>
        <w:t>，着力转变干部作风，层层传导压力，管党治党更加有力。营造安全稳定的社会环境，严格落实意识形态工作责任制，强化正面宣传引导，积极参与文明城市创建活动；深入企业开展普法宣传，加强园区内巡查指导，社会治安形势总体平稳；深入企业排查化解矛盾纠纷，下大气力解决信访问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强化运营，促进经济运行持续向好</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在面对疫情带来的不利情况影响下，坚持稳中求进，着力推进完成园区各项目标任务，经济社会发展取得显著成效。在园区经营管理上，着力抓服务、强调度、促增长；着力抓好重点企业，培育科技创新型、专业型企业发展；着力引进北京外溢企业，千方百计保持经济平稳增长。</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拓展平台，不断加大招商引资力度</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经开区抢抓临空经济发展带来的机遇，疏解非首都功能所带来的资源外溢效应，充分发挥自身的优势，深挖园区的潜在承载力，在项目选择上有特色、讲品质、看贡献，做到精准招商引资，形成良好格局。</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攻坚克难，推进项目建设</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为了保障重点项目顺利推进，经开区成立了工作专班，由管委会主要领导牵头，采取专人包联的方式，明确了每个项目的包联领导和负责人，不分部门、协同作战；制订了重点项目工作台账，规定了每个项目进度的时间节点，让每个包联人员都了解自己的项目进展情况和工作职责；建立沟通协调机制，完善自身的管理措施，积极协调市、区相关职能部门，在项目立项审批、规划环评、土地建设等环节提供尽可能的便利，如项目在推进过程中遇到问题，第一时间与企业沟通，尽快协调解决。</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服务企业，全面开展优化营商环境</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以京津冀协</w:t>
      </w:r>
      <w:r>
        <w:rPr>
          <w:rFonts w:hint="eastAsia" w:eastAsia="仿宋_GB2312" w:cs="Times New Roman"/>
          <w:kern w:val="2"/>
          <w:sz w:val="32"/>
          <w:szCs w:val="32"/>
          <w:lang w:val="en-US" w:eastAsia="zh-CN" w:bidi="ar-SA"/>
        </w:rPr>
        <w:t>同</w:t>
      </w:r>
      <w:r>
        <w:rPr>
          <w:rFonts w:ascii="Times New Roman" w:hAnsi="Times New Roman" w:eastAsia="仿宋_GB2312" w:cs="Times New Roman"/>
          <w:kern w:val="2"/>
          <w:sz w:val="32"/>
          <w:szCs w:val="32"/>
          <w:lang w:val="en-US" w:eastAsia="zh-CN" w:bidi="ar-SA"/>
        </w:rPr>
        <w:t>发展为契机，持续优化营商环境，深入企业多次走访调研，实地了解企业在建设运营、经营管理和科技发展等方面的困难与诉求，全面掌握第一手材料，开展企业帮扶、促进企业发展。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履职尽责，抓好安全生产“双控”机制建设</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安全生产工作坚持关口前移、源头管控、预防为主、综合治理的原则，深入推进园区安全生产“双控”机制建设，形成生产经营单位“风险自查、隐患自改、责任自负”的工作模式，把风险控制在隐患形成之前，把隐患消灭在事故发生之前，全面提升生产经营单位安全生产管理水平，确保全区安全生产形势稳定。</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持续发力，打赢碧水蓝天保卫战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健全完善河渠管理机制，全面推进河长制工作，结合河长巡河APP现代化软件，加强规划区内九干渠和十干渠进行巡河工作。</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政务服务</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经开区管委会做好政务公开、督察督办、政务联络等工作。以突出政务、加强事务、提升服务为准则，力求重点工作出精品，难点工作求突破、基础工作有创新、常规工作见特色。以机关干部作风量化指标为依据，增强工作的综合服务实力。</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年度绩效目标：通过完成管委会政务信息公开工作的指导监督工作，使管委会信息公开业务队伍素质不断提高，业务水平进一步提升；政府政务信息公开范围不断扩大，公开内容得到进一步细化。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政府办公室政务管理</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经开区管委会做好公务办理及后勤保障工作。要以服务领导和机关保障有力为目标，增强优质后勤管理水平，通过加强公车管理，降低运行成本，为创建节约型机关打下了良好的基础。采取保障领导和机关工作办公环境的措施，提升了服务管理水平，保障了机关工作的正常运转。</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年度绩效目标：协助领导组织起草或审核的公文；组织起草领导重要讲话及其他重要文稿；组织专题调研；开发区会议的准备和服务工作，协助管委会领导组织会议决定事项的落实；承办领导交办的其他事项。</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环境监测与监察</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职责描述：经开区管委会开展环境要素的监测与综合分析评价，提高环境监测和预警能力，加大环境监管力度，完善环境基本公共服务体系建设。</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年度绩效目标：加强开发区环境整体质量改进，确保不发生环境安全事故。加强环境行政监察，排污费管理、纠纷调查处理。</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组织安全生产综合监督管理</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经开区管委会定期组织在开发区开展安全生产督导检查活动，对重点行业和作业场所职业卫生安全生产加强行政监督监察，依法对违法行为实施行政处罚；不断加强安全生产监管能力建设，改善执法检测、监察检查等能力。</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年度绩效目标：通过督导检查域内企业安全生产，最大限度地发现、纠正、督促企业消除各类隐患，预防和减少事故的发生，确保开发区安全生产形势持续稳定好。</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对外贸易管理</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职责描述：促进对外贸易稳定增长，优化产品结构。完成县政府下达的外贸进出口指标。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年度绩效目标：通过开展“主体招商活动”，瞄准重点区域、重点客商和商务机构，推动和引领全县做好招商工作。突出引进战略投资者，力争在重点产业引进一批战略支撑项目、龙头企业和协力配套企业。</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6</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促进区域经济发展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职责描述：研究提出区域经济协调发展、加快城镇化发展的政策建议；负责区域经济合作统筹协调。</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配合国家首都经济圈发展规划，做好与国家规划的有效衔接；组织争取国家政策、资金等支持。与北京、天津开展战略合作，推动合作协议的落实，深化拓展合作领域，实质性推动一批重大合作事项进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7</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土地储备征收开发管理</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职责描述：负责规划区内的土地开发、开发管理。完成年度土地收购储备计划、供地计划；进一步提高土地供应效率，加快土地出让速度，扩大土地出让规模，实现政府收益最大化。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年度绩效目标：开展新增地、棚改项目用地、存量土地征地、收储等工作。实现土地收储，确保完成年度土地收储计划，做好土地征收赔偿等工作。</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推进园区重点项目建设。</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加大力度，推进科技型企业创建。梳理科技型中小企业、国高新资质申报政策，盘点梳理园区具备资质企业，统一搜集统一申报，加快企业资质申请流程，重点扶持符合资质的厦门吉宏、航顺机械等进行科技型企业申报。</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积极争取，解决项目用地新增计划指标及占补平衡指标。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继续推进“九通一平”等基础设施改造提升和建设。</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w:t>
      </w:r>
      <w:r>
        <w:rPr>
          <w:rFonts w:ascii="Times New Roman" w:hAnsi="Times New Roman" w:eastAsia="仿宋_GB2312" w:cs="Times New Roman"/>
          <w:kern w:val="2"/>
          <w:sz w:val="32"/>
          <w:szCs w:val="32"/>
          <w:lang w:val="en-US" w:eastAsia="zh-CN" w:bidi="ar-SA"/>
        </w:rPr>
        <w:t>扎实做好安全生产、大气污染治理和水环境治理工作。对经开区现有企业抓好日常管理工作的同时，全力配合上级部门加强企业监管，督促企业在生产过程符合相关要求及流程，保证水环境、空气环境不被污染，确保不发生安全生产事故。</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32"/>
        <w:gridCol w:w="1159"/>
        <w:gridCol w:w="2114"/>
        <w:gridCol w:w="1746"/>
        <w:gridCol w:w="2608"/>
        <w:gridCol w:w="580"/>
        <w:gridCol w:w="630"/>
        <w:gridCol w:w="1108"/>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03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15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1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74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60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318"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50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032" w:type="dxa"/>
            <w:vMerge w:val="continue"/>
            <w:tcBorders>
              <w:tl2br w:val="nil"/>
              <w:tr2bl w:val="nil"/>
            </w:tcBorders>
            <w:vAlign w:val="center"/>
          </w:tcPr>
          <w:p/>
        </w:tc>
        <w:tc>
          <w:tcPr>
            <w:tcW w:w="1159" w:type="dxa"/>
            <w:vMerge w:val="continue"/>
            <w:tcBorders>
              <w:tl2br w:val="nil"/>
              <w:tr2bl w:val="nil"/>
            </w:tcBorders>
            <w:vAlign w:val="center"/>
          </w:tcPr>
          <w:p/>
        </w:tc>
        <w:tc>
          <w:tcPr>
            <w:tcW w:w="2114" w:type="dxa"/>
            <w:vMerge w:val="continue"/>
            <w:tcBorders>
              <w:tl2br w:val="nil"/>
              <w:tr2bl w:val="nil"/>
            </w:tcBorders>
            <w:vAlign w:val="center"/>
          </w:tcPr>
          <w:p/>
        </w:tc>
        <w:tc>
          <w:tcPr>
            <w:tcW w:w="1746" w:type="dxa"/>
            <w:vMerge w:val="continue"/>
            <w:tcBorders>
              <w:tl2br w:val="nil"/>
              <w:tr2bl w:val="nil"/>
            </w:tcBorders>
            <w:vAlign w:val="center"/>
          </w:tcPr>
          <w:p/>
        </w:tc>
        <w:tc>
          <w:tcPr>
            <w:tcW w:w="2608" w:type="dxa"/>
            <w:vMerge w:val="continue"/>
            <w:tcBorders>
              <w:tl2br w:val="nil"/>
              <w:tr2bl w:val="nil"/>
            </w:tcBorders>
            <w:vAlign w:val="center"/>
          </w:tcPr>
          <w:p/>
        </w:tc>
        <w:tc>
          <w:tcPr>
            <w:tcW w:w="58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3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10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502"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032" w:type="dxa"/>
            <w:vMerge w:val="restart"/>
            <w:tcBorders>
              <w:tl2br w:val="nil"/>
              <w:tr2bl w:val="nil"/>
            </w:tcBorders>
            <w:vAlign w:val="center"/>
          </w:tcPr>
          <w:p>
            <w:pPr>
              <w:spacing w:line="300" w:lineRule="exact"/>
              <w:jc w:val="center"/>
              <w:rPr>
                <w:rFonts w:hint="eastAsia" w:ascii="Times New Roman" w:hAnsi="Times New Roman" w:eastAsia="仿宋_GB2312" w:cs="Times New Roman"/>
                <w:b w:val="0"/>
                <w:bCs/>
              </w:rPr>
            </w:pPr>
            <w:r>
              <w:rPr>
                <w:rFonts w:hint="eastAsia" w:ascii="Times New Roman" w:hAnsi="Times New Roman" w:eastAsia="仿宋_GB2312" w:cs="Times New Roman"/>
                <w:b w:val="0"/>
                <w:bCs/>
              </w:rPr>
              <w:t>部门产出</w:t>
            </w:r>
          </w:p>
        </w:tc>
        <w:tc>
          <w:tcPr>
            <w:tcW w:w="1159" w:type="dxa"/>
            <w:tcBorders>
              <w:tl2br w:val="nil"/>
              <w:tr2bl w:val="nil"/>
            </w:tcBorders>
            <w:vAlign w:val="center"/>
          </w:tcPr>
          <w:p>
            <w:pPr>
              <w:spacing w:line="300" w:lineRule="exact"/>
              <w:jc w:val="center"/>
              <w:rPr>
                <w:rFonts w:hint="eastAsia" w:ascii="Times New Roman" w:hAnsi="Times New Roman" w:eastAsia="仿宋_GB2312" w:cs="Times New Roman"/>
                <w:b w:val="0"/>
                <w:bCs/>
              </w:rPr>
            </w:pPr>
            <w:r>
              <w:rPr>
                <w:rFonts w:hint="eastAsia" w:ascii="Times New Roman" w:hAnsi="Times New Roman" w:eastAsia="仿宋_GB2312" w:cs="Times New Roman"/>
                <w:b w:val="0"/>
                <w:bCs/>
              </w:rPr>
              <w:t>数量</w:t>
            </w:r>
          </w:p>
        </w:tc>
        <w:tc>
          <w:tcPr>
            <w:tcW w:w="2114"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发放工资人员数量</w:t>
            </w:r>
          </w:p>
        </w:tc>
        <w:tc>
          <w:tcPr>
            <w:tcW w:w="1746"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rPr>
              <w:t>达到标准得满分，达不到标准不得分</w:t>
            </w:r>
          </w:p>
        </w:tc>
        <w:tc>
          <w:tcPr>
            <w:tcW w:w="26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发放工资人员数量</w:t>
            </w:r>
          </w:p>
        </w:tc>
        <w:tc>
          <w:tcPr>
            <w:tcW w:w="58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rPr>
              <w:t>≤</w:t>
            </w:r>
          </w:p>
        </w:tc>
        <w:tc>
          <w:tcPr>
            <w:tcW w:w="630"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30</w:t>
            </w:r>
          </w:p>
        </w:tc>
        <w:tc>
          <w:tcPr>
            <w:tcW w:w="1108"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人</w:t>
            </w:r>
          </w:p>
        </w:tc>
        <w:tc>
          <w:tcPr>
            <w:tcW w:w="1502"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rPr>
              <w:t>实际在岗人员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32" w:type="dxa"/>
            <w:vMerge w:val="continue"/>
            <w:tcBorders>
              <w:tl2br w:val="nil"/>
              <w:tr2bl w:val="nil"/>
            </w:tcBorders>
            <w:vAlign w:val="center"/>
          </w:tcPr>
          <w:p>
            <w:pPr>
              <w:spacing w:line="300" w:lineRule="exact"/>
              <w:jc w:val="center"/>
              <w:rPr>
                <w:rFonts w:ascii="Times New Roman" w:hAnsi="Times New Roman" w:eastAsia="仿宋_GB2312" w:cs="Times New Roman"/>
                <w:b w:val="0"/>
                <w:bCs/>
              </w:rPr>
            </w:pPr>
          </w:p>
        </w:tc>
        <w:tc>
          <w:tcPr>
            <w:tcW w:w="1159" w:type="dxa"/>
            <w:tcBorders>
              <w:tl2br w:val="nil"/>
              <w:tr2bl w:val="nil"/>
            </w:tcBorders>
            <w:vAlign w:val="center"/>
          </w:tcPr>
          <w:p>
            <w:pPr>
              <w:spacing w:line="300" w:lineRule="exact"/>
              <w:jc w:val="center"/>
              <w:rPr>
                <w:rFonts w:ascii="Times New Roman" w:hAnsi="Times New Roman" w:eastAsia="仿宋_GB2312" w:cs="Times New Roman"/>
                <w:b w:val="0"/>
                <w:bCs/>
              </w:rPr>
            </w:pPr>
            <w:r>
              <w:rPr>
                <w:rFonts w:ascii="Times New Roman" w:hAnsi="Times New Roman" w:eastAsia="仿宋_GB2312" w:cs="Times New Roman"/>
                <w:b w:val="0"/>
                <w:bCs/>
              </w:rPr>
              <w:t>质量</w:t>
            </w:r>
          </w:p>
        </w:tc>
        <w:tc>
          <w:tcPr>
            <w:tcW w:w="2114"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正常运行率</w:t>
            </w:r>
          </w:p>
        </w:tc>
        <w:tc>
          <w:tcPr>
            <w:tcW w:w="1746"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rPr>
              <w:t>达到标准得满分，达不到标准不得分</w:t>
            </w:r>
          </w:p>
        </w:tc>
        <w:tc>
          <w:tcPr>
            <w:tcW w:w="2608"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办公用品及设备满足工作需求的比率</w:t>
            </w:r>
          </w:p>
        </w:tc>
        <w:tc>
          <w:tcPr>
            <w:tcW w:w="58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w:t>
            </w:r>
          </w:p>
        </w:tc>
        <w:tc>
          <w:tcPr>
            <w:tcW w:w="63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95.00</w:t>
            </w:r>
          </w:p>
        </w:tc>
        <w:tc>
          <w:tcPr>
            <w:tcW w:w="11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w:t>
            </w:r>
          </w:p>
        </w:tc>
        <w:tc>
          <w:tcPr>
            <w:tcW w:w="1502"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032" w:type="dxa"/>
            <w:vMerge w:val="continue"/>
            <w:tcBorders>
              <w:tl2br w:val="nil"/>
              <w:tr2bl w:val="nil"/>
            </w:tcBorders>
            <w:vAlign w:val="center"/>
          </w:tcPr>
          <w:p>
            <w:pPr>
              <w:spacing w:line="300" w:lineRule="exact"/>
              <w:jc w:val="center"/>
              <w:rPr>
                <w:rFonts w:ascii="Times New Roman" w:hAnsi="Times New Roman" w:eastAsia="仿宋_GB2312" w:cs="Times New Roman"/>
                <w:b w:val="0"/>
                <w:bCs/>
              </w:rPr>
            </w:pPr>
          </w:p>
        </w:tc>
        <w:tc>
          <w:tcPr>
            <w:tcW w:w="1159" w:type="dxa"/>
            <w:tcBorders>
              <w:tl2br w:val="nil"/>
              <w:tr2bl w:val="nil"/>
            </w:tcBorders>
            <w:vAlign w:val="center"/>
          </w:tcPr>
          <w:p>
            <w:pPr>
              <w:spacing w:line="300" w:lineRule="exact"/>
              <w:jc w:val="center"/>
              <w:rPr>
                <w:rFonts w:hint="eastAsia" w:ascii="Times New Roman" w:hAnsi="Times New Roman" w:eastAsia="仿宋_GB2312" w:cs="Times New Roman"/>
                <w:b w:val="0"/>
                <w:bCs/>
              </w:rPr>
            </w:pPr>
            <w:r>
              <w:rPr>
                <w:rFonts w:hint="eastAsia" w:ascii="Times New Roman" w:hAnsi="Times New Roman" w:eastAsia="仿宋_GB2312" w:cs="Times New Roman"/>
                <w:b w:val="0"/>
                <w:bCs/>
              </w:rPr>
              <w:t>时效</w:t>
            </w:r>
          </w:p>
        </w:tc>
        <w:tc>
          <w:tcPr>
            <w:tcW w:w="2114"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经费保障及时性</w:t>
            </w:r>
          </w:p>
        </w:tc>
        <w:tc>
          <w:tcPr>
            <w:tcW w:w="1746"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rPr>
              <w:t>达到标准得满分，达不到标准不得分</w:t>
            </w:r>
          </w:p>
        </w:tc>
        <w:tc>
          <w:tcPr>
            <w:tcW w:w="26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及时保障各项日常办公需要</w:t>
            </w:r>
          </w:p>
        </w:tc>
        <w:tc>
          <w:tcPr>
            <w:tcW w:w="58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文字描述</w:t>
            </w:r>
          </w:p>
        </w:tc>
        <w:tc>
          <w:tcPr>
            <w:tcW w:w="63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p>
        </w:tc>
        <w:tc>
          <w:tcPr>
            <w:tcW w:w="11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及时保障</w:t>
            </w:r>
          </w:p>
        </w:tc>
        <w:tc>
          <w:tcPr>
            <w:tcW w:w="1502"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70" w:hRule="atLeast"/>
          <w:jc w:val="center"/>
        </w:trPr>
        <w:tc>
          <w:tcPr>
            <w:tcW w:w="1032" w:type="dxa"/>
            <w:vMerge w:val="continue"/>
            <w:tcBorders>
              <w:tl2br w:val="nil"/>
              <w:tr2bl w:val="nil"/>
            </w:tcBorders>
            <w:vAlign w:val="center"/>
          </w:tcPr>
          <w:p>
            <w:pPr>
              <w:spacing w:line="300" w:lineRule="exact"/>
              <w:jc w:val="center"/>
              <w:rPr>
                <w:rFonts w:ascii="Times New Roman" w:hAnsi="Times New Roman" w:eastAsia="仿宋_GB2312" w:cs="Times New Roman"/>
                <w:b w:val="0"/>
                <w:bCs/>
              </w:rPr>
            </w:pPr>
          </w:p>
        </w:tc>
        <w:tc>
          <w:tcPr>
            <w:tcW w:w="1159" w:type="dxa"/>
            <w:tcBorders>
              <w:tl2br w:val="nil"/>
              <w:tr2bl w:val="nil"/>
            </w:tcBorders>
            <w:vAlign w:val="center"/>
          </w:tcPr>
          <w:p>
            <w:pPr>
              <w:spacing w:line="300" w:lineRule="exact"/>
              <w:jc w:val="center"/>
              <w:rPr>
                <w:rFonts w:hint="eastAsia" w:ascii="Times New Roman" w:hAnsi="Times New Roman" w:eastAsia="仿宋_GB2312" w:cs="Times New Roman"/>
                <w:b w:val="0"/>
                <w:bCs/>
              </w:rPr>
            </w:pPr>
            <w:r>
              <w:rPr>
                <w:rFonts w:hint="eastAsia" w:ascii="Times New Roman" w:hAnsi="Times New Roman" w:eastAsia="仿宋_GB2312" w:cs="Times New Roman"/>
                <w:b w:val="0"/>
                <w:bCs/>
              </w:rPr>
              <w:t>成本</w:t>
            </w:r>
          </w:p>
        </w:tc>
        <w:tc>
          <w:tcPr>
            <w:tcW w:w="2114"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工资（福利）、社会保障（公积金）等发放（缴纳）标准</w:t>
            </w:r>
          </w:p>
        </w:tc>
        <w:tc>
          <w:tcPr>
            <w:tcW w:w="1746"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rPr>
              <w:t>达到标准得满分，达不到标准不得分</w:t>
            </w:r>
          </w:p>
        </w:tc>
        <w:tc>
          <w:tcPr>
            <w:tcW w:w="26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工资（福利）、社会保障（公积金）等发放（缴纳）标准</w:t>
            </w:r>
          </w:p>
        </w:tc>
        <w:tc>
          <w:tcPr>
            <w:tcW w:w="58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文字描述</w:t>
            </w:r>
          </w:p>
        </w:tc>
        <w:tc>
          <w:tcPr>
            <w:tcW w:w="63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p>
        </w:tc>
        <w:tc>
          <w:tcPr>
            <w:tcW w:w="1108"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按规定执行</w:t>
            </w:r>
          </w:p>
        </w:tc>
        <w:tc>
          <w:tcPr>
            <w:tcW w:w="1502"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实际测算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32" w:type="dxa"/>
            <w:vMerge w:val="restart"/>
            <w:tcBorders>
              <w:tl2br w:val="nil"/>
              <w:tr2bl w:val="nil"/>
            </w:tcBorders>
            <w:vAlign w:val="center"/>
          </w:tcPr>
          <w:p>
            <w:pPr>
              <w:spacing w:line="300" w:lineRule="exact"/>
              <w:jc w:val="center"/>
              <w:rPr>
                <w:rFonts w:ascii="Times New Roman" w:hAnsi="Times New Roman" w:eastAsia="仿宋_GB2312" w:cs="Times New Roman"/>
                <w:b w:val="0"/>
                <w:bCs/>
              </w:rPr>
            </w:pPr>
            <w:r>
              <w:rPr>
                <w:rFonts w:ascii="Times New Roman" w:hAnsi="Times New Roman" w:eastAsia="仿宋_GB2312" w:cs="Times New Roman"/>
                <w:b w:val="0"/>
                <w:bCs/>
              </w:rPr>
              <w:t>部门</w:t>
            </w:r>
            <w:r>
              <w:rPr>
                <w:rFonts w:hint="eastAsia" w:ascii="Times New Roman" w:hAnsi="Times New Roman" w:eastAsia="仿宋_GB2312" w:cs="Times New Roman"/>
                <w:b w:val="0"/>
                <w:bCs/>
              </w:rPr>
              <w:t>效果</w:t>
            </w:r>
          </w:p>
        </w:tc>
        <w:tc>
          <w:tcPr>
            <w:tcW w:w="1159" w:type="dxa"/>
            <w:tcBorders>
              <w:tl2br w:val="nil"/>
              <w:tr2bl w:val="nil"/>
            </w:tcBorders>
            <w:vAlign w:val="center"/>
          </w:tcPr>
          <w:p>
            <w:pPr>
              <w:spacing w:line="300" w:lineRule="exact"/>
              <w:jc w:val="center"/>
              <w:rPr>
                <w:rFonts w:hint="eastAsia" w:ascii="Times New Roman" w:hAnsi="Times New Roman" w:eastAsia="仿宋_GB2312" w:cs="Times New Roman"/>
                <w:b w:val="0"/>
                <w:bCs/>
              </w:rPr>
            </w:pPr>
            <w:r>
              <w:rPr>
                <w:rFonts w:hint="eastAsia" w:ascii="Times New Roman" w:hAnsi="Times New Roman" w:eastAsia="仿宋_GB2312" w:cs="Times New Roman"/>
                <w:b w:val="0"/>
                <w:bCs/>
              </w:rPr>
              <w:t>社会</w:t>
            </w:r>
          </w:p>
          <w:p>
            <w:pPr>
              <w:spacing w:line="300" w:lineRule="exact"/>
              <w:jc w:val="center"/>
              <w:rPr>
                <w:rFonts w:hint="eastAsia" w:ascii="Times New Roman" w:hAnsi="Times New Roman" w:eastAsia="仿宋_GB2312" w:cs="Times New Roman"/>
                <w:b w:val="0"/>
                <w:bCs/>
              </w:rPr>
            </w:pPr>
            <w:r>
              <w:rPr>
                <w:rFonts w:hint="eastAsia" w:ascii="Times New Roman" w:hAnsi="Times New Roman" w:eastAsia="仿宋_GB2312" w:cs="Times New Roman"/>
                <w:b w:val="0"/>
                <w:bCs/>
              </w:rPr>
              <w:t>效益</w:t>
            </w:r>
          </w:p>
        </w:tc>
        <w:tc>
          <w:tcPr>
            <w:tcW w:w="2114"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加强工作人员归属感，保持干部队伍稳定</w:t>
            </w:r>
          </w:p>
        </w:tc>
        <w:tc>
          <w:tcPr>
            <w:tcW w:w="1746"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rPr>
              <w:t>达到标准得满分，达不到标准不得分</w:t>
            </w:r>
          </w:p>
        </w:tc>
        <w:tc>
          <w:tcPr>
            <w:tcW w:w="26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通过按时按标准发放工资福利等，进一步增强干部职工得归属感，保持干部队伍相对稳定，保障办公正常运转</w:t>
            </w:r>
          </w:p>
        </w:tc>
        <w:tc>
          <w:tcPr>
            <w:tcW w:w="58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文字描述</w:t>
            </w:r>
          </w:p>
        </w:tc>
        <w:tc>
          <w:tcPr>
            <w:tcW w:w="63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p>
        </w:tc>
        <w:tc>
          <w:tcPr>
            <w:tcW w:w="11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保持干部队伍相对稳定</w:t>
            </w:r>
          </w:p>
        </w:tc>
        <w:tc>
          <w:tcPr>
            <w:tcW w:w="1502"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032" w:type="dxa"/>
            <w:vMerge w:val="continue"/>
            <w:tcBorders>
              <w:tl2br w:val="nil"/>
              <w:tr2bl w:val="nil"/>
            </w:tcBorders>
            <w:vAlign w:val="center"/>
          </w:tcPr>
          <w:p>
            <w:pPr>
              <w:spacing w:line="300" w:lineRule="exact"/>
              <w:jc w:val="center"/>
              <w:rPr>
                <w:rFonts w:ascii="Times New Roman" w:hAnsi="Times New Roman" w:eastAsia="仿宋_GB2312" w:cs="Times New Roman"/>
                <w:b w:val="0"/>
                <w:bCs/>
              </w:rPr>
            </w:pPr>
          </w:p>
        </w:tc>
        <w:tc>
          <w:tcPr>
            <w:tcW w:w="1159" w:type="dxa"/>
            <w:tcBorders>
              <w:tl2br w:val="nil"/>
              <w:tr2bl w:val="nil"/>
            </w:tcBorders>
            <w:vAlign w:val="center"/>
          </w:tcPr>
          <w:p>
            <w:pPr>
              <w:spacing w:line="300" w:lineRule="exact"/>
              <w:jc w:val="center"/>
              <w:rPr>
                <w:rFonts w:ascii="Times New Roman" w:hAnsi="Times New Roman" w:eastAsia="仿宋_GB2312" w:cs="Times New Roman"/>
                <w:b w:val="0"/>
                <w:bCs/>
              </w:rPr>
            </w:pPr>
            <w:r>
              <w:rPr>
                <w:rFonts w:hint="eastAsia" w:ascii="Times New Roman" w:hAnsi="Times New Roman" w:eastAsia="仿宋_GB2312" w:cs="Times New Roman"/>
                <w:b w:val="0"/>
                <w:bCs/>
              </w:rPr>
              <w:t>满意度</w:t>
            </w:r>
          </w:p>
        </w:tc>
        <w:tc>
          <w:tcPr>
            <w:tcW w:w="2114" w:type="dxa"/>
            <w:tcBorders>
              <w:tl2br w:val="nil"/>
              <w:tr2bl w:val="nil"/>
            </w:tcBorders>
            <w:noWrap/>
            <w:vAlign w:val="center"/>
          </w:tcPr>
          <w:p>
            <w:pPr>
              <w:spacing w:line="300" w:lineRule="exact"/>
              <w:jc w:val="center"/>
              <w:rPr>
                <w:rFonts w:ascii="Times New Roman" w:hAnsi="Times New Roman" w:eastAsia="仿宋_GB2312" w:cs="Times New Roman"/>
                <w:b w:val="0"/>
                <w:bCs/>
              </w:rPr>
            </w:pPr>
            <w:r>
              <w:rPr>
                <w:rFonts w:hint="eastAsia" w:ascii="Times New Roman" w:hAnsi="Times New Roman" w:eastAsia="仿宋_GB2312" w:cs="Times New Roman"/>
                <w:b w:val="0"/>
                <w:bCs/>
              </w:rPr>
              <w:t>单位人员满意度</w:t>
            </w:r>
          </w:p>
        </w:tc>
        <w:tc>
          <w:tcPr>
            <w:tcW w:w="1746" w:type="dxa"/>
            <w:tcBorders>
              <w:tl2br w:val="nil"/>
              <w:tr2bl w:val="nil"/>
            </w:tcBorders>
            <w:noWrap/>
            <w:vAlign w:val="center"/>
          </w:tcPr>
          <w:p>
            <w:pPr>
              <w:spacing w:line="300" w:lineRule="exact"/>
              <w:jc w:val="center"/>
              <w:rPr>
                <w:rFonts w:ascii="Times New Roman" w:hAnsi="Times New Roman" w:eastAsia="仿宋_GB2312" w:cs="Times New Roman"/>
                <w:b w:val="0"/>
                <w:bCs/>
              </w:rPr>
            </w:pPr>
            <w:r>
              <w:rPr>
                <w:rFonts w:hint="eastAsia" w:ascii="Times New Roman" w:hAnsi="Times New Roman" w:eastAsia="仿宋_GB2312" w:cs="Times New Roman"/>
                <w:b w:val="0"/>
                <w:bCs/>
                <w:lang w:val="en-US" w:eastAsia="zh-CN"/>
              </w:rPr>
              <w:t>达到标准得满分，达不到标准不得分</w:t>
            </w:r>
          </w:p>
        </w:tc>
        <w:tc>
          <w:tcPr>
            <w:tcW w:w="2608" w:type="dxa"/>
            <w:tcBorders>
              <w:tl2br w:val="nil"/>
              <w:tr2bl w:val="nil"/>
            </w:tcBorders>
            <w:noWrap/>
            <w:vAlign w:val="center"/>
          </w:tcPr>
          <w:p>
            <w:pPr>
              <w:spacing w:line="300" w:lineRule="exact"/>
              <w:jc w:val="center"/>
              <w:rPr>
                <w:rFonts w:ascii="Times New Roman" w:hAnsi="Times New Roman" w:eastAsia="仿宋_GB2312" w:cs="Times New Roman"/>
                <w:b w:val="0"/>
                <w:bCs/>
              </w:rPr>
            </w:pPr>
            <w:r>
              <w:rPr>
                <w:rFonts w:hint="eastAsia" w:ascii="Times New Roman" w:hAnsi="Times New Roman" w:eastAsia="仿宋_GB2312" w:cs="Times New Roman"/>
                <w:b w:val="0"/>
                <w:bCs/>
              </w:rPr>
              <w:t>单位人员对工资福利等发放工作的满意程度</w:t>
            </w:r>
          </w:p>
        </w:tc>
        <w:tc>
          <w:tcPr>
            <w:tcW w:w="58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w:t>
            </w:r>
          </w:p>
        </w:tc>
        <w:tc>
          <w:tcPr>
            <w:tcW w:w="630"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90</w:t>
            </w:r>
          </w:p>
        </w:tc>
        <w:tc>
          <w:tcPr>
            <w:tcW w:w="1108" w:type="dxa"/>
            <w:tcBorders>
              <w:tl2br w:val="nil"/>
              <w:tr2bl w:val="nil"/>
            </w:tcBorders>
            <w:vAlign w:val="center"/>
          </w:tcPr>
          <w:p>
            <w:pPr>
              <w:spacing w:line="300" w:lineRule="exact"/>
              <w:jc w:val="center"/>
              <w:rPr>
                <w:rFonts w:hint="eastAsia"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w:t>
            </w:r>
          </w:p>
        </w:tc>
        <w:tc>
          <w:tcPr>
            <w:tcW w:w="1502" w:type="dxa"/>
            <w:tcBorders>
              <w:tl2br w:val="nil"/>
              <w:tr2bl w:val="nil"/>
            </w:tcBorders>
            <w:vAlign w:val="center"/>
          </w:tcPr>
          <w:p>
            <w:pPr>
              <w:spacing w:line="300" w:lineRule="exact"/>
              <w:jc w:val="center"/>
              <w:rPr>
                <w:rFonts w:hint="default" w:ascii="Times New Roman" w:hAnsi="Times New Roman" w:eastAsia="仿宋_GB2312" w:cs="Times New Roman"/>
                <w:b w:val="0"/>
                <w:bCs/>
                <w:lang w:val="en-US" w:eastAsia="zh-CN"/>
              </w:rPr>
            </w:pPr>
            <w:r>
              <w:rPr>
                <w:rFonts w:hint="eastAsia" w:ascii="Times New Roman" w:hAnsi="Times New Roman" w:eastAsia="仿宋_GB2312" w:cs="Times New Roman"/>
                <w:b w:val="0"/>
                <w:bCs/>
                <w:lang w:val="en-US" w:eastAsia="zh-CN"/>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1.补助被征地农民资金绩效目标表</w:t>
      </w:r>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补助被征地农民资金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数量指标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社会保障费及风险基金缴纳比例</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社会保障费及风险基金缴纳比例</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质量指标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资金使用合规性</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资金使用合规性</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时效指标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缴纳及时性</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按照进度及时拨付缴纳</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及时缴纳</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成本控制率</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按自然资源和规划部门提供区片价的25%征收被征地农民社会保障费，按照土地出让平均纯收益的10%提取被征地农民风险基金。</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社会效益指标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被征地农民参加城乡居民基本养老保险</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按发放标准计发</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及时发放</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b w:val="0"/>
                <w:bCs/>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可持续影响指标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维护社会稳定</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维护社会稳定保障征地工作推进</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有效推进</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服务对象满意度指标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被征地农民满意度</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被征地农民满意度</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调查问卷</w:t>
            </w:r>
          </w:p>
        </w:tc>
      </w:tr>
    </w:tbl>
    <w:p>
      <w:pPr>
        <w:ind w:firstLine="560" w:firstLineChars="200"/>
        <w:jc w:val="left"/>
        <w:outlineLvl w:val="1"/>
        <w:rPr>
          <w:rFonts w:hint="eastAsia" w:ascii="仿宋_GB2312" w:hAnsi="仿宋_GB2312" w:eastAsia="仿宋_GB2312" w:cs="仿宋_GB2312"/>
          <w:sz w:val="28"/>
        </w:rPr>
      </w:pPr>
    </w:p>
    <w:p>
      <w:pPr>
        <w:spacing w:before="0" w:after="0"/>
        <w:ind w:firstLine="560"/>
        <w:jc w:val="left"/>
        <w:outlineLvl w:val="3"/>
        <w:rPr>
          <w:rFonts w:hint="eastAsia" w:ascii="仿宋_GB2312" w:hAnsi="仿宋_GB2312" w:eastAsia="仿宋_GB2312" w:cs="仿宋_GB2312"/>
          <w:sz w:val="28"/>
        </w:rPr>
      </w:pPr>
    </w:p>
    <w:p>
      <w:pPr>
        <w:spacing w:before="0" w:after="0"/>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color w:val="000000"/>
          <w:sz w:val="28"/>
        </w:rPr>
        <w:t>基础设施建设资金绩效目标表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kern w:val="0"/>
                <w:sz w:val="21"/>
                <w:szCs w:val="24"/>
                <w:lang w:val="en-US" w:eastAsia="zh-CN" w:bidi="ar-SA"/>
              </w:rPr>
            </w:pPr>
            <w:r>
              <w:rPr>
                <w:rFonts w:hint="eastAsia" w:ascii="仿宋_GB2312" w:hAnsi="仿宋_GB2312" w:eastAsia="仿宋_GB2312" w:cs="仿宋_GB2312"/>
              </w:rPr>
              <w:t>基础设施建设资金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数量指标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工程完工率</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工程完工率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质量指标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工程质量合格率</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工程质量合格率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时效指标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资金支付及时性</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资金支付及时性</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及时支付</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成本控制率</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成本控制率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社会效益指标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设施正常运转率</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正常运转设施占总设施的比率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rPr>
            </w:pPr>
          </w:p>
        </w:tc>
        <w:tc>
          <w:tcPr>
            <w:tcW w:w="1985" w:type="dxa"/>
            <w:shd w:val="clear" w:color="auto" w:fill="auto"/>
            <w:vAlign w:val="center"/>
          </w:tcPr>
          <w:p>
            <w:pPr>
              <w:spacing w:line="300" w:lineRule="exact"/>
              <w:jc w:val="center"/>
              <w:rPr>
                <w:rFonts w:hint="eastAsia" w:ascii="仿宋_GB2312" w:hAnsi="仿宋_GB2312" w:eastAsia="仿宋_GB2312" w:cs="仿宋_GB2312"/>
                <w:b w:val="0"/>
                <w:bCs/>
              </w:rPr>
            </w:pPr>
          </w:p>
        </w:tc>
        <w:tc>
          <w:tcPr>
            <w:tcW w:w="3402" w:type="dxa"/>
            <w:shd w:val="clear" w:color="auto" w:fill="auto"/>
            <w:vAlign w:val="center"/>
          </w:tcPr>
          <w:p>
            <w:pPr>
              <w:spacing w:line="300" w:lineRule="exact"/>
              <w:jc w:val="center"/>
              <w:rPr>
                <w:rFonts w:hint="eastAsia" w:ascii="仿宋_GB2312" w:hAnsi="仿宋_GB2312" w:eastAsia="仿宋_GB2312" w:cs="仿宋_GB2312"/>
                <w:b w:val="0"/>
                <w:bCs/>
              </w:rPr>
            </w:pPr>
          </w:p>
        </w:tc>
        <w:tc>
          <w:tcPr>
            <w:tcW w:w="1843" w:type="dxa"/>
            <w:shd w:val="clear" w:color="auto" w:fill="auto"/>
            <w:vAlign w:val="center"/>
          </w:tcPr>
          <w:p>
            <w:pPr>
              <w:spacing w:line="300" w:lineRule="exact"/>
              <w:jc w:val="center"/>
              <w:rPr>
                <w:rFonts w:hint="eastAsia" w:ascii="仿宋_GB2312" w:hAnsi="仿宋_GB2312" w:eastAsia="仿宋_GB2312" w:cs="仿宋_GB2312"/>
                <w:b w:val="0"/>
                <w:bCs/>
              </w:rPr>
            </w:pPr>
          </w:p>
        </w:tc>
        <w:tc>
          <w:tcPr>
            <w:tcW w:w="2155" w:type="dxa"/>
            <w:shd w:val="clear" w:color="auto" w:fill="auto"/>
            <w:vAlign w:val="center"/>
          </w:tcPr>
          <w:p>
            <w:pPr>
              <w:spacing w:line="300" w:lineRule="exact"/>
              <w:jc w:val="center"/>
              <w:rPr>
                <w:rFonts w:hint="eastAsia" w:ascii="仿宋_GB2312" w:hAnsi="仿宋_GB2312" w:eastAsia="仿宋_GB2312" w:cs="仿宋_GB2312"/>
                <w:b w:val="0"/>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服务对象满意度指标</w:t>
            </w:r>
          </w:p>
        </w:tc>
        <w:tc>
          <w:tcPr>
            <w:tcW w:w="198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受益群体满意度</w:t>
            </w:r>
          </w:p>
        </w:tc>
        <w:tc>
          <w:tcPr>
            <w:tcW w:w="34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受益群体满意度</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≥90%</w:t>
            </w:r>
          </w:p>
        </w:tc>
        <w:tc>
          <w:tcPr>
            <w:tcW w:w="215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spacing w:before="0" w:after="0"/>
        <w:ind w:firstLine="560" w:firstLineChars="200"/>
        <w:jc w:val="left"/>
        <w:outlineLvl w:val="3"/>
        <w:rPr>
          <w:rFonts w:hint="eastAsia" w:ascii="仿宋_GB2312" w:hAnsi="仿宋_GB2312" w:eastAsia="仿宋_GB2312" w:cs="仿宋_GB2312"/>
          <w:sz w:val="28"/>
          <w:lang w:val="en-US" w:eastAsia="zh-CN"/>
        </w:rPr>
      </w:pPr>
    </w:p>
    <w:p>
      <w:pPr>
        <w:spacing w:before="0" w:after="0"/>
        <w:ind w:firstLine="560" w:firstLineChars="200"/>
        <w:jc w:val="left"/>
        <w:outlineLvl w:val="3"/>
        <w:rPr>
          <w:rFonts w:hint="eastAsia" w:ascii="仿宋_GB2312" w:hAnsi="仿宋_GB2312" w:eastAsia="仿宋_GB2312" w:cs="仿宋_GB2312"/>
          <w:sz w:val="28"/>
          <w:lang w:val="en-US" w:eastAsia="zh-CN"/>
        </w:rPr>
      </w:pPr>
    </w:p>
    <w:p>
      <w:pPr>
        <w:spacing w:before="0" w:after="0"/>
        <w:ind w:firstLine="560" w:firstLineChars="200"/>
        <w:jc w:val="left"/>
        <w:outlineLvl w:val="3"/>
        <w:rPr>
          <w:rFonts w:hint="eastAsia" w:ascii="仿宋_GB2312" w:hAnsi="仿宋_GB2312" w:eastAsia="仿宋_GB2312" w:cs="仿宋_GB2312"/>
          <w:sz w:val="28"/>
          <w:lang w:val="en-US" w:eastAsia="zh-CN"/>
        </w:rPr>
      </w:pPr>
    </w:p>
    <w:p>
      <w:pPr>
        <w:spacing w:before="0" w:after="0"/>
        <w:ind w:firstLine="560" w:firstLineChars="200"/>
        <w:jc w:val="left"/>
        <w:outlineLvl w:val="3"/>
        <w:rPr>
          <w:rFonts w:hint="eastAsia" w:ascii="仿宋_GB2312" w:hAnsi="仿宋_GB2312" w:eastAsia="仿宋_GB2312" w:cs="仿宋_GB2312"/>
          <w:sz w:val="28"/>
          <w:lang w:val="en-US" w:eastAsia="zh-CN"/>
        </w:rPr>
      </w:pPr>
    </w:p>
    <w:p>
      <w:pPr>
        <w:spacing w:before="0" w:after="0"/>
        <w:ind w:firstLine="560" w:firstLineChars="200"/>
        <w:jc w:val="left"/>
        <w:outlineLvl w:val="3"/>
        <w:rPr>
          <w:rFonts w:hint="eastAsia" w:ascii="仿宋_GB2312" w:hAnsi="仿宋_GB2312" w:eastAsia="仿宋_GB2312" w:cs="仿宋_GB2312"/>
          <w:sz w:val="28"/>
          <w:lang w:val="en-US" w:eastAsia="zh-CN"/>
        </w:rPr>
      </w:pPr>
    </w:p>
    <w:p>
      <w:pPr>
        <w:spacing w:before="0" w:after="0"/>
        <w:ind w:firstLine="560" w:firstLineChars="20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聘用人员工资经费绩效目标表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363"/>
        <w:gridCol w:w="1890"/>
        <w:gridCol w:w="2934"/>
        <w:gridCol w:w="1602"/>
        <w:gridCol w:w="2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聘用人员工资经费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36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9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93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86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3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数量指标</w:t>
            </w:r>
          </w:p>
        </w:tc>
        <w:tc>
          <w:tcPr>
            <w:tcW w:w="1890"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发放人数</w:t>
            </w:r>
          </w:p>
        </w:tc>
        <w:tc>
          <w:tcPr>
            <w:tcW w:w="293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发放人数</w:t>
            </w:r>
          </w:p>
        </w:tc>
        <w:tc>
          <w:tcPr>
            <w:tcW w:w="16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≤20人</w:t>
            </w:r>
          </w:p>
        </w:tc>
        <w:tc>
          <w:tcPr>
            <w:tcW w:w="286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广阳经开区人事薪酬改革岗位设置、薪酬管理、人员聘用、绩效考核等实施方案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3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质量指标</w:t>
            </w:r>
          </w:p>
        </w:tc>
        <w:tc>
          <w:tcPr>
            <w:tcW w:w="1890"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工资(福利)等发放精准性</w:t>
            </w:r>
          </w:p>
        </w:tc>
        <w:tc>
          <w:tcPr>
            <w:tcW w:w="293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工资福利等发放人员范围的精准性和发放数据的准确性</w:t>
            </w:r>
          </w:p>
        </w:tc>
        <w:tc>
          <w:tcPr>
            <w:tcW w:w="16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100</w:t>
            </w:r>
            <w:r>
              <w:rPr>
                <w:rFonts w:hint="eastAsia" w:ascii="仿宋_GB2312" w:hAnsi="仿宋_GB2312" w:eastAsia="仿宋_GB2312" w:cs="仿宋_GB2312"/>
                <w:b w:val="0"/>
                <w:bCs/>
              </w:rPr>
              <w:t>%</w:t>
            </w:r>
          </w:p>
        </w:tc>
        <w:tc>
          <w:tcPr>
            <w:tcW w:w="286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广阳经开区人事薪酬改革岗位设置、薪酬管理、人员聘用、绩效考核等实施方案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3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时效指标</w:t>
            </w:r>
          </w:p>
        </w:tc>
        <w:tc>
          <w:tcPr>
            <w:tcW w:w="1890"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社会保障（公积金）缴纳的准确性</w:t>
            </w:r>
          </w:p>
        </w:tc>
        <w:tc>
          <w:tcPr>
            <w:tcW w:w="293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社会保障（公积金）缴纳数据的准确性</w:t>
            </w:r>
          </w:p>
        </w:tc>
        <w:tc>
          <w:tcPr>
            <w:tcW w:w="16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按规定时间发放</w:t>
            </w:r>
          </w:p>
        </w:tc>
        <w:tc>
          <w:tcPr>
            <w:tcW w:w="286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广阳经开区人事薪酬改革岗位设置、薪酬管理、人员聘用、绩效考核等实施方案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3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成本指标</w:t>
            </w:r>
          </w:p>
        </w:tc>
        <w:tc>
          <w:tcPr>
            <w:tcW w:w="1890"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工资（福利）、社会保障（公积金）等发放（缴纳）标准</w:t>
            </w:r>
          </w:p>
        </w:tc>
        <w:tc>
          <w:tcPr>
            <w:tcW w:w="293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工资（福利）、社会保障（公积金）等发放（缴纳）标准</w:t>
            </w:r>
          </w:p>
        </w:tc>
        <w:tc>
          <w:tcPr>
            <w:tcW w:w="16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按规定执行</w:t>
            </w:r>
          </w:p>
        </w:tc>
        <w:tc>
          <w:tcPr>
            <w:tcW w:w="286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广阳经开区人事薪酬改革岗位设置、薪酬管理、人员聘用、绩效考核等实施方案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3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社会效益指标</w:t>
            </w:r>
          </w:p>
        </w:tc>
        <w:tc>
          <w:tcPr>
            <w:tcW w:w="1890"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加强工作人员归属感，保持干部队伍稳定</w:t>
            </w:r>
          </w:p>
        </w:tc>
        <w:tc>
          <w:tcPr>
            <w:tcW w:w="293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通过按时按标准发放工资福利等，进一步增强干部职工得归属感，保持干部队伍相对稳定，保障办公正常运转</w:t>
            </w:r>
          </w:p>
        </w:tc>
        <w:tc>
          <w:tcPr>
            <w:tcW w:w="16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保持干部队伍相对稳定</w:t>
            </w:r>
          </w:p>
        </w:tc>
        <w:tc>
          <w:tcPr>
            <w:tcW w:w="286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广阳经开区人事薪酬改革岗位设置、薪酬管理、人员聘用、绩效考核等实施方案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3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服务对象满意度指标</w:t>
            </w:r>
          </w:p>
        </w:tc>
        <w:tc>
          <w:tcPr>
            <w:tcW w:w="1890"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聘用人员满意度</w:t>
            </w:r>
          </w:p>
        </w:tc>
        <w:tc>
          <w:tcPr>
            <w:tcW w:w="293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聘用人员对工资福利等发放工作的满意程度</w:t>
            </w:r>
          </w:p>
        </w:tc>
        <w:tc>
          <w:tcPr>
            <w:tcW w:w="160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≥98%</w:t>
            </w:r>
          </w:p>
        </w:tc>
        <w:tc>
          <w:tcPr>
            <w:tcW w:w="286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spacing w:before="0" w:after="0"/>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4</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土地开发支出资金绩效目标表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土地开发支出资金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土地开发面积</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经开区土地开发面积</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≤1599亩</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资金使用合规性</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资金使用合规性</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资金拨付及时性</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按照土地开发进度及时拨付资金</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及时拨付资金</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提高经开区土地开发利用率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提高经开区土地开发利用率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有效提高</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left"/>
              <w:rPr>
                <w:rFonts w:hint="eastAsia" w:ascii="仿宋_GB2312" w:hAnsi="仿宋_GB2312" w:eastAsia="仿宋_GB2312" w:cs="仿宋_GB2312"/>
              </w:rPr>
            </w:pPr>
          </w:p>
        </w:tc>
        <w:tc>
          <w:tcPr>
            <w:tcW w:w="1985" w:type="dxa"/>
            <w:shd w:val="clear" w:color="auto" w:fill="auto"/>
            <w:vAlign w:val="center"/>
          </w:tcPr>
          <w:p>
            <w:pPr>
              <w:spacing w:line="300" w:lineRule="exact"/>
              <w:jc w:val="left"/>
              <w:rPr>
                <w:rFonts w:hint="eastAsia" w:ascii="仿宋_GB2312" w:hAnsi="仿宋_GB2312" w:eastAsia="仿宋_GB2312" w:cs="仿宋_GB2312"/>
              </w:rPr>
            </w:pPr>
          </w:p>
        </w:tc>
        <w:tc>
          <w:tcPr>
            <w:tcW w:w="3402" w:type="dxa"/>
            <w:shd w:val="clear" w:color="auto" w:fill="auto"/>
            <w:vAlign w:val="center"/>
          </w:tcPr>
          <w:p>
            <w:pPr>
              <w:spacing w:line="300" w:lineRule="exact"/>
              <w:jc w:val="left"/>
              <w:rPr>
                <w:rFonts w:hint="eastAsia" w:ascii="仿宋_GB2312" w:hAnsi="仿宋_GB2312" w:eastAsia="仿宋_GB2312" w:cs="仿宋_GB2312"/>
              </w:rPr>
            </w:pPr>
          </w:p>
        </w:tc>
        <w:tc>
          <w:tcPr>
            <w:tcW w:w="1843" w:type="dxa"/>
            <w:shd w:val="clear" w:color="auto" w:fill="auto"/>
            <w:vAlign w:val="center"/>
          </w:tcPr>
          <w:p>
            <w:pPr>
              <w:spacing w:line="300" w:lineRule="exact"/>
              <w:jc w:val="left"/>
              <w:rPr>
                <w:rFonts w:hint="eastAsia" w:ascii="仿宋_GB2312" w:hAnsi="仿宋_GB2312" w:eastAsia="仿宋_GB2312" w:cs="仿宋_GB2312"/>
              </w:rPr>
            </w:pPr>
          </w:p>
        </w:tc>
        <w:tc>
          <w:tcPr>
            <w:tcW w:w="2155" w:type="dxa"/>
            <w:shd w:val="clear" w:color="auto" w:fill="auto"/>
            <w:vAlign w:val="center"/>
          </w:tcPr>
          <w:p>
            <w:pPr>
              <w:spacing w:line="300" w:lineRule="exact"/>
              <w:jc w:val="lef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受益群体满意程度</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受益群体满意程度</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新业路（兴业道-光明东道）道路工程绩效目标表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152"/>
        <w:gridCol w:w="2475"/>
        <w:gridCol w:w="1826"/>
        <w:gridCol w:w="3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tabs>
                <w:tab w:val="left" w:pos="636"/>
              </w:tabs>
              <w:spacing w:line="300" w:lineRule="exact"/>
              <w:rPr>
                <w:rFonts w:hint="eastAsia" w:ascii="仿宋_GB2312" w:hAnsi="仿宋_GB2312" w:eastAsia="仿宋_GB2312" w:cs="仿宋_GB2312"/>
                <w:b/>
                <w:lang w:eastAsia="zh-CN"/>
              </w:rPr>
            </w:pPr>
            <w:r>
              <w:rPr>
                <w:rFonts w:hint="eastAsia" w:ascii="仿宋_GB2312" w:hAnsi="仿宋_GB2312" w:eastAsia="仿宋_GB2312" w:cs="仿宋_GB2312"/>
              </w:rPr>
              <w:t>新业路（兴业道-光明东道）道路工程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15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4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2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93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项目投资控制</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项目建设资金</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≤1298.97万元</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数量指标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规划建设长度</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新建新业路长度</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≤1194米</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时效指标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资金拨付及时性</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按照工程进度及时拨付资金</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及时拨付资金</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质量指标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工程验收合格率</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工程验收合格比例</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w:t>
            </w:r>
            <w:r>
              <w:rPr>
                <w:rFonts w:hint="eastAsia" w:ascii="仿宋_GB2312" w:hAnsi="仿宋_GB2312" w:eastAsia="仿宋_GB2312" w:cs="仿宋_GB2312"/>
                <w:b w:val="0"/>
                <w:bCs/>
                <w:lang w:val="en-US" w:eastAsia="zh-CN"/>
              </w:rPr>
              <w:t>持续影响指标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可持续使用时间</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可持续使用时间</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显著延长</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社会效益指标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完善基础建设改善投资环境</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完善基础建设，改善投资环境</w:t>
            </w:r>
          </w:p>
        </w:tc>
        <w:tc>
          <w:tcPr>
            <w:tcW w:w="1826"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明显改善</w:t>
            </w:r>
          </w:p>
        </w:tc>
        <w:tc>
          <w:tcPr>
            <w:tcW w:w="3932" w:type="dxa"/>
            <w:shd w:val="clear" w:color="auto" w:fill="auto"/>
            <w:vAlign w:val="center"/>
          </w:tcPr>
          <w:p>
            <w:pPr>
              <w:pStyle w:val="14"/>
              <w:rPr>
                <w:rFonts w:hint="eastAsia" w:ascii="仿宋_GB2312" w:hAnsi="仿宋_GB2312" w:eastAsia="仿宋_GB2312" w:cs="仿宋_GB2312"/>
                <w:b w:val="0"/>
                <w:bCs/>
                <w:kern w:val="2"/>
                <w:sz w:val="21"/>
                <w:szCs w:val="22"/>
                <w:lang w:val="en-US" w:eastAsia="uk-UA" w:bidi="ar-SA"/>
              </w:rPr>
            </w:pPr>
            <w:r>
              <w:rPr>
                <w:rFonts w:hint="eastAsia" w:ascii="仿宋_GB2312" w:hAnsi="仿宋_GB2312" w:eastAsia="仿宋_GB2312" w:cs="仿宋_GB2312"/>
                <w:b w:val="0"/>
                <w:bCs/>
                <w:kern w:val="2"/>
                <w:sz w:val="21"/>
                <w:szCs w:val="22"/>
                <w:lang w:val="en-US" w:eastAsia="zh-CN" w:bidi="ar-SA"/>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经济效益指标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促进域内经济发展</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促进域内经济发展</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有利促进</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生态效益指标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改善区域内环境</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提高绿化率；降低车辆燃油和轮胎的消耗</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显著提高</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服务对象满意度指标</w:t>
            </w:r>
          </w:p>
        </w:tc>
        <w:tc>
          <w:tcPr>
            <w:tcW w:w="115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群众满意度</w:t>
            </w:r>
          </w:p>
        </w:tc>
        <w:tc>
          <w:tcPr>
            <w:tcW w:w="247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群众对此项民生工程的满意度</w:t>
            </w:r>
          </w:p>
        </w:tc>
        <w:tc>
          <w:tcPr>
            <w:tcW w:w="182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≥95%</w:t>
            </w:r>
          </w:p>
        </w:tc>
        <w:tc>
          <w:tcPr>
            <w:tcW w:w="3932"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调查问卷</w:t>
            </w:r>
          </w:p>
        </w:tc>
      </w:tr>
    </w:tbl>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lang w:val="en-US" w:eastAsia="zh-CN"/>
        </w:rPr>
      </w:pP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000000"/>
          <w:sz w:val="28"/>
        </w:rPr>
        <w:t>新业路（兴业道-光明东道）道路工程绩效目标表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2"/>
        <w:gridCol w:w="2241"/>
        <w:gridCol w:w="2024"/>
        <w:gridCol w:w="1808"/>
        <w:gridCol w:w="2096"/>
        <w:gridCol w:w="4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6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300" w:type="dxa"/>
            <w:gridSpan w:val="5"/>
            <w:shd w:val="clear" w:color="auto" w:fill="auto"/>
            <w:vAlign w:val="center"/>
          </w:tcPr>
          <w:p>
            <w:pPr>
              <w:tabs>
                <w:tab w:val="left" w:pos="636"/>
              </w:tabs>
              <w:spacing w:line="300" w:lineRule="exact"/>
              <w:rPr>
                <w:rFonts w:hint="eastAsia" w:ascii="仿宋_GB2312" w:hAnsi="仿宋_GB2312" w:eastAsia="仿宋_GB2312" w:cs="仿宋_GB2312"/>
                <w:b/>
                <w:lang w:eastAsia="zh-CN"/>
              </w:rPr>
            </w:pPr>
            <w:r>
              <w:rPr>
                <w:rFonts w:hint="eastAsia" w:ascii="仿宋_GB2312" w:hAnsi="仿宋_GB2312" w:eastAsia="仿宋_GB2312" w:cs="仿宋_GB2312"/>
              </w:rPr>
              <w:t>新业路（兴业道-光明东道）道路工程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6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4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02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180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209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13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项目投资控制</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项目建设资金</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w:t>
            </w:r>
            <w:r>
              <w:rPr>
                <w:rFonts w:hint="eastAsia" w:ascii="仿宋_GB2312" w:hAnsi="仿宋_GB2312" w:eastAsia="仿宋_GB2312" w:cs="仿宋_GB2312"/>
                <w:b w:val="0"/>
                <w:bCs/>
                <w:lang w:val="en-US" w:eastAsia="zh-CN"/>
              </w:rPr>
              <w:t>900</w:t>
            </w:r>
            <w:r>
              <w:rPr>
                <w:rFonts w:hint="eastAsia" w:ascii="仿宋_GB2312" w:hAnsi="仿宋_GB2312" w:eastAsia="仿宋_GB2312" w:cs="仿宋_GB2312"/>
                <w:b w:val="0"/>
                <w:bCs/>
              </w:rPr>
              <w:t>万元</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continue"/>
            <w:shd w:val="clear" w:color="auto" w:fill="auto"/>
            <w:vAlign w:val="center"/>
          </w:tcPr>
          <w:p>
            <w:pPr>
              <w:rPr>
                <w:rFonts w:hint="eastAsia" w:ascii="仿宋_GB2312" w:hAnsi="仿宋_GB2312" w:eastAsia="仿宋_GB2312" w:cs="仿宋_GB2312"/>
              </w:rPr>
            </w:pP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数量指标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规划建设长度</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新建新业路长度</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≤1194米</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continue"/>
            <w:shd w:val="clear" w:color="auto" w:fill="auto"/>
            <w:vAlign w:val="center"/>
          </w:tcPr>
          <w:p>
            <w:pPr>
              <w:rPr>
                <w:rFonts w:hint="eastAsia" w:ascii="仿宋_GB2312" w:hAnsi="仿宋_GB2312" w:eastAsia="仿宋_GB2312" w:cs="仿宋_GB2312"/>
              </w:rPr>
            </w:pP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时效指标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资金拨付及时性</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按照工程进度及时拨付资金</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及时拨付资金</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continue"/>
            <w:shd w:val="clear" w:color="auto" w:fill="auto"/>
            <w:vAlign w:val="center"/>
          </w:tcPr>
          <w:p>
            <w:pPr>
              <w:rPr>
                <w:rFonts w:hint="eastAsia" w:ascii="仿宋_GB2312" w:hAnsi="仿宋_GB2312" w:eastAsia="仿宋_GB2312" w:cs="仿宋_GB2312"/>
              </w:rPr>
            </w:pP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质量指标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工程验收合格率</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工程验收合格比例</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restart"/>
            <w:shd w:val="clear" w:color="auto" w:fill="auto"/>
            <w:vAlign w:val="center"/>
          </w:tcPr>
          <w:p>
            <w:pPr>
              <w:spacing w:line="3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rPr>
              <w:t>效果指标</w:t>
            </w: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w:t>
            </w:r>
            <w:r>
              <w:rPr>
                <w:rFonts w:hint="eastAsia" w:ascii="仿宋_GB2312" w:hAnsi="仿宋_GB2312" w:eastAsia="仿宋_GB2312" w:cs="仿宋_GB2312"/>
                <w:b w:val="0"/>
                <w:bCs/>
                <w:lang w:val="en-US" w:eastAsia="zh-CN"/>
              </w:rPr>
              <w:t>持续影响指标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可持续使用时间</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可持续使用时间</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显著延长</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continue"/>
            <w:shd w:val="clear" w:color="auto" w:fill="auto"/>
            <w:vAlign w:val="center"/>
          </w:tcPr>
          <w:p>
            <w:pPr>
              <w:rPr>
                <w:rFonts w:hint="eastAsia" w:ascii="仿宋_GB2312" w:hAnsi="仿宋_GB2312" w:eastAsia="仿宋_GB2312" w:cs="仿宋_GB2312"/>
              </w:rPr>
            </w:pP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社会效益指标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完善基础建设改善投资环境</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完善基础建设，改善投资环境</w:t>
            </w:r>
          </w:p>
        </w:tc>
        <w:tc>
          <w:tcPr>
            <w:tcW w:w="2096"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明显改善</w:t>
            </w:r>
          </w:p>
        </w:tc>
        <w:tc>
          <w:tcPr>
            <w:tcW w:w="4131" w:type="dxa"/>
            <w:shd w:val="clear" w:color="auto" w:fill="auto"/>
            <w:vAlign w:val="center"/>
          </w:tcPr>
          <w:p>
            <w:pPr>
              <w:pStyle w:val="14"/>
              <w:rPr>
                <w:rFonts w:hint="eastAsia" w:ascii="仿宋_GB2312" w:hAnsi="仿宋_GB2312" w:eastAsia="仿宋_GB2312" w:cs="仿宋_GB2312"/>
                <w:b w:val="0"/>
                <w:bCs/>
                <w:kern w:val="2"/>
                <w:sz w:val="21"/>
                <w:szCs w:val="22"/>
                <w:lang w:val="en-US" w:eastAsia="uk-UA" w:bidi="ar-SA"/>
              </w:rPr>
            </w:pPr>
            <w:r>
              <w:rPr>
                <w:rFonts w:hint="eastAsia" w:ascii="仿宋_GB2312" w:hAnsi="仿宋_GB2312" w:eastAsia="仿宋_GB2312" w:cs="仿宋_GB2312"/>
                <w:b w:val="0"/>
                <w:bCs/>
                <w:kern w:val="2"/>
                <w:sz w:val="21"/>
                <w:szCs w:val="22"/>
                <w:lang w:val="en-US" w:eastAsia="zh-CN" w:bidi="ar-SA"/>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continue"/>
            <w:shd w:val="clear" w:color="auto" w:fill="auto"/>
            <w:vAlign w:val="center"/>
          </w:tcPr>
          <w:p>
            <w:pPr>
              <w:rPr>
                <w:rFonts w:hint="eastAsia" w:ascii="仿宋_GB2312" w:hAnsi="仿宋_GB2312" w:eastAsia="仿宋_GB2312" w:cs="仿宋_GB2312"/>
              </w:rPr>
            </w:pP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经济效益指标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促进域内经济发展</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促进域内经济发展</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有利促进</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vMerge w:val="continue"/>
            <w:shd w:val="clear" w:color="auto" w:fill="auto"/>
            <w:vAlign w:val="center"/>
          </w:tcPr>
          <w:p>
            <w:pPr>
              <w:rPr>
                <w:rFonts w:hint="eastAsia" w:ascii="仿宋_GB2312" w:hAnsi="仿宋_GB2312" w:eastAsia="仿宋_GB2312" w:cs="仿宋_GB2312"/>
              </w:rPr>
            </w:pP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生态效益指标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改善区域内环境</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提高绿化率；降低车辆燃油和轮胎的消耗</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显著提高</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6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4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服务对象满意度指标</w:t>
            </w:r>
          </w:p>
        </w:tc>
        <w:tc>
          <w:tcPr>
            <w:tcW w:w="2024"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群众满意度</w:t>
            </w:r>
          </w:p>
        </w:tc>
        <w:tc>
          <w:tcPr>
            <w:tcW w:w="1808"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群众对此项民生工程的满意度</w:t>
            </w:r>
          </w:p>
        </w:tc>
        <w:tc>
          <w:tcPr>
            <w:tcW w:w="2096"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≥95%</w:t>
            </w:r>
          </w:p>
        </w:tc>
        <w:tc>
          <w:tcPr>
            <w:tcW w:w="4131"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调查问卷</w:t>
            </w:r>
          </w:p>
        </w:tc>
      </w:tr>
    </w:tbl>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lang w:val="en-US" w:eastAsia="zh-CN"/>
        </w:rPr>
      </w:pP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color w:val="000000"/>
          <w:sz w:val="28"/>
        </w:rPr>
        <w:t>新业路（兴业道-光明东道）道路工程绩效目标表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215"/>
        <w:gridCol w:w="1843"/>
        <w:gridCol w:w="1843"/>
        <w:gridCol w:w="1663"/>
        <w:gridCol w:w="50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tabs>
                <w:tab w:val="left" w:pos="636"/>
              </w:tabs>
              <w:spacing w:line="300" w:lineRule="exact"/>
              <w:rPr>
                <w:rFonts w:hint="eastAsia" w:ascii="仿宋_GB2312" w:hAnsi="仿宋_GB2312" w:eastAsia="仿宋_GB2312" w:cs="仿宋_GB2312"/>
                <w:b/>
                <w:lang w:eastAsia="zh-CN"/>
              </w:rPr>
            </w:pPr>
            <w:r>
              <w:rPr>
                <w:rFonts w:hint="eastAsia" w:ascii="仿宋_GB2312" w:hAnsi="仿宋_GB2312" w:eastAsia="仿宋_GB2312" w:cs="仿宋_GB2312"/>
              </w:rPr>
              <w:t>新业路（兴业道-光明东道）道路工程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1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6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08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成本指标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项目投资控制</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项目建设资金</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w:t>
            </w:r>
            <w:r>
              <w:rPr>
                <w:rFonts w:hint="eastAsia" w:ascii="仿宋_GB2312" w:hAnsi="仿宋_GB2312" w:eastAsia="仿宋_GB2312" w:cs="仿宋_GB2312"/>
                <w:b w:val="0"/>
                <w:bCs/>
                <w:lang w:val="en-US" w:eastAsia="zh-CN"/>
              </w:rPr>
              <w:t>1000</w:t>
            </w:r>
            <w:r>
              <w:rPr>
                <w:rFonts w:hint="eastAsia" w:ascii="仿宋_GB2312" w:hAnsi="仿宋_GB2312" w:eastAsia="仿宋_GB2312" w:cs="仿宋_GB2312"/>
                <w:b w:val="0"/>
                <w:bCs/>
              </w:rPr>
              <w:t>万元</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数量指标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规划建设长度</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新建新业路长度</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≤1194米</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时效指标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资金拨付及时性</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按照工程进度及时拨付资金</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及时拨付资金</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质量指标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工程验收合格率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工程验收合格比例</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100%</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rPr>
              <w:t>效果指标</w:t>
            </w: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w:t>
            </w:r>
            <w:r>
              <w:rPr>
                <w:rFonts w:hint="eastAsia" w:ascii="仿宋_GB2312" w:hAnsi="仿宋_GB2312" w:eastAsia="仿宋_GB2312" w:cs="仿宋_GB2312"/>
                <w:b w:val="0"/>
                <w:bCs/>
                <w:lang w:val="en-US" w:eastAsia="zh-CN"/>
              </w:rPr>
              <w:t>持续影响指标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可持续使用时间</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可持续使用时间</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显著延长</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社会效益指标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完善基础建设改善投资环境</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完善基础建设，改善投资环境</w:t>
            </w:r>
          </w:p>
        </w:tc>
        <w:tc>
          <w:tcPr>
            <w:tcW w:w="166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明显改善</w:t>
            </w:r>
          </w:p>
        </w:tc>
        <w:tc>
          <w:tcPr>
            <w:tcW w:w="5089" w:type="dxa"/>
            <w:shd w:val="clear" w:color="auto" w:fill="auto"/>
            <w:vAlign w:val="center"/>
          </w:tcPr>
          <w:p>
            <w:pPr>
              <w:pStyle w:val="14"/>
              <w:rPr>
                <w:rFonts w:hint="eastAsia" w:ascii="仿宋_GB2312" w:hAnsi="仿宋_GB2312" w:eastAsia="仿宋_GB2312" w:cs="仿宋_GB2312"/>
                <w:b w:val="0"/>
                <w:bCs/>
                <w:kern w:val="2"/>
                <w:sz w:val="21"/>
                <w:szCs w:val="22"/>
                <w:lang w:val="en-US" w:eastAsia="uk-UA" w:bidi="ar-SA"/>
              </w:rPr>
            </w:pPr>
            <w:r>
              <w:rPr>
                <w:rFonts w:hint="eastAsia" w:ascii="仿宋_GB2312" w:hAnsi="仿宋_GB2312" w:eastAsia="仿宋_GB2312" w:cs="仿宋_GB2312"/>
                <w:b w:val="0"/>
                <w:bCs/>
                <w:kern w:val="2"/>
                <w:sz w:val="21"/>
                <w:szCs w:val="22"/>
                <w:lang w:val="en-US" w:eastAsia="zh-CN" w:bidi="ar-SA"/>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经济效益指标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促进域内经济发展</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促进域内经济发展</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有利促进</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lang w:val="en-US" w:eastAsia="zh-CN"/>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生态效益指标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改善区域内环境</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提高绿化率；降低车辆燃油和轮胎的消耗</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显著提高</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廊广发改﹝2021﹞48号《区发改局关于新业路道路工程可行性研究报告的批复》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15"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服务对象满意度指标</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群众满意度</w:t>
            </w:r>
          </w:p>
        </w:tc>
        <w:tc>
          <w:tcPr>
            <w:tcW w:w="184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群众对此项民生工程的满意度</w:t>
            </w:r>
          </w:p>
        </w:tc>
        <w:tc>
          <w:tcPr>
            <w:tcW w:w="1663"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≥95%</w:t>
            </w:r>
          </w:p>
        </w:tc>
        <w:tc>
          <w:tcPr>
            <w:tcW w:w="5089" w:type="dxa"/>
            <w:shd w:val="clear" w:color="auto" w:fill="auto"/>
            <w:vAlign w:val="center"/>
          </w:tcPr>
          <w:p>
            <w:pPr>
              <w:spacing w:line="300" w:lineRule="exact"/>
              <w:jc w:val="center"/>
              <w:rPr>
                <w:rFonts w:hint="eastAsia" w:ascii="仿宋_GB2312" w:hAnsi="仿宋_GB2312" w:eastAsia="仿宋_GB2312" w:cs="仿宋_GB2312"/>
                <w:b w:val="0"/>
                <w:bCs/>
                <w:lang w:val="en-US" w:eastAsia="uk-UA"/>
              </w:rPr>
            </w:pPr>
            <w:r>
              <w:rPr>
                <w:rFonts w:hint="eastAsia" w:ascii="仿宋_GB2312" w:hAnsi="仿宋_GB2312" w:eastAsia="仿宋_GB2312" w:cs="仿宋_GB2312"/>
                <w:b w:val="0"/>
                <w:bCs/>
              </w:rPr>
              <w:t>调查问卷</w:t>
            </w:r>
          </w:p>
        </w:tc>
      </w:tr>
    </w:tbl>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spacing w:before="0" w:after="0"/>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8</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征地和拆迁补偿资金绩效目标表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rPr>
              <w:t>征地和拆迁补偿资金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征地面积</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征收土地面积</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≤1599亩</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土地利用率</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征收土地利用率</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≥90%</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资金拨付及时性</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按照征收进度及时拨付资金</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及时拨付</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成本控制率</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成本控制率</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提高土地利用率</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提高经开区土地利用率</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有效提高</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198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3402"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1843"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受益群体满意度</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受益群体满意度</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≥90%</w:t>
            </w:r>
          </w:p>
        </w:tc>
        <w:tc>
          <w:tcPr>
            <w:tcW w:w="215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调查问卷</w:t>
            </w:r>
          </w:p>
        </w:tc>
      </w:tr>
    </w:tbl>
    <w:p>
      <w:pPr>
        <w:spacing w:before="0" w:after="0"/>
        <w:ind w:firstLine="560"/>
        <w:jc w:val="left"/>
        <w:outlineLvl w:val="3"/>
        <w:rPr>
          <w:rFonts w:hint="eastAsia" w:ascii="仿宋_GB2312" w:hAnsi="仿宋_GB2312" w:eastAsia="仿宋_GB2312" w:cs="仿宋_GB2312"/>
          <w:sz w:val="28"/>
          <w:lang w:val="en-US" w:eastAsia="zh-CN"/>
        </w:rPr>
      </w:pPr>
    </w:p>
    <w:p>
      <w:pPr>
        <w:spacing w:before="0" w:after="0"/>
        <w:ind w:firstLine="560"/>
        <w:jc w:val="left"/>
        <w:outlineLvl w:val="3"/>
        <w:rPr>
          <w:rFonts w:hint="eastAsia" w:ascii="仿宋_GB2312" w:hAnsi="仿宋_GB2312" w:eastAsia="仿宋_GB2312" w:cs="仿宋_GB2312"/>
          <w:sz w:val="28"/>
          <w:lang w:val="en-US" w:eastAsia="zh-CN"/>
        </w:rPr>
      </w:pPr>
    </w:p>
    <w:p>
      <w:pPr>
        <w:spacing w:before="0" w:after="0"/>
        <w:ind w:firstLine="560"/>
        <w:jc w:val="left"/>
        <w:outlineLvl w:val="3"/>
        <w:rPr>
          <w:rFonts w:hint="eastAsia" w:ascii="仿宋_GB2312" w:hAnsi="仿宋_GB2312" w:eastAsia="仿宋_GB2312" w:cs="仿宋_GB2312"/>
          <w:sz w:val="28"/>
          <w:lang w:val="en-US" w:eastAsia="zh-CN"/>
        </w:rPr>
      </w:pPr>
    </w:p>
    <w:p>
      <w:pPr>
        <w:spacing w:before="0" w:after="0"/>
        <w:ind w:firstLine="560"/>
        <w:jc w:val="left"/>
        <w:outlineLvl w:val="3"/>
        <w:rPr>
          <w:rFonts w:hint="eastAsia" w:ascii="仿宋_GB2312" w:hAnsi="仿宋_GB2312" w:eastAsia="仿宋_GB2312" w:cs="仿宋_GB2312"/>
          <w:sz w:val="28"/>
          <w:lang w:val="en-US" w:eastAsia="zh-CN"/>
        </w:rPr>
      </w:pPr>
    </w:p>
    <w:p>
      <w:pPr>
        <w:spacing w:before="0" w:after="0"/>
        <w:ind w:firstLine="560"/>
        <w:jc w:val="left"/>
        <w:outlineLvl w:val="3"/>
        <w:rPr>
          <w:rFonts w:hint="eastAsia" w:ascii="仿宋_GB2312" w:hAnsi="仿宋_GB2312" w:eastAsia="仿宋_GB2312" w:cs="仿宋_GB2312"/>
          <w:sz w:val="28"/>
          <w:lang w:val="en-US" w:eastAsia="zh-CN"/>
        </w:rPr>
      </w:pPr>
    </w:p>
    <w:p>
      <w:pPr>
        <w:spacing w:before="0" w:after="0"/>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9</w:t>
      </w:r>
      <w:r>
        <w:rPr>
          <w:rFonts w:hint="eastAsia" w:ascii="仿宋_GB2312" w:hAnsi="仿宋_GB2312" w:eastAsia="仿宋_GB2312" w:cs="仿宋_GB2312"/>
          <w:sz w:val="28"/>
        </w:rPr>
        <w:t>.</w:t>
      </w:r>
      <w:r>
        <w:rPr>
          <w:rFonts w:hint="eastAsia" w:ascii="仿宋_GB2312" w:hAnsi="仿宋_GB2312" w:eastAsia="仿宋_GB2312" w:cs="仿宋_GB2312"/>
          <w:color w:val="000000"/>
          <w:sz w:val="28"/>
        </w:rPr>
        <w:t>征地和拆迁补偿资金绩效目标表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rPr>
              <w:t>征地和拆迁补偿资金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征地面积</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征收土地面积</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≤1599亩</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土地利用率</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征收土地利用率</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≥90%</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资金拨付及时性</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按照征收进度及时拨付资金</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及时拨付</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成本控制率</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成本控制率</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提高土地利用率</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提高经开区土地利用率</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有效提高</w:t>
            </w: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开发运营协议及补充协议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198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3402"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1843"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c>
          <w:tcPr>
            <w:tcW w:w="2155" w:type="dxa"/>
            <w:shd w:val="clear" w:color="auto" w:fill="auto"/>
            <w:vAlign w:val="center"/>
          </w:tcPr>
          <w:p>
            <w:pPr>
              <w:spacing w:line="300" w:lineRule="exact"/>
              <w:jc w:val="center"/>
              <w:rPr>
                <w:rFonts w:hint="eastAsia" w:ascii="仿宋_GB2312" w:hAnsi="仿宋_GB2312" w:eastAsia="仿宋_GB2312" w:cs="仿宋_GB2312"/>
                <w:kern w:val="2"/>
                <w:sz w:val="21"/>
                <w:szCs w:val="22"/>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受益群体满意度</w:t>
            </w:r>
          </w:p>
        </w:tc>
        <w:tc>
          <w:tcPr>
            <w:tcW w:w="3402"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受益群体满意度</w:t>
            </w:r>
          </w:p>
        </w:tc>
        <w:tc>
          <w:tcPr>
            <w:tcW w:w="1843"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≥90%</w:t>
            </w:r>
          </w:p>
        </w:tc>
        <w:tc>
          <w:tcPr>
            <w:tcW w:w="2155" w:type="dxa"/>
            <w:shd w:val="clear" w:color="auto" w:fill="auto"/>
            <w:vAlign w:val="center"/>
          </w:tcPr>
          <w:p>
            <w:pPr>
              <w:pStyle w:val="14"/>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rPr>
          <w:rFonts w:hint="eastAsia"/>
          <w:lang w:eastAsia="zh-CN"/>
        </w:rPr>
        <w:t>河北廊坊广阳经济开发区管理委员会</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政府采购项目来源</w:t>
            </w:r>
          </w:p>
        </w:tc>
        <w:tc>
          <w:tcPr>
            <w:tcW w:w="113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采购物品名称</w:t>
            </w:r>
          </w:p>
        </w:tc>
        <w:tc>
          <w:tcPr>
            <w:tcW w:w="113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政府采购目录序号</w:t>
            </w:r>
          </w:p>
        </w:tc>
        <w:tc>
          <w:tcPr>
            <w:tcW w:w="709"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计量  单位</w:t>
            </w:r>
          </w:p>
        </w:tc>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数量</w:t>
            </w:r>
          </w:p>
        </w:tc>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单价</w:t>
            </w:r>
          </w:p>
        </w:tc>
        <w:tc>
          <w:tcPr>
            <w:tcW w:w="7712" w:type="dxa"/>
            <w:gridSpan w:val="8"/>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政府采购金额（当年部门预算安排资金）</w:t>
            </w:r>
          </w:p>
        </w:tc>
        <w:tc>
          <w:tcPr>
            <w:tcW w:w="96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河北廊坊广阳经济开发区管理委员会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85.6063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hint="eastAsia" w:ascii="Times New Roman" w:hAnsi="Times New Roman" w:eastAsia="仿宋_GB2312" w:cs="Times New Roman"/>
          <w:sz w:val="32"/>
          <w:szCs w:val="32"/>
          <w:lang w:eastAsia="zh-CN"/>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河北廊坊广阳经济开发区管理委员会</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河北廊坊广阳经济开发区管理委员会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85.6063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61.8263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562E7"/>
    <w:multiLevelType w:val="singleLevel"/>
    <w:tmpl w:val="78B562E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0E6"/>
    <w:rsid w:val="000F6018"/>
    <w:rsid w:val="0025632D"/>
    <w:rsid w:val="003059E0"/>
    <w:rsid w:val="004A54AA"/>
    <w:rsid w:val="00944233"/>
    <w:rsid w:val="00B40732"/>
    <w:rsid w:val="00B80935"/>
    <w:rsid w:val="00D347CC"/>
    <w:rsid w:val="00DC72B4"/>
    <w:rsid w:val="013869A5"/>
    <w:rsid w:val="02877550"/>
    <w:rsid w:val="09F004DA"/>
    <w:rsid w:val="0C7E3EFF"/>
    <w:rsid w:val="0CEC1180"/>
    <w:rsid w:val="0FCB66D1"/>
    <w:rsid w:val="124F0FD4"/>
    <w:rsid w:val="1546632A"/>
    <w:rsid w:val="1EE1673C"/>
    <w:rsid w:val="391D204F"/>
    <w:rsid w:val="597F48C6"/>
    <w:rsid w:val="5ED67348"/>
    <w:rsid w:val="6E3352D7"/>
    <w:rsid w:val="73693C55"/>
    <w:rsid w:val="74653AAC"/>
    <w:rsid w:val="7B1A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224</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2024-07-19T08:27:58Z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4E872144590A453EB2302BA7811DFCEF</vt:lpwstr>
  </property>
</Properties>
</file>