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left="0"/>
        <w:jc w:val="center"/>
        <w:rPr>
          <w:rFonts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广阳区</w:t>
      </w:r>
      <w:r>
        <w:rPr>
          <w:rFonts w:hint="eastAsia" w:ascii="Times New Roman" w:hAnsi="Times New Roman" w:eastAsia="方正小标宋简体" w:cs="Times New Roman"/>
          <w:sz w:val="44"/>
          <w:szCs w:val="44"/>
        </w:rPr>
        <w:t>广阳区</w:t>
      </w:r>
      <w:bookmarkStart w:id="14" w:name="_GoBack"/>
      <w:r>
        <w:rPr>
          <w:rFonts w:hint="eastAsia" w:ascii="Times New Roman" w:hAnsi="Times New Roman" w:eastAsia="方正小标宋简体" w:cs="Times New Roman"/>
          <w:sz w:val="44"/>
          <w:szCs w:val="44"/>
          <w:lang w:eastAsia="zh-CN"/>
        </w:rPr>
        <w:t>交通运输局</w:t>
      </w:r>
    </w:p>
    <w:p>
      <w:pPr>
        <w:spacing w:line="584" w:lineRule="exact"/>
        <w:ind w:left="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bookmarkEnd w:id="14"/>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广阳区</w:t>
      </w:r>
      <w:r>
        <w:rPr>
          <w:rFonts w:ascii="Times New Roman" w:hAnsi="Times New Roman" w:eastAsia="仿宋_GB2312" w:cs="Times New Roman"/>
          <w:sz w:val="32"/>
          <w:szCs w:val="32"/>
        </w:rPr>
        <w:t>交通运输局20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一）会同有关部门推进全区综合交通运输体系建设，统筹规划公路、水路行业发展，建立健全与全区综合交通运输体系相适应的制度体制机制，优化区内交通运输主要通道和重要枢纽节点布局，促进各种交通运输方式融合。</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二）会同有关部门组织拟定全区综合交通运输发展战略和政策，组织编制全区综合交通运输体系规划，拟定公路、水路政策和规划并监督实施，指导综合交通运输枢纽规划和管理。参与拟定物流业发展战略和规划，拟定有关政策和标准并监督实施。</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三）负责组织起草地方性综合交通运输规章草案，统筹全区公路、水路相关规章草案的起草工作。负责交通运输综合行政执法政策标准的制定、监督指导、重大案件查处和跨区域执法的组织协调工作。指导全区交通运输综合行政执法和队伍建设有关工作。指导全区交通运输行业体制改革工作。</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（四）负责拟定全区综合交通运输标准，组织拟定并监督实施全区公路、水路等行业标准，协调衔接各种交通运输方式。</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（五）承担全区道路、水路运输市场监管责任。组织拟定道路、水路运输有关政策、准入退出制度、技术标准和运营规范并监督实施。指导城乡客运及有关设施规划和管理，指导辖区城市客运工作。</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六)承担管辖水域水上交通安全监管责任。负责权限范围内水上交通管制及相关水上设施检验、登记和防止污染等工作。负责渔船的监督管理。依法组织或参与事故调查处理。指导地方海事和船员管理有关事宜。</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七）负责提出全区交通运输行业固定资产投资规模和方向、区财政性资金安排意见，按区政府规定权限审批、核准规划内核年度计划规模内的固定资产投资项目。负责交通国有资产管理和交通专项资金管理、使用。指导行业内部审计工作。承担交通运输行业财政预算资金的绩效监督和管理工作。代表区政府履行交通运输类企业出资人职责。</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八）承担全区公路、水路建设市场监督责任。拟定公路、水路相关政策、制度和技术标准并监督实施。组织协调公路、水路等有关重点工程建设、工程质量和安全生产监督管理工作，指导交通运输基础设施管理和维护。负责全区交通基本建设项目招投标活动的监督管理。负责全区收费公路管理。</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（九）指导全区公路、水路行业安全生产和应急管理。按规定终止协调国家、省、市、区重点物质和紧急客货运输。负责辖区内国、省重点干线公路网运行监测和应急处置协调工作。配合做好国防交通有关工作。</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（十）指导全区交通运输信息化建设。承担综合交通运输统计工作，监测分析交通运输运行情况，发布有关信息。知道公路、水路行业环境保护和节能减排。</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（十一）负责拟定全区交通运输行业科技政策、技术标准和规范，组织科技开发，推动行业技术进步。指导行业交通培训工作。指导行业精神文明建设。</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（十二）负责全区交通运输行业涉外事宜，开展与国际和港澳台地区交通运输经济合作与交流。</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（十三）负责全区京津冀协同发展交通一体化组织协调工作。</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（十四）完成区委、区政府交办的其他任务。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widowControl/>
              <w:spacing w:line="225" w:lineRule="atLeast"/>
              <w:jc w:val="center"/>
              <w:rPr>
                <w:rFonts w:ascii="Times New Roman" w:hAnsi="Times New Roman" w:eastAsia="仿宋_GB2312" w:cs="Times New Roman"/>
                <w:b/>
                <w:kern w:val="2"/>
                <w:sz w:val="21"/>
                <w:szCs w:val="22"/>
                <w:lang w:val="en-US" w:eastAsia="zh-CN" w:bidi="ar-SA"/>
              </w:rPr>
            </w:pPr>
            <w:r>
              <w:rPr>
                <w:rFonts w:hint="eastAsia" w:ascii="仿宋_GB2312" w:eastAsia="仿宋_GB2312" w:cs="宋体"/>
                <w:kern w:val="0"/>
                <w:sz w:val="32"/>
                <w:szCs w:val="32"/>
              </w:rPr>
              <w:t>廊坊市广阳区</w:t>
            </w:r>
            <w:r>
              <w:rPr>
                <w:rFonts w:hint="eastAsia" w:ascii="仿宋_GB2312" w:eastAsia="仿宋_GB2312" w:cs="宋体"/>
                <w:kern w:val="0"/>
                <w:sz w:val="32"/>
                <w:szCs w:val="32"/>
                <w:lang w:eastAsia="zh-CN"/>
              </w:rPr>
              <w:t>交通运输局</w:t>
            </w:r>
          </w:p>
        </w:tc>
        <w:tc>
          <w:tcPr>
            <w:tcW w:w="1134" w:type="dxa"/>
            <w:shd w:val="clear" w:color="auto" w:fill="auto"/>
            <w:vAlign w:val="center"/>
          </w:tcPr>
          <w:p>
            <w:pPr>
              <w:widowControl/>
              <w:spacing w:line="225" w:lineRule="atLeast"/>
              <w:jc w:val="center"/>
              <w:rPr>
                <w:rFonts w:ascii="Times New Roman" w:hAnsi="Times New Roman" w:eastAsia="仿宋_GB2312" w:cs="Times New Roman"/>
                <w:b/>
                <w:kern w:val="2"/>
                <w:sz w:val="21"/>
                <w:szCs w:val="22"/>
                <w:lang w:val="en-US" w:eastAsia="zh-CN" w:bidi="ar-SA"/>
              </w:rPr>
            </w:pPr>
            <w:r>
              <w:rPr>
                <w:rFonts w:hint="eastAsia" w:ascii="仿宋_GB2312" w:eastAsia="仿宋_GB2312" w:cs="宋体"/>
                <w:kern w:val="0"/>
                <w:sz w:val="32"/>
                <w:szCs w:val="32"/>
                <w:lang w:eastAsia="zh-CN"/>
              </w:rPr>
              <w:t>行政单位</w:t>
            </w:r>
          </w:p>
        </w:tc>
        <w:tc>
          <w:tcPr>
            <w:tcW w:w="1276" w:type="dxa"/>
            <w:shd w:val="clear" w:color="auto" w:fill="auto"/>
            <w:vAlign w:val="center"/>
          </w:tcPr>
          <w:p>
            <w:pPr>
              <w:widowControl/>
              <w:spacing w:line="225" w:lineRule="atLeast"/>
              <w:jc w:val="center"/>
              <w:rPr>
                <w:rFonts w:ascii="Times New Roman" w:hAnsi="Times New Roman" w:eastAsia="仿宋_GB2312" w:cs="Times New Roman"/>
                <w:b/>
                <w:kern w:val="2"/>
                <w:sz w:val="21"/>
                <w:szCs w:val="22"/>
                <w:lang w:val="en-US" w:eastAsia="zh-CN" w:bidi="ar-SA"/>
              </w:rPr>
            </w:pPr>
            <w:r>
              <w:rPr>
                <w:rFonts w:hint="eastAsia" w:ascii="仿宋_GB2312" w:eastAsia="仿宋_GB2312" w:cs="宋体"/>
                <w:kern w:val="0"/>
                <w:sz w:val="32"/>
                <w:szCs w:val="32"/>
                <w:lang w:eastAsia="zh-CN"/>
              </w:rPr>
              <w:t>正科级</w:t>
            </w:r>
          </w:p>
        </w:tc>
        <w:tc>
          <w:tcPr>
            <w:tcW w:w="2902" w:type="dxa"/>
            <w:shd w:val="clear" w:color="auto" w:fill="auto"/>
            <w:vAlign w:val="center"/>
          </w:tcPr>
          <w:p>
            <w:pPr>
              <w:widowControl/>
              <w:spacing w:line="225" w:lineRule="atLeast"/>
              <w:jc w:val="center"/>
              <w:rPr>
                <w:rFonts w:ascii="Times New Roman" w:hAnsi="Times New Roman" w:eastAsia="仿宋_GB2312" w:cs="Times New Roman"/>
                <w:b/>
                <w:kern w:val="2"/>
                <w:sz w:val="21"/>
                <w:szCs w:val="22"/>
                <w:lang w:val="en-US" w:eastAsia="zh-CN" w:bidi="ar-SA"/>
              </w:rPr>
            </w:pPr>
            <w:r>
              <w:rPr>
                <w:rFonts w:hint="eastAsia" w:ascii="仿宋_GB2312" w:eastAsia="仿宋_GB2312" w:cs="宋体"/>
                <w:kern w:val="0"/>
                <w:sz w:val="32"/>
                <w:szCs w:val="32"/>
                <w:lang w:eastAsia="zh-CN"/>
              </w:rPr>
              <w:t>财政性资金定额或定向补助</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lang w:eastAsia="zh-CN"/>
        </w:rPr>
        <w:t>广阳区</w:t>
      </w:r>
      <w:r>
        <w:rPr>
          <w:rFonts w:ascii="Times New Roman" w:hAnsi="Times New Roman" w:eastAsia="仿宋_GB2312" w:cs="Times New Roman"/>
          <w:sz w:val="32"/>
          <w:szCs w:val="32"/>
        </w:rPr>
        <w:t>交通运输局机关及所属事业单位的收支包含在部门预算中。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2年预算收入3839.35万元，其中：一般公共预算收入2276.62万元，基金预算收入473.19万元，财政专户核拨收入0万元，其他来源收入0万元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上年结转1089.54</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eastAsia="zh-CN"/>
        </w:rPr>
        <w:t>广阳区</w:t>
      </w:r>
      <w:r>
        <w:rPr>
          <w:rFonts w:ascii="Times New Roman" w:hAnsi="Times New Roman" w:eastAsia="仿宋_GB2312" w:cs="Times New Roman"/>
          <w:sz w:val="32"/>
          <w:szCs w:val="32"/>
        </w:rPr>
        <w:t>交通运输局</w:t>
      </w:r>
      <w:r>
        <w:rPr>
          <w:rFonts w:hint="eastAsia" w:ascii="Times New Roman" w:hAnsi="Times New Roman" w:eastAsia="仿宋_GB2312" w:cs="Times New Roman"/>
          <w:sz w:val="32"/>
          <w:szCs w:val="32"/>
          <w:lang w:val="en-US" w:eastAsia="zh-CN"/>
        </w:rPr>
        <w:t>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2年支出预算3839.35万元，其中基本支出207.82万元，包括人员类项目经费144.38万元和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公用项目经费63.44万元；运转类其他及特定目标类项目支出3631.53万元，包括本级支出和对下补助支出，主要为系统经费支出、工程项目支出等；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2年预算收支安排3839.35万元，较20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1年预算增加606.68万元，其中：基本支出减少843.37万元，主要为人员支出；项目支出增加1450.05万元，主要为交通系统经费和工程项目支出。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2年，我局机关运行经费共计安排63.44万元，主要用于办公区的日常维修、办公用房水电费、办公用房取暖费、办公用房物业管理费等日常运行支出。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2年，我局财政拨款“三公”经费预算安排4.38万元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因公出国（境）费0万元；公务用车购置及运维费4.38万元（其中：公务用车购置费为0万元，公务用车运维费4.38万元)；公务接待费0万元。与20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overflowPunct/>
        <w:topLinePunct w:val="0"/>
        <w:bidi w:val="0"/>
        <w:snapToGrid/>
        <w:spacing w:line="584" w:lineRule="exact"/>
        <w:ind w:left="0" w:leftChars="0"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keepNext w:val="0"/>
        <w:keepLines w:val="0"/>
        <w:pageBreakBefore w:val="0"/>
        <w:widowControl w:val="0"/>
        <w:kinsoku/>
        <w:wordWrap/>
        <w:overflowPunct/>
        <w:topLinePunct w:val="0"/>
        <w:bidi w:val="0"/>
        <w:snapToGrid/>
        <w:spacing w:line="584" w:lineRule="exact"/>
        <w:ind w:left="0" w:leftChars="0"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按时按质完成本年度工程项目实施计划，加快实施民生工程建设，抓好辖区公路养护管理，确保辖区道路“畅洁绿美”；按财政资金计划合理使用人员经费，确保工资按时发放、保险及时上缴，维护职工队伍稳定；严抓交通运输行业管理，着力提升行业形象。</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绩效目标：本单位职工日常工资发放、保险上缴，维持正常办公经费支出，确保职工队伍稳定，全局工作正常开展。</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绩效指标：保证干部队伍相对稳定，发挥应有职能。</w:t>
      </w:r>
      <w:r>
        <w:rPr>
          <w:rFonts w:ascii="Times New Roman" w:hAnsi="Times New Roman" w:eastAsia="仿宋_GB2312" w:cs="Times New Roman"/>
          <w:sz w:val="32"/>
          <w:szCs w:val="32"/>
        </w:rPr>
        <w:tab/>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绩效目标：为了有利于全区工作开展，优化人员结构，同时有效缓解我局资金压力，用于外协人员工资、保险等。</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绩效指标：通过按时发放工资等，进一步增强干部职工的归属感，保持队伍相对稳定。</w:t>
      </w:r>
      <w:r>
        <w:rPr>
          <w:rFonts w:ascii="Times New Roman" w:hAnsi="Times New Roman" w:eastAsia="仿宋_GB2312" w:cs="Times New Roman"/>
          <w:sz w:val="32"/>
          <w:szCs w:val="32"/>
        </w:rPr>
        <w:tab/>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3.绩效目标：京原铁路“三线”建设民兵人员经费能够按季发放，确保京原铁路“三线”建设民兵人员稳定，合理使用财政预算资金，维护京原铁路“三线”建设民兵稳定。</w:t>
      </w:r>
      <w:r>
        <w:rPr>
          <w:rFonts w:ascii="Times New Roman" w:hAnsi="Times New Roman" w:eastAsia="仿宋_GB2312" w:cs="Times New Roman"/>
          <w:sz w:val="32"/>
          <w:szCs w:val="32"/>
        </w:rPr>
        <w:tab/>
      </w:r>
      <w:r>
        <w:rPr>
          <w:rFonts w:ascii="Times New Roman" w:hAnsi="Times New Roman" w:eastAsia="仿宋_GB2312" w:cs="Times New Roman"/>
          <w:sz w:val="32"/>
          <w:szCs w:val="32"/>
        </w:rPr>
        <w:tab/>
      </w:r>
      <w:r>
        <w:rPr>
          <w:rFonts w:ascii="Times New Roman" w:hAnsi="Times New Roman" w:eastAsia="仿宋_GB2312" w:cs="Times New Roman"/>
          <w:sz w:val="32"/>
          <w:szCs w:val="32"/>
        </w:rPr>
        <w:tab/>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绩效指标：通过发放京原铁路“三线”建设民兵人员经费，改善京原铁路“三线”建设民兵人员的生活困难。</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绩效目标：降低农村公路使用成本，延长农村公路使用寿命，提升农村公路路况水平和绿化美化环境，消除农村公路安全隐患，助力广阳区城乡环境综合整治提升。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绩效指标：优良中等路比例不低于85%，农村公路交通设施完好率达到100%，人民群众满意度提升至95%以上。</w:t>
      </w:r>
    </w:p>
    <w:p>
      <w:pPr>
        <w:pStyle w:val="6"/>
      </w:pP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完善制度建设</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制定切实可行的成本控制措施、过程管理机构、专项资金算理办法等，尽可能完善和细化相关制度及细则，为项目实施提供制度保障。</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加强支出管理</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制定经费使用计划，严格按照预算绩效管理有关规定执行预算支出安排，及时拨付专项资金。</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加强绩效运行监控</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规范绩效运行管理，落实绩效主体责任，高效推进预算绩效运行监控工作，增强预算执行的科学性、合理性、规范性，提高财政资金使用绩效。</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做好绩效自评</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要拓展自评范围，建立自评机制，提高自评质量，确保结果精准有效，并强化结果应用。</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规范财务资产管理、</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强化规章制度管理，严格费用报销审批，仔细清查盘点资产，强化预算执行。</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加强内部监督</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完善财务管理，进一步加强内部控制和管理，主要y以位内部财务人员专业能力和法律素养的培训和提高为抓手，充分发挥监督的超前预防功能。</w:t>
      </w: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528"/>
        <w:gridCol w:w="943"/>
        <w:gridCol w:w="1122"/>
        <w:gridCol w:w="5199"/>
        <w:gridCol w:w="2883"/>
        <w:gridCol w:w="437"/>
        <w:gridCol w:w="418"/>
        <w:gridCol w:w="558"/>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92"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343"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408"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890"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048"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514" w:type="pct"/>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600"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92" w:type="pct"/>
            <w:vMerge w:val="continue"/>
            <w:tcBorders>
              <w:tl2br w:val="nil"/>
              <w:tr2bl w:val="nil"/>
            </w:tcBorders>
            <w:vAlign w:val="center"/>
          </w:tcPr>
          <w:p/>
        </w:tc>
        <w:tc>
          <w:tcPr>
            <w:tcW w:w="343" w:type="pct"/>
            <w:vMerge w:val="continue"/>
            <w:tcBorders>
              <w:tl2br w:val="nil"/>
              <w:tr2bl w:val="nil"/>
            </w:tcBorders>
            <w:vAlign w:val="center"/>
          </w:tcPr>
          <w:p/>
        </w:tc>
        <w:tc>
          <w:tcPr>
            <w:tcW w:w="408" w:type="pct"/>
            <w:vMerge w:val="continue"/>
            <w:tcBorders>
              <w:tl2br w:val="nil"/>
              <w:tr2bl w:val="nil"/>
            </w:tcBorders>
            <w:vAlign w:val="center"/>
          </w:tcPr>
          <w:p/>
        </w:tc>
        <w:tc>
          <w:tcPr>
            <w:tcW w:w="1890" w:type="pct"/>
            <w:vMerge w:val="continue"/>
            <w:tcBorders>
              <w:tl2br w:val="nil"/>
              <w:tr2bl w:val="nil"/>
            </w:tcBorders>
            <w:vAlign w:val="center"/>
          </w:tcPr>
          <w:p/>
        </w:tc>
        <w:tc>
          <w:tcPr>
            <w:tcW w:w="1048" w:type="pct"/>
            <w:vMerge w:val="continue"/>
            <w:tcBorders>
              <w:tl2br w:val="nil"/>
              <w:tr2bl w:val="nil"/>
            </w:tcBorders>
            <w:vAlign w:val="center"/>
          </w:tcPr>
          <w:p/>
        </w:tc>
        <w:tc>
          <w:tcPr>
            <w:tcW w:w="159"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152"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202"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600" w:type="pct"/>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92" w:type="pct"/>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343"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40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重点工作实际完成率</w:t>
            </w:r>
          </w:p>
        </w:tc>
        <w:tc>
          <w:tcPr>
            <w:tcW w:w="1890"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达到指标值满分为12分，未达到指标值按比例扣分。</w:t>
            </w:r>
          </w:p>
        </w:tc>
        <w:tc>
          <w:tcPr>
            <w:tcW w:w="104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每项项目完成情况</w:t>
            </w:r>
          </w:p>
        </w:tc>
        <w:tc>
          <w:tcPr>
            <w:tcW w:w="15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52"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202"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600"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92" w:type="pct"/>
            <w:vMerge w:val="continue"/>
            <w:tcBorders>
              <w:tl2br w:val="nil"/>
              <w:tr2bl w:val="nil"/>
            </w:tcBorders>
            <w:vAlign w:val="center"/>
          </w:tcPr>
          <w:p/>
        </w:tc>
        <w:tc>
          <w:tcPr>
            <w:tcW w:w="343"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40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重点工作质量达标率</w:t>
            </w:r>
          </w:p>
        </w:tc>
        <w:tc>
          <w:tcPr>
            <w:tcW w:w="1890"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达到指标值满分为15分，未达到指标值全扣分。</w:t>
            </w:r>
          </w:p>
        </w:tc>
        <w:tc>
          <w:tcPr>
            <w:tcW w:w="104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每项工作质量合格率</w:t>
            </w:r>
          </w:p>
        </w:tc>
        <w:tc>
          <w:tcPr>
            <w:tcW w:w="15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52"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202"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600"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92" w:type="pct"/>
            <w:vMerge w:val="continue"/>
            <w:tcBorders>
              <w:tl2br w:val="nil"/>
              <w:tr2bl w:val="nil"/>
            </w:tcBorders>
            <w:vAlign w:val="center"/>
          </w:tcPr>
          <w:p/>
        </w:tc>
        <w:tc>
          <w:tcPr>
            <w:tcW w:w="343"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40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重点工作完成及时率</w:t>
            </w:r>
          </w:p>
        </w:tc>
        <w:tc>
          <w:tcPr>
            <w:tcW w:w="1890"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达到指标值满分为13分，未达到指标值按比例扣分。</w:t>
            </w:r>
          </w:p>
        </w:tc>
        <w:tc>
          <w:tcPr>
            <w:tcW w:w="104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 w:val="22"/>
              </w:rPr>
              <w:t>每项工作完成的及时性</w:t>
            </w:r>
          </w:p>
        </w:tc>
        <w:tc>
          <w:tcPr>
            <w:tcW w:w="15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52"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202"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600"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92" w:type="pct"/>
            <w:vMerge w:val="continue"/>
            <w:tcBorders>
              <w:tl2br w:val="nil"/>
              <w:tr2bl w:val="nil"/>
            </w:tcBorders>
            <w:vAlign w:val="center"/>
          </w:tcPr>
          <w:p/>
        </w:tc>
        <w:tc>
          <w:tcPr>
            <w:tcW w:w="343"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40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 w:val="22"/>
              </w:rPr>
              <w:t>重点项目经费控制率</w:t>
            </w:r>
          </w:p>
        </w:tc>
        <w:tc>
          <w:tcPr>
            <w:tcW w:w="1890"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 w:val="22"/>
              </w:rPr>
              <w:t>达到指标值满分为15分，未达到指标值按比例扣分。</w:t>
            </w:r>
          </w:p>
        </w:tc>
        <w:tc>
          <w:tcPr>
            <w:tcW w:w="104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 w:val="22"/>
              </w:rPr>
              <w:t>每项项目经费严格支出情况</w:t>
            </w:r>
          </w:p>
        </w:tc>
        <w:tc>
          <w:tcPr>
            <w:tcW w:w="15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52"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202"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600"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92" w:type="pct"/>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343"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40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 w:val="22"/>
              </w:rPr>
              <w:t>保证人员稳定，发挥应有职能</w:t>
            </w:r>
          </w:p>
        </w:tc>
        <w:tc>
          <w:tcPr>
            <w:tcW w:w="1890"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 w:val="22"/>
              </w:rPr>
              <w:t>达到指标值满分为15分，未达到指标值按比例扣分。</w:t>
            </w:r>
          </w:p>
        </w:tc>
        <w:tc>
          <w:tcPr>
            <w:tcW w:w="104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b w:val="0"/>
                <w:i w:val="0"/>
                <w:caps w:val="0"/>
                <w:smallCaps w:val="0"/>
                <w:strike w:val="0"/>
                <w:dstrike w:val="0"/>
                <w:sz w:val="22"/>
                <w:u w:val="none"/>
                <w:vertAlign w:val="baseline"/>
              </w:rPr>
              <w:t>保证干部队伍相对稳定，发挥应有职能。</w:t>
            </w:r>
          </w:p>
        </w:tc>
        <w:tc>
          <w:tcPr>
            <w:tcW w:w="159" w:type="pct"/>
            <w:tcBorders>
              <w:tl2br w:val="nil"/>
              <w:tr2bl w:val="nil"/>
            </w:tcBorders>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文字描述</w:t>
            </w:r>
          </w:p>
        </w:tc>
        <w:tc>
          <w:tcPr>
            <w:tcW w:w="152" w:type="pct"/>
            <w:tcBorders>
              <w:tl2br w:val="nil"/>
              <w:tr2bl w:val="nil"/>
            </w:tcBorders>
            <w:vAlign w:val="center"/>
          </w:tcPr>
          <w:p>
            <w:pPr>
              <w:jc w:val="center"/>
              <w:rPr>
                <w:rFonts w:hint="eastAsia" w:ascii="仿宋_GB2312" w:hAnsi="仿宋_GB2312" w:eastAsia="仿宋_GB2312" w:cs="仿宋_GB2312"/>
                <w:sz w:val="22"/>
              </w:rPr>
            </w:pPr>
          </w:p>
        </w:tc>
        <w:tc>
          <w:tcPr>
            <w:tcW w:w="202" w:type="pct"/>
            <w:tcBorders>
              <w:tl2br w:val="nil"/>
              <w:tr2bl w:val="nil"/>
            </w:tcBorders>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稳定</w:t>
            </w:r>
          </w:p>
        </w:tc>
        <w:tc>
          <w:tcPr>
            <w:tcW w:w="600" w:type="pct"/>
            <w:tcBorders>
              <w:tl2br w:val="nil"/>
              <w:tr2bl w:val="nil"/>
            </w:tcBorders>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预期效果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192" w:type="pct"/>
            <w:vMerge w:val="continue"/>
            <w:tcBorders>
              <w:tl2br w:val="nil"/>
              <w:tr2bl w:val="nil"/>
            </w:tcBorders>
            <w:vAlign w:val="center"/>
          </w:tcPr>
          <w:p/>
        </w:tc>
        <w:tc>
          <w:tcPr>
            <w:tcW w:w="343" w:type="pc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408"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 w:val="22"/>
              </w:rPr>
              <w:t>员工离职率</w:t>
            </w:r>
          </w:p>
        </w:tc>
        <w:tc>
          <w:tcPr>
            <w:tcW w:w="1890"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 w:val="22"/>
              </w:rPr>
              <w:t>达到指标值满分为15分，未达到指标值按比例扣分。</w:t>
            </w:r>
          </w:p>
        </w:tc>
        <w:tc>
          <w:tcPr>
            <w:tcW w:w="1048"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 w:val="22"/>
              </w:rPr>
              <w:t>员工离职人数占比</w:t>
            </w:r>
          </w:p>
        </w:tc>
        <w:tc>
          <w:tcPr>
            <w:tcW w:w="159" w:type="pct"/>
            <w:tcBorders>
              <w:tl2br w:val="nil"/>
              <w:tr2bl w:val="nil"/>
            </w:tcBorders>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w:t>
            </w:r>
          </w:p>
        </w:tc>
        <w:tc>
          <w:tcPr>
            <w:tcW w:w="152" w:type="pct"/>
            <w:tcBorders>
              <w:tl2br w:val="nil"/>
              <w:tr2bl w:val="nil"/>
            </w:tcBorders>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5</w:t>
            </w:r>
          </w:p>
        </w:tc>
        <w:tc>
          <w:tcPr>
            <w:tcW w:w="202" w:type="pct"/>
            <w:tcBorders>
              <w:tl2br w:val="nil"/>
              <w:tr2bl w:val="nil"/>
            </w:tcBorders>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w:t>
            </w:r>
          </w:p>
        </w:tc>
        <w:tc>
          <w:tcPr>
            <w:tcW w:w="600" w:type="pct"/>
            <w:tcBorders>
              <w:tl2br w:val="nil"/>
              <w:tr2bl w:val="nil"/>
            </w:tcBorders>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预期效果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92" w:type="pct"/>
            <w:vMerge w:val="continue"/>
            <w:tcBorders>
              <w:tl2br w:val="nil"/>
              <w:tr2bl w:val="nil"/>
            </w:tcBorders>
            <w:vAlign w:val="center"/>
          </w:tcPr>
          <w:p/>
        </w:tc>
        <w:tc>
          <w:tcPr>
            <w:tcW w:w="343" w:type="pc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408"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 w:val="22"/>
              </w:rPr>
              <w:t>员工满意度</w:t>
            </w:r>
          </w:p>
        </w:tc>
        <w:tc>
          <w:tcPr>
            <w:tcW w:w="1890"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 w:val="22"/>
              </w:rPr>
              <w:t>达到指标值满分为15分，未达到指标值按比例扣分。</w:t>
            </w:r>
          </w:p>
        </w:tc>
        <w:tc>
          <w:tcPr>
            <w:tcW w:w="1048"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 w:val="22"/>
              </w:rPr>
              <w:t>员工满意人数占总人数百分比</w:t>
            </w:r>
          </w:p>
        </w:tc>
        <w:tc>
          <w:tcPr>
            <w:tcW w:w="159" w:type="pct"/>
            <w:tcBorders>
              <w:tl2br w:val="nil"/>
              <w:tr2bl w:val="nil"/>
            </w:tcBorders>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w:t>
            </w:r>
          </w:p>
        </w:tc>
        <w:tc>
          <w:tcPr>
            <w:tcW w:w="152" w:type="pct"/>
            <w:tcBorders>
              <w:tl2br w:val="nil"/>
              <w:tr2bl w:val="nil"/>
            </w:tcBorders>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95</w:t>
            </w:r>
          </w:p>
        </w:tc>
        <w:tc>
          <w:tcPr>
            <w:tcW w:w="202" w:type="pct"/>
            <w:tcBorders>
              <w:tl2br w:val="nil"/>
              <w:tr2bl w:val="nil"/>
            </w:tcBorders>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w:t>
            </w:r>
          </w:p>
        </w:tc>
        <w:tc>
          <w:tcPr>
            <w:tcW w:w="600" w:type="pct"/>
            <w:tcBorders>
              <w:tl2br w:val="nil"/>
              <w:tr2bl w:val="nil"/>
            </w:tcBorders>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走访调查</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before="0" w:after="0"/>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1.2021年省级国三及以下排放标准营运中重型柴油货车淘汰奖补资金绩效目标表</w:t>
      </w:r>
      <w:bookmarkEnd w:id="0"/>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1.有效遏制重特大道路运输事故，全面提升道路运输安全生产保障水平。</w:t>
            </w:r>
          </w:p>
          <w:p>
            <w:pPr>
              <w:pStyle w:val="14"/>
              <w:rPr>
                <w:rFonts w:hint="eastAsia" w:ascii="仿宋_GB2312" w:hAnsi="仿宋_GB2312" w:eastAsia="仿宋_GB2312" w:cs="仿宋_GB2312"/>
              </w:rPr>
            </w:pPr>
            <w:r>
              <w:rPr>
                <w:rFonts w:hint="eastAsia" w:ascii="仿宋_GB2312" w:hAnsi="仿宋_GB2312" w:eastAsia="仿宋_GB2312" w:cs="仿宋_GB2312"/>
              </w:rPr>
              <w:t>2.有效遏制重特大道路运输事故，全面提升道路运输安全生产保障水平。</w:t>
            </w:r>
          </w:p>
          <w:p>
            <w:pPr>
              <w:pStyle w:val="14"/>
              <w:rPr>
                <w:rFonts w:hint="eastAsia" w:ascii="仿宋_GB2312" w:hAnsi="仿宋_GB2312" w:eastAsia="仿宋_GB2312" w:cs="仿宋_GB2312"/>
              </w:rPr>
            </w:pPr>
            <w:r>
              <w:rPr>
                <w:rFonts w:hint="eastAsia" w:ascii="仿宋_GB2312" w:hAnsi="仿宋_GB2312" w:eastAsia="仿宋_GB2312" w:cs="仿宋_GB2312"/>
              </w:rPr>
              <w:t>3.有效遏制重特大道路运输事故，全面提升道路运输安全生产保障水平。</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广阳区国三及以上排放营运重型柴油货车淘汰数量</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广阳区国三及以上排放营运重型柴油货车淘汰数量</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1510辆</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资金使用合规性</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资金使用合规率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淘汰车辆情况</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按期完成车辆淘汰率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64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道路安全水平</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道路安全水平</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对污染防治的促进作用</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对污染防治的促进作用</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明显</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走访调查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spacing w:before="0" w:after="0"/>
        <w:ind w:firstLine="560"/>
        <w:jc w:val="left"/>
        <w:outlineLvl w:val="3"/>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 xml:space="preserve"> </w:t>
      </w:r>
      <w:bookmarkStart w:id="1" w:name="_Toc_4_4_0000000005"/>
      <w:r>
        <w:rPr>
          <w:rFonts w:hint="eastAsia" w:ascii="仿宋_GB2312" w:hAnsi="仿宋_GB2312" w:eastAsia="仿宋_GB2312" w:cs="仿宋_GB2312"/>
          <w:color w:val="000000"/>
          <w:sz w:val="28"/>
        </w:rPr>
        <w:t>2.2022年广阳区农村公路日常养护资金绩效目标表</w:t>
      </w:r>
      <w:bookmarkEnd w:id="1"/>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213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1.农村公路列养率提升至100%，优良中等路比例达到88%，农村公路交通设施完好率达到100%；，标志标牌完好率达到100%，充分发挥指示警示功能，人民群众满意度提升至95%以上。</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县道标准化整修</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县道标准化整修数量</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≥50000平米</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县道洒水抑尘</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县道洒水抑尘数量</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≥43617.42立方米</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县道边涵维护</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县道边涵维护数量</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≥86道</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养护质量</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养护质量合格率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100百分比</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公路养护技术规范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日常养护项目完工率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日常养护项目按时完工率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≥95百分比</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县道标准化整修成本</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标准化整修成本</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≤1.58元/平方米</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县道洒水抑尘成本</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洒水抑尘成本</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≤18.62元/立方米</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县道边涵维护成本</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边涵维护成本</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≤317.5元/道</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受益乡镇个数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受益乡镇个数</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≥5个</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农村公路列养率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农村公路列养率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100百分比</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河北交通厅公路网系统年报数据。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农村公路优良中等路比例</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优良中等路比例</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≥88百分比</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河北交通厅公路网系统最新年报数据。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社会公众或服务对象满意度</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≥95百分比</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2" w:name="_Toc_4_4_0000000006"/>
      <w:r>
        <w:rPr>
          <w:rFonts w:hint="eastAsia" w:ascii="仿宋_GB2312" w:hAnsi="仿宋_GB2312" w:eastAsia="仿宋_GB2312" w:cs="仿宋_GB2312"/>
          <w:color w:val="000000"/>
          <w:sz w:val="28"/>
        </w:rPr>
        <w:t>3.2022年广阳区农村公路养护工程资金绩效目标表</w:t>
      </w:r>
      <w:bookmarkEnd w:id="2"/>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213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1.降低农村公路使用成本，延长农村公路使用寿命，提升农村公路路况水平和绿化美化环境，消除农村公路安全隐患。</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24"/>
        <w:gridCol w:w="1851"/>
        <w:gridCol w:w="2185"/>
        <w:gridCol w:w="2943"/>
        <w:gridCol w:w="1851"/>
        <w:gridCol w:w="36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1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6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8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05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6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31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县乡村道灌缝处理里程　</w:t>
            </w:r>
          </w:p>
        </w:tc>
        <w:tc>
          <w:tcPr>
            <w:tcW w:w="10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县乡村道路面灌缝数量</w:t>
            </w: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≥48000米</w:t>
            </w:r>
          </w:p>
        </w:tc>
        <w:tc>
          <w:tcPr>
            <w:tcW w:w="13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pct"/>
            <w:vMerge w:val="continue"/>
            <w:vAlign w:val="center"/>
          </w:tcPr>
          <w:p>
            <w:pPr>
              <w:rPr>
                <w:rFonts w:hint="eastAsia" w:ascii="仿宋_GB2312" w:hAnsi="仿宋_GB2312" w:eastAsia="仿宋_GB2312" w:cs="仿宋_GB2312"/>
              </w:rPr>
            </w:pP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县乡村道小修挖补里程</w:t>
            </w:r>
          </w:p>
        </w:tc>
        <w:tc>
          <w:tcPr>
            <w:tcW w:w="10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县乡村道小修挖补数量</w:t>
            </w: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≥4800平米</w:t>
            </w:r>
          </w:p>
        </w:tc>
        <w:tc>
          <w:tcPr>
            <w:tcW w:w="13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pct"/>
            <w:vMerge w:val="continue"/>
            <w:vAlign w:val="center"/>
          </w:tcPr>
          <w:p>
            <w:pPr>
              <w:rPr>
                <w:rFonts w:hint="eastAsia" w:ascii="仿宋_GB2312" w:hAnsi="仿宋_GB2312" w:eastAsia="仿宋_GB2312" w:cs="仿宋_GB2312"/>
              </w:rPr>
            </w:pP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县乡道路面标线里程</w:t>
            </w:r>
          </w:p>
        </w:tc>
        <w:tc>
          <w:tcPr>
            <w:tcW w:w="10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县乡道路面施划标线量　</w:t>
            </w: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≥6000平米</w:t>
            </w:r>
          </w:p>
        </w:tc>
        <w:tc>
          <w:tcPr>
            <w:tcW w:w="13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pct"/>
            <w:vMerge w:val="continue"/>
            <w:vAlign w:val="center"/>
          </w:tcPr>
          <w:p>
            <w:pPr>
              <w:rPr>
                <w:rFonts w:hint="eastAsia" w:ascii="仿宋_GB2312" w:hAnsi="仿宋_GB2312" w:eastAsia="仿宋_GB2312" w:cs="仿宋_GB2312"/>
              </w:rPr>
            </w:pP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减速带设置及更换</w:t>
            </w:r>
          </w:p>
        </w:tc>
        <w:tc>
          <w:tcPr>
            <w:tcW w:w="10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设置减速带数量</w:t>
            </w: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≥1100米</w:t>
            </w:r>
          </w:p>
        </w:tc>
        <w:tc>
          <w:tcPr>
            <w:tcW w:w="13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pct"/>
            <w:vMerge w:val="continue"/>
            <w:vAlign w:val="center"/>
          </w:tcPr>
          <w:p>
            <w:pPr>
              <w:rPr>
                <w:rFonts w:hint="eastAsia" w:ascii="仿宋_GB2312" w:hAnsi="仿宋_GB2312" w:eastAsia="仿宋_GB2312" w:cs="仿宋_GB2312"/>
              </w:rPr>
            </w:pP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养护工程质量</w:t>
            </w:r>
          </w:p>
        </w:tc>
        <w:tc>
          <w:tcPr>
            <w:tcW w:w="10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养护工程质量合格率</w:t>
            </w: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3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公路养护技术规范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pct"/>
            <w:vMerge w:val="continue"/>
            <w:vAlign w:val="center"/>
          </w:tcPr>
          <w:p>
            <w:pPr>
              <w:rPr>
                <w:rFonts w:hint="eastAsia" w:ascii="仿宋_GB2312" w:hAnsi="仿宋_GB2312" w:eastAsia="仿宋_GB2312" w:cs="仿宋_GB2312"/>
              </w:rPr>
            </w:pP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工程完工率</w:t>
            </w:r>
          </w:p>
        </w:tc>
        <w:tc>
          <w:tcPr>
            <w:tcW w:w="10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养护工程按时完工率</w:t>
            </w: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3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pct"/>
            <w:vMerge w:val="continue"/>
            <w:vAlign w:val="center"/>
          </w:tcPr>
          <w:p>
            <w:pPr>
              <w:rPr>
                <w:rFonts w:hint="eastAsia" w:ascii="仿宋_GB2312" w:hAnsi="仿宋_GB2312" w:eastAsia="仿宋_GB2312" w:cs="仿宋_GB2312"/>
              </w:rPr>
            </w:pP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县乡村道灌缝处理　</w:t>
            </w:r>
          </w:p>
        </w:tc>
        <w:tc>
          <w:tcPr>
            <w:tcW w:w="10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县乡村道灌缝处理成本　</w:t>
            </w: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≤11元/米</w:t>
            </w:r>
          </w:p>
        </w:tc>
        <w:tc>
          <w:tcPr>
            <w:tcW w:w="13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pct"/>
            <w:vMerge w:val="continue"/>
            <w:vAlign w:val="center"/>
          </w:tcPr>
          <w:p>
            <w:pPr>
              <w:rPr>
                <w:rFonts w:hint="eastAsia" w:ascii="仿宋_GB2312" w:hAnsi="仿宋_GB2312" w:eastAsia="仿宋_GB2312" w:cs="仿宋_GB2312"/>
              </w:rPr>
            </w:pP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县乡村道小修挖补</w:t>
            </w:r>
          </w:p>
        </w:tc>
        <w:tc>
          <w:tcPr>
            <w:tcW w:w="10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县乡村道小修挖补成本</w:t>
            </w: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≤80.37元/平米</w:t>
            </w:r>
          </w:p>
        </w:tc>
        <w:tc>
          <w:tcPr>
            <w:tcW w:w="13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pct"/>
            <w:vMerge w:val="continue"/>
            <w:vAlign w:val="center"/>
          </w:tcPr>
          <w:p>
            <w:pPr>
              <w:rPr>
                <w:rFonts w:hint="eastAsia" w:ascii="仿宋_GB2312" w:hAnsi="仿宋_GB2312" w:eastAsia="仿宋_GB2312" w:cs="仿宋_GB2312"/>
              </w:rPr>
            </w:pP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县乡道路面标线</w:t>
            </w:r>
          </w:p>
        </w:tc>
        <w:tc>
          <w:tcPr>
            <w:tcW w:w="10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县乡道路面标线成本</w:t>
            </w: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≤38.11元/平米</w:t>
            </w:r>
          </w:p>
        </w:tc>
        <w:tc>
          <w:tcPr>
            <w:tcW w:w="13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pct"/>
            <w:vMerge w:val="continue"/>
            <w:vAlign w:val="center"/>
          </w:tcPr>
          <w:p>
            <w:pPr>
              <w:rPr>
                <w:rFonts w:hint="eastAsia" w:ascii="仿宋_GB2312" w:hAnsi="仿宋_GB2312" w:eastAsia="仿宋_GB2312" w:cs="仿宋_GB2312"/>
              </w:rPr>
            </w:pP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减速带设置及更换</w:t>
            </w:r>
          </w:p>
        </w:tc>
        <w:tc>
          <w:tcPr>
            <w:tcW w:w="10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减速带设置及更换成本</w:t>
            </w: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≤224.37元/公里</w:t>
            </w:r>
          </w:p>
        </w:tc>
        <w:tc>
          <w:tcPr>
            <w:tcW w:w="13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受益乡镇个数</w:t>
            </w:r>
          </w:p>
        </w:tc>
        <w:tc>
          <w:tcPr>
            <w:tcW w:w="10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受益乡镇个数</w:t>
            </w: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5个</w:t>
            </w:r>
          </w:p>
        </w:tc>
        <w:tc>
          <w:tcPr>
            <w:tcW w:w="13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pct"/>
            <w:vMerge w:val="continue"/>
            <w:vAlign w:val="center"/>
          </w:tcPr>
          <w:p>
            <w:pPr>
              <w:rPr>
                <w:rFonts w:hint="eastAsia" w:ascii="仿宋_GB2312" w:hAnsi="仿宋_GB2312" w:eastAsia="仿宋_GB2312" w:cs="仿宋_GB2312"/>
              </w:rPr>
            </w:pP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农村公路列养率</w:t>
            </w:r>
          </w:p>
        </w:tc>
        <w:tc>
          <w:tcPr>
            <w:tcW w:w="10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农村公路列养率</w:t>
            </w: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3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河北交通厅公路网系统年报数据。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pct"/>
            <w:vMerge w:val="continue"/>
            <w:vAlign w:val="center"/>
          </w:tcPr>
          <w:p>
            <w:pPr>
              <w:rPr>
                <w:rFonts w:hint="eastAsia" w:ascii="仿宋_GB2312" w:hAnsi="仿宋_GB2312" w:eastAsia="仿宋_GB2312" w:cs="仿宋_GB2312"/>
              </w:rPr>
            </w:pP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优良中等路比例</w:t>
            </w:r>
          </w:p>
        </w:tc>
        <w:tc>
          <w:tcPr>
            <w:tcW w:w="10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优良中等路比例</w:t>
            </w: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13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河北交通厅公路网系统年报数据。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10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社会公众或服务对象满意度</w:t>
            </w: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3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3" w:name="_Toc_4_4_0000000007"/>
      <w:r>
        <w:rPr>
          <w:rFonts w:hint="eastAsia" w:ascii="仿宋_GB2312" w:hAnsi="仿宋_GB2312" w:eastAsia="仿宋_GB2312" w:cs="仿宋_GB2312"/>
          <w:color w:val="000000"/>
          <w:sz w:val="28"/>
        </w:rPr>
        <w:t>4.车辆购置税收入补助地方资金[中央]绩效目标表</w:t>
      </w:r>
      <w:bookmarkEnd w:id="3"/>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213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1.不断提升辖区农村公路路况水平，降低道路安全隐患，方便沿线群众出行，促进农村经济发展。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5" w:hRule="atLeast"/>
          <w:tblHeader/>
          <w:jc w:val="center"/>
        </w:trPr>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5" w:hRule="atLeast"/>
          <w:jc w:val="center"/>
        </w:trPr>
        <w:tc>
          <w:tcPr>
            <w:tcW w:w="64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提升改造农村公路面积</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提升改造农村公路面积</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≥18000平方米</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5"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工程质量合格率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工程质量合格率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5"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按计划完工及时率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项目按计划完工及时率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5"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公路改造提升成本</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公路改造提升成本</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110元/平米</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养护定额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5" w:hRule="atLeast"/>
          <w:jc w:val="center"/>
        </w:trPr>
        <w:tc>
          <w:tcPr>
            <w:tcW w:w="64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受益乡镇个数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受益乡镇个数</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≥5个</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5"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优良中等路率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优良中等路率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河北交通厅公路网系统最新年报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5" w:hRule="atLeast"/>
          <w:jc w:val="center"/>
        </w:trPr>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社会公众或服务对象满意度</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4" w:name="_Toc_4_4_0000000008"/>
      <w:r>
        <w:rPr>
          <w:rFonts w:hint="eastAsia" w:ascii="仿宋_GB2312" w:hAnsi="仿宋_GB2312" w:eastAsia="仿宋_GB2312" w:cs="仿宋_GB2312"/>
          <w:color w:val="000000"/>
          <w:sz w:val="28"/>
        </w:rPr>
        <w:t>5.抽调人员经费绩效目标表</w:t>
      </w:r>
      <w:bookmarkEnd w:id="4"/>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213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1.为了有利于全区工作开展，优化人员结构，同时有效缓解我局资金压力，共计134.4万元用于外协人员工资、保险等。</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8" w:hRule="atLeast"/>
          <w:tblHeader/>
          <w:jc w:val="center"/>
        </w:trPr>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8" w:hRule="atLeast"/>
          <w:jc w:val="center"/>
        </w:trPr>
        <w:tc>
          <w:tcPr>
            <w:tcW w:w="64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工资发放人数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工资发放总人数</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42人</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8"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保险缴纳人数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保险缴纳总人数</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42人</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8"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发放准确率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发放人员、金额正确情况</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8"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发放及时情况</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及时发放至员工</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8"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支出金额</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支出总金额</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134.4万元</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0" w:hRule="atLeast"/>
          <w:jc w:val="center"/>
        </w:trPr>
        <w:tc>
          <w:tcPr>
            <w:tcW w:w="64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增强工作人员的归属感，保持干部队伍稳定。</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通过按时发放工资等，进一步增强干部职工的归属感，保持队伍相对稳定</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稳定</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0"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保障人员稳定和工作正常运行</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保障人员稳定和工作正常运行</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有效推动</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0" w:hRule="atLeast"/>
          <w:jc w:val="center"/>
        </w:trPr>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员工满意度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满意人数占总人数百分比</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5" w:name="_Toc_4_4_0000000009"/>
      <w:r>
        <w:rPr>
          <w:rFonts w:hint="eastAsia" w:ascii="仿宋_GB2312" w:hAnsi="仿宋_GB2312" w:eastAsia="仿宋_GB2312" w:cs="仿宋_GB2312"/>
          <w:color w:val="000000"/>
          <w:sz w:val="28"/>
        </w:rPr>
        <w:t>6.交通系统经费绩效目标表</w:t>
      </w:r>
      <w:bookmarkEnd w:id="5"/>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1.用于本单位职工日常工资发放、保险上缴，维持正常办公经费支出，确保职工队伍稳定，全局工作正常开展。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工资发放人数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工资发放总人数</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≤381个</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发放单位数量</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包含的单位数量</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5个</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廊财资环【2016】67号文件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发放准确率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发放人员、金额正确情况</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发放及时率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工资按月发放及时情况</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支出金额</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支出总金额</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687万元</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保证人员稳定，发挥应有职能</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保证干部队伍相对稳定，发挥应有职能。</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稳定</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员工离职率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员工离职人数占比</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员工满意度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员工满意人数占总人数百分比</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6" w:name="_Toc_4_4_0000000010"/>
      <w:r>
        <w:rPr>
          <w:rFonts w:hint="eastAsia" w:ascii="仿宋_GB2312" w:hAnsi="仿宋_GB2312" w:eastAsia="仿宋_GB2312" w:cs="仿宋_GB2312"/>
          <w:color w:val="000000"/>
          <w:sz w:val="28"/>
        </w:rPr>
        <w:t>7.京原铁路“三线”建设民兵、遗属人员经费绩效目标表</w:t>
      </w:r>
      <w:bookmarkEnd w:id="6"/>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213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1.京原铁路“三线”建设民兵人员经费能够按季发放，确保京原铁路“三线”建设民兵人员稳定，合理使用财政预算资金，维护京原铁路“三线”建设民兵稳定</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2"/>
        <w:gridCol w:w="1795"/>
        <w:gridCol w:w="3236"/>
        <w:gridCol w:w="3986"/>
        <w:gridCol w:w="1464"/>
        <w:gridCol w:w="16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1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30"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52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59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1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京原铁路“三线”建设民兵人员经费发放人数</w:t>
            </w:r>
          </w:p>
        </w:tc>
        <w:tc>
          <w:tcPr>
            <w:tcW w:w="143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京原铁路“三线”建设民兵人员经费发放总人数</w:t>
            </w:r>
          </w:p>
        </w:tc>
        <w:tc>
          <w:tcPr>
            <w:tcW w:w="52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≤311人</w:t>
            </w:r>
          </w:p>
        </w:tc>
        <w:tc>
          <w:tcPr>
            <w:tcW w:w="59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1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补助发放覆盖率</w:t>
            </w:r>
          </w:p>
        </w:tc>
        <w:tc>
          <w:tcPr>
            <w:tcW w:w="143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京原铁路“三线”建设民兵人员经费发放覆盖率</w:t>
            </w:r>
          </w:p>
        </w:tc>
        <w:tc>
          <w:tcPr>
            <w:tcW w:w="52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59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1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京原铁路“三线”建设民兵人员经费发放精准率</w:t>
            </w:r>
          </w:p>
        </w:tc>
        <w:tc>
          <w:tcPr>
            <w:tcW w:w="143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补助、补贴发放合规人数占发放总人数的比例</w:t>
            </w:r>
          </w:p>
        </w:tc>
        <w:tc>
          <w:tcPr>
            <w:tcW w:w="52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59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1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京原铁路“三线”建设民兵人员经费发放及时性</w:t>
            </w:r>
          </w:p>
        </w:tc>
        <w:tc>
          <w:tcPr>
            <w:tcW w:w="143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京原铁路“三线”建设民兵人员经费发放及时性</w:t>
            </w:r>
          </w:p>
        </w:tc>
        <w:tc>
          <w:tcPr>
            <w:tcW w:w="52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59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1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发放标准</w:t>
            </w:r>
          </w:p>
        </w:tc>
        <w:tc>
          <w:tcPr>
            <w:tcW w:w="143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民兵年发放补贴金额</w:t>
            </w:r>
          </w:p>
        </w:tc>
        <w:tc>
          <w:tcPr>
            <w:tcW w:w="52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2000元</w:t>
            </w:r>
          </w:p>
        </w:tc>
        <w:tc>
          <w:tcPr>
            <w:tcW w:w="59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区政府【2021】8号文件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1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发放标准</w:t>
            </w:r>
          </w:p>
        </w:tc>
        <w:tc>
          <w:tcPr>
            <w:tcW w:w="143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遗属年发放补贴金额</w:t>
            </w:r>
          </w:p>
        </w:tc>
        <w:tc>
          <w:tcPr>
            <w:tcW w:w="52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200元</w:t>
            </w:r>
          </w:p>
        </w:tc>
        <w:tc>
          <w:tcPr>
            <w:tcW w:w="59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区政府【2021】8号文件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1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通过发放京原铁路“三线”建设民兵人员经费，改善京原铁路“三线”建设民兵人员的生活困难</w:t>
            </w:r>
          </w:p>
        </w:tc>
        <w:tc>
          <w:tcPr>
            <w:tcW w:w="143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通过发放京原铁路“三线”建设民兵人员经费，改善京原铁路“三线”建设民兵人员的生活困难</w:t>
            </w:r>
          </w:p>
        </w:tc>
        <w:tc>
          <w:tcPr>
            <w:tcW w:w="52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稳定</w:t>
            </w:r>
          </w:p>
        </w:tc>
        <w:tc>
          <w:tcPr>
            <w:tcW w:w="59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1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通过发放京原铁路“三线”建设民兵人员经费，保障人员稳定。</w:t>
            </w:r>
          </w:p>
        </w:tc>
        <w:tc>
          <w:tcPr>
            <w:tcW w:w="143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通过发放京原铁路“三线”建设民兵人员经费，保障人员稳定。</w:t>
            </w:r>
          </w:p>
        </w:tc>
        <w:tc>
          <w:tcPr>
            <w:tcW w:w="52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有效推动</w:t>
            </w:r>
          </w:p>
        </w:tc>
        <w:tc>
          <w:tcPr>
            <w:tcW w:w="59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1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京原铁路“三线”建设民兵人员满意度</w:t>
            </w:r>
          </w:p>
        </w:tc>
        <w:tc>
          <w:tcPr>
            <w:tcW w:w="143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京原铁路“三线”建设民兵人数占总数的百分比</w:t>
            </w:r>
          </w:p>
        </w:tc>
        <w:tc>
          <w:tcPr>
            <w:tcW w:w="52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≥80%</w:t>
            </w:r>
          </w:p>
        </w:tc>
        <w:tc>
          <w:tcPr>
            <w:tcW w:w="59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7" w:name="_Toc_4_4_0000000011"/>
      <w:r>
        <w:rPr>
          <w:rFonts w:hint="eastAsia" w:ascii="仿宋_GB2312" w:hAnsi="仿宋_GB2312" w:eastAsia="仿宋_GB2312" w:cs="仿宋_GB2312"/>
          <w:color w:val="000000"/>
          <w:sz w:val="28"/>
        </w:rPr>
        <w:t>8.路政执法大队及地方站人员经费绩效目标表</w:t>
      </w:r>
      <w:bookmarkEnd w:id="7"/>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1.保证路政及地方站人员工资及保险按时发放和上缴，维护职工队伍稳定。</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工资发放人数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工资发放总人数</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62人</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保险缴纳人数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保险缴纳总人数</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62人</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发放准确率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发放人员、金额正确情况</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工资发放及时性</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工资发放的时效情况</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按规定时间发放</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保险上缴的及时性</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保险上缴的时效情况</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按规定时间上缴</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支出金额</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支出总金额</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749.56万元</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财政核算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保证人员稳定，发挥应有职能</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保证人员稳定，发挥应有职能</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稳定</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保障工作正常运行</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保障工作正常运行</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有效推动</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员工满意度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满意人数占总人数百分比</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8" w:name="_Toc_4_4_0000000012"/>
      <w:r>
        <w:rPr>
          <w:rFonts w:hint="eastAsia" w:ascii="仿宋_GB2312" w:hAnsi="仿宋_GB2312" w:eastAsia="仿宋_GB2312" w:cs="仿宋_GB2312"/>
          <w:color w:val="000000"/>
          <w:sz w:val="28"/>
        </w:rPr>
        <w:t>9.农村公路日常养护补助资金[省级]绩效目标表</w:t>
      </w:r>
      <w:bookmarkEnd w:id="8"/>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1.提高县道绿植成活率，提升县道绿化通行环境</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1"/>
        <w:gridCol w:w="1670"/>
        <w:gridCol w:w="3262"/>
        <w:gridCol w:w="2295"/>
        <w:gridCol w:w="27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59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170"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82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7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59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绿化日常养护</w:t>
            </w:r>
            <w:r>
              <w:rPr>
                <w:rFonts w:hint="eastAsia" w:ascii="仿宋_GB2312" w:hAnsi="仿宋_GB2312" w:eastAsia="仿宋_GB2312" w:cs="仿宋_GB2312"/>
              </w:rPr>
              <w:tab/>
            </w:r>
          </w:p>
        </w:tc>
        <w:tc>
          <w:tcPr>
            <w:tcW w:w="117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绿化日常养护里程</w:t>
            </w:r>
            <w:r>
              <w:rPr>
                <w:rFonts w:hint="eastAsia" w:ascii="仿宋_GB2312" w:hAnsi="仿宋_GB2312" w:eastAsia="仿宋_GB2312" w:cs="仿宋_GB2312"/>
              </w:rPr>
              <w:tab/>
            </w:r>
          </w:p>
        </w:tc>
        <w:tc>
          <w:tcPr>
            <w:tcW w:w="8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≥46.29公里</w:t>
            </w:r>
          </w:p>
        </w:tc>
        <w:tc>
          <w:tcPr>
            <w:tcW w:w="9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59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养护质量</w:t>
            </w:r>
          </w:p>
        </w:tc>
        <w:tc>
          <w:tcPr>
            <w:tcW w:w="117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养护质量达标率</w:t>
            </w:r>
          </w:p>
        </w:tc>
        <w:tc>
          <w:tcPr>
            <w:tcW w:w="8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年度评分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59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完工时间</w:t>
            </w:r>
            <w:r>
              <w:rPr>
                <w:rFonts w:hint="eastAsia" w:ascii="仿宋_GB2312" w:hAnsi="仿宋_GB2312" w:eastAsia="仿宋_GB2312" w:cs="仿宋_GB2312"/>
              </w:rPr>
              <w:tab/>
            </w:r>
          </w:p>
        </w:tc>
        <w:tc>
          <w:tcPr>
            <w:tcW w:w="117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项目完工时间</w:t>
            </w:r>
          </w:p>
        </w:tc>
        <w:tc>
          <w:tcPr>
            <w:tcW w:w="8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2022年12月底前</w:t>
            </w:r>
          </w:p>
        </w:tc>
        <w:tc>
          <w:tcPr>
            <w:tcW w:w="9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59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绿化养护</w:t>
            </w:r>
          </w:p>
        </w:tc>
        <w:tc>
          <w:tcPr>
            <w:tcW w:w="117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绿化修剪成本</w:t>
            </w:r>
          </w:p>
        </w:tc>
        <w:tc>
          <w:tcPr>
            <w:tcW w:w="8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≤103.44元/公里</w:t>
            </w:r>
          </w:p>
        </w:tc>
        <w:tc>
          <w:tcPr>
            <w:tcW w:w="9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59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绿化养护</w:t>
            </w:r>
          </w:p>
        </w:tc>
        <w:tc>
          <w:tcPr>
            <w:tcW w:w="117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绿化除草成本</w:t>
            </w:r>
          </w:p>
        </w:tc>
        <w:tc>
          <w:tcPr>
            <w:tcW w:w="8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≤176.16元/公里</w:t>
            </w:r>
          </w:p>
        </w:tc>
        <w:tc>
          <w:tcPr>
            <w:tcW w:w="9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59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绿化养护</w:t>
            </w:r>
          </w:p>
        </w:tc>
        <w:tc>
          <w:tcPr>
            <w:tcW w:w="117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绿化病虫害防治成本</w:t>
            </w:r>
          </w:p>
        </w:tc>
        <w:tc>
          <w:tcPr>
            <w:tcW w:w="8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≤150.5元/公里</w:t>
            </w:r>
          </w:p>
        </w:tc>
        <w:tc>
          <w:tcPr>
            <w:tcW w:w="9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59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绿化养护</w:t>
            </w:r>
          </w:p>
        </w:tc>
        <w:tc>
          <w:tcPr>
            <w:tcW w:w="117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绿化施肥成本</w:t>
            </w:r>
          </w:p>
        </w:tc>
        <w:tc>
          <w:tcPr>
            <w:tcW w:w="8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≤279.53元/公里</w:t>
            </w:r>
          </w:p>
        </w:tc>
        <w:tc>
          <w:tcPr>
            <w:tcW w:w="9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59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绿化养护</w:t>
            </w:r>
          </w:p>
        </w:tc>
        <w:tc>
          <w:tcPr>
            <w:tcW w:w="117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树干刷白成本</w:t>
            </w:r>
          </w:p>
        </w:tc>
        <w:tc>
          <w:tcPr>
            <w:tcW w:w="8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≤1.57元/棵</w:t>
            </w:r>
          </w:p>
        </w:tc>
        <w:tc>
          <w:tcPr>
            <w:tcW w:w="9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59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绿化养护</w:t>
            </w:r>
          </w:p>
        </w:tc>
        <w:tc>
          <w:tcPr>
            <w:tcW w:w="117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粘贴反光胶带成本</w:t>
            </w:r>
          </w:p>
        </w:tc>
        <w:tc>
          <w:tcPr>
            <w:tcW w:w="8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≤1.8元/棵</w:t>
            </w:r>
          </w:p>
        </w:tc>
        <w:tc>
          <w:tcPr>
            <w:tcW w:w="9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59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受益乡镇个数</w:t>
            </w:r>
          </w:p>
        </w:tc>
        <w:tc>
          <w:tcPr>
            <w:tcW w:w="117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受益乡镇个数</w:t>
            </w:r>
          </w:p>
        </w:tc>
        <w:tc>
          <w:tcPr>
            <w:tcW w:w="8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≥5个</w:t>
            </w:r>
          </w:p>
        </w:tc>
        <w:tc>
          <w:tcPr>
            <w:tcW w:w="9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59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优良中等路率</w:t>
            </w:r>
          </w:p>
        </w:tc>
        <w:tc>
          <w:tcPr>
            <w:tcW w:w="117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优良中等路率</w:t>
            </w:r>
          </w:p>
        </w:tc>
        <w:tc>
          <w:tcPr>
            <w:tcW w:w="8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9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河北交通厅公路网系统最新年报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59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受益人口满意度</w:t>
            </w:r>
          </w:p>
        </w:tc>
        <w:tc>
          <w:tcPr>
            <w:tcW w:w="117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受益人口满意度</w:t>
            </w:r>
          </w:p>
        </w:tc>
        <w:tc>
          <w:tcPr>
            <w:tcW w:w="8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9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调查统计</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9" w:name="_Toc_4_4_0000000013"/>
      <w:r>
        <w:rPr>
          <w:rFonts w:hint="eastAsia" w:ascii="仿宋_GB2312" w:hAnsi="仿宋_GB2312" w:eastAsia="仿宋_GB2312" w:cs="仿宋_GB2312"/>
          <w:color w:val="000000"/>
          <w:sz w:val="28"/>
        </w:rPr>
        <w:t>10.农村公路养护工程补助资金绩效目标表</w:t>
      </w:r>
      <w:bookmarkEnd w:id="9"/>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1.降低农村公路使用成本，延长农村公路使用寿命，提升农村公路路况水平和绿化美化环境，消除农村公路安全隐患，提供良好的交通设施保障。</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县乡村道小修挖补里程</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县乡村道小修挖补数量</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≥6100平米</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县道绿植浇水</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绿植浇水里程</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≥46.29公里</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养护工程质量</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养护工程质量达标率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公路养护技术规范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完工时间</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项目完工时间</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2022年12月底前</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县乡村道小修挖补</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县乡村道小修挖补成本</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≤80.37元/平米</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县道绿植浇水</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绿植浇水成本</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≤158.28元/公里/次</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受益乡镇个数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受益乡镇总个数</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5个</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优良中等路比例</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优良中等路比例</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河北交通厅公路网系统年报数据。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社会公众或服务对象满意度</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10" w:name="_Toc_4_4_0000000014"/>
      <w:r>
        <w:rPr>
          <w:rFonts w:hint="eastAsia" w:ascii="仿宋_GB2312" w:hAnsi="仿宋_GB2312" w:eastAsia="仿宋_GB2312" w:cs="仿宋_GB2312"/>
          <w:color w:val="000000"/>
          <w:sz w:val="28"/>
        </w:rPr>
        <w:t>11.农村公路养护工程补助资金[省级]绩效目标表</w:t>
      </w:r>
      <w:bookmarkEnd w:id="10"/>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1.减少路面行车安全隐患，提升农村公路路况水平，延长农村公路使用寿命。</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路面标线施划</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标线施划数量</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≥7950米</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小修挖补</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小修挖补面积</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≥3700平米</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养护质量合格率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养护工程达标率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年度评分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完工时间</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项目完工时间</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2022年12月底前</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路面标线施划</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标线铲除成本</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≤14.61元/平米</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养护定额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路面标线施划</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热熔标线施划成本</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≤38.11元/平米</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养护定额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小修挖补成本</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小修挖补成本</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≤80.37元/平米</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养护定额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受益乡镇个数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受益乡镇个数</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≥5个</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优良中等路率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优良中等路率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河北交通厅公路网系统最新年报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受益人口满意度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受益人口满意度</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调查统计</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11" w:name="_Toc_4_4_0000000015"/>
      <w:r>
        <w:rPr>
          <w:rFonts w:hint="eastAsia" w:ascii="仿宋_GB2312" w:hAnsi="仿宋_GB2312" w:eastAsia="仿宋_GB2312" w:cs="仿宋_GB2312"/>
          <w:color w:val="000000"/>
          <w:sz w:val="28"/>
        </w:rPr>
        <w:t>12.普通国省干线公路建设养护发展专项资金[省级]绩效目标表</w:t>
      </w:r>
      <w:bookmarkEnd w:id="11"/>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80"/>
        <w:gridCol w:w="1197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44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1.依托联合执法集中治超优势，采取定点与巡查相结合的方式，对我区重点整治路段24小时不间断执法，始终保持路面严查的高压态势。将干线公路超限率控制在2%以下。</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81"/>
        <w:gridCol w:w="2281"/>
        <w:gridCol w:w="2473"/>
        <w:gridCol w:w="2979"/>
        <w:gridCol w:w="1735"/>
        <w:gridCol w:w="25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50"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84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91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10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8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91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经费使用范围</w:t>
            </w:r>
          </w:p>
        </w:tc>
        <w:tc>
          <w:tcPr>
            <w:tcW w:w="11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维持站点运行数量</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1个</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Merge w:val="continue"/>
            <w:vAlign w:val="center"/>
          </w:tcPr>
          <w:p>
            <w:pPr>
              <w:rPr>
                <w:rFonts w:hint="eastAsia" w:ascii="仿宋_GB2312" w:hAnsi="仿宋_GB2312" w:eastAsia="仿宋_GB2312" w:cs="仿宋_GB2312"/>
              </w:rPr>
            </w:pPr>
          </w:p>
        </w:tc>
        <w:tc>
          <w:tcPr>
            <w:tcW w:w="8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91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经费支出合规率</w:t>
            </w:r>
          </w:p>
        </w:tc>
        <w:tc>
          <w:tcPr>
            <w:tcW w:w="11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保证经费支出合规</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Merge w:val="continue"/>
            <w:vAlign w:val="center"/>
          </w:tcPr>
          <w:p>
            <w:pPr>
              <w:rPr>
                <w:rFonts w:hint="eastAsia" w:ascii="仿宋_GB2312" w:hAnsi="仿宋_GB2312" w:eastAsia="仿宋_GB2312" w:cs="仿宋_GB2312"/>
              </w:rPr>
            </w:pPr>
          </w:p>
        </w:tc>
        <w:tc>
          <w:tcPr>
            <w:tcW w:w="8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91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经费保障时间</w:t>
            </w:r>
          </w:p>
        </w:tc>
        <w:tc>
          <w:tcPr>
            <w:tcW w:w="11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2022年1月-2022年12月</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Merge w:val="continue"/>
            <w:vAlign w:val="center"/>
          </w:tcPr>
          <w:p>
            <w:pPr>
              <w:rPr>
                <w:rFonts w:hint="eastAsia" w:ascii="仿宋_GB2312" w:hAnsi="仿宋_GB2312" w:eastAsia="仿宋_GB2312" w:cs="仿宋_GB2312"/>
              </w:rPr>
            </w:pPr>
          </w:p>
        </w:tc>
        <w:tc>
          <w:tcPr>
            <w:tcW w:w="8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91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费用支出总额</w:t>
            </w:r>
          </w:p>
        </w:tc>
        <w:tc>
          <w:tcPr>
            <w:tcW w:w="11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费用支出总额</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≤40万元</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立项文件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8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91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保障站点正常运行，有效减少超限超载</w:t>
            </w:r>
          </w:p>
        </w:tc>
        <w:tc>
          <w:tcPr>
            <w:tcW w:w="11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保障站点正常运行，有效减少超限超载</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Merge w:val="continue"/>
            <w:vAlign w:val="center"/>
          </w:tcPr>
          <w:p>
            <w:pPr>
              <w:rPr>
                <w:rFonts w:hint="eastAsia" w:ascii="仿宋_GB2312" w:hAnsi="仿宋_GB2312" w:eastAsia="仿宋_GB2312" w:cs="仿宋_GB2312"/>
              </w:rPr>
            </w:pPr>
          </w:p>
        </w:tc>
        <w:tc>
          <w:tcPr>
            <w:tcW w:w="8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91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保障治理车辆不超载，维护路产。</w:t>
            </w:r>
          </w:p>
        </w:tc>
        <w:tc>
          <w:tcPr>
            <w:tcW w:w="11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保障治理车辆不超载，维护路产，确保道路安全畅通。</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8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91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受益群众满意度</w:t>
            </w:r>
          </w:p>
        </w:tc>
        <w:tc>
          <w:tcPr>
            <w:tcW w:w="11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受益群众满意度</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走访调查</w:t>
            </w:r>
          </w:p>
        </w:tc>
      </w:tr>
    </w:tbl>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2"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2年，我部门安排政府采购预算860.6万元。具体内容见下表。</w:t>
      </w:r>
    </w:p>
    <w:bookmarkEnd w:id="12"/>
    <w:p>
      <w:pPr>
        <w:jc w:val="center"/>
        <w:outlineLvl w:val="1"/>
        <w:rPr>
          <w:rFonts w:ascii="方正小标宋_GBK" w:eastAsia="方正小标宋_GBK" w:cs="Times New Roman"/>
          <w:sz w:val="32"/>
        </w:rPr>
      </w:pPr>
      <w:bookmarkStart w:id="13" w:name="_Toc64920910"/>
      <w:r>
        <w:rPr>
          <w:rFonts w:hint="eastAsia" w:ascii="方正小标宋_GBK" w:eastAsia="方正小标宋_GBK" w:cs="Times New Roman"/>
          <w:sz w:val="32"/>
        </w:rPr>
        <w:t>部门政府采购预算</w:t>
      </w:r>
      <w:bookmarkEnd w:id="13"/>
    </w:p>
    <w:p>
      <w:pPr>
        <w:outlineLvl w:val="1"/>
      </w:pPr>
      <w:r>
        <w:t>廊坊市</w:t>
      </w:r>
      <w:r>
        <w:rPr>
          <w:rFonts w:hint="eastAsia"/>
          <w:lang w:eastAsia="zh-CN"/>
        </w:rPr>
        <w:t>广阳区</w:t>
      </w:r>
      <w:r>
        <w:t>交通运输局                                                                                              单位：万元</w:t>
      </w:r>
    </w:p>
    <w:tbl>
      <w:tblPr>
        <w:tblStyle w:val="8"/>
        <w:tblW w:w="154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2"/>
        <w:gridCol w:w="1068"/>
        <w:gridCol w:w="935"/>
        <w:gridCol w:w="1134"/>
        <w:gridCol w:w="709"/>
        <w:gridCol w:w="850"/>
        <w:gridCol w:w="850"/>
        <w:gridCol w:w="964"/>
        <w:gridCol w:w="964"/>
        <w:gridCol w:w="964"/>
        <w:gridCol w:w="964"/>
        <w:gridCol w:w="964"/>
        <w:gridCol w:w="964"/>
        <w:gridCol w:w="964"/>
        <w:gridCol w:w="965"/>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0" w:type="dxa"/>
            <w:gridSpan w:val="2"/>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政府采购项目来源</w:t>
            </w:r>
          </w:p>
        </w:tc>
        <w:tc>
          <w:tcPr>
            <w:tcW w:w="935" w:type="dxa"/>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采购物品名称</w:t>
            </w:r>
          </w:p>
        </w:tc>
        <w:tc>
          <w:tcPr>
            <w:tcW w:w="1134" w:type="dxa"/>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政府采购目录序号</w:t>
            </w:r>
          </w:p>
        </w:tc>
        <w:tc>
          <w:tcPr>
            <w:tcW w:w="709" w:type="dxa"/>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计量  单位</w:t>
            </w:r>
          </w:p>
        </w:tc>
        <w:tc>
          <w:tcPr>
            <w:tcW w:w="850" w:type="dxa"/>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数量</w:t>
            </w:r>
          </w:p>
        </w:tc>
        <w:tc>
          <w:tcPr>
            <w:tcW w:w="850" w:type="dxa"/>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单价</w:t>
            </w:r>
          </w:p>
        </w:tc>
        <w:tc>
          <w:tcPr>
            <w:tcW w:w="7713" w:type="dxa"/>
            <w:gridSpan w:val="8"/>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政府采购金额（当年部门预算安排资金）</w:t>
            </w:r>
          </w:p>
        </w:tc>
        <w:tc>
          <w:tcPr>
            <w:tcW w:w="964" w:type="dxa"/>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92" w:type="dxa"/>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项目名称</w:t>
            </w:r>
          </w:p>
        </w:tc>
        <w:tc>
          <w:tcPr>
            <w:tcW w:w="1068" w:type="dxa"/>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预算    资金</w:t>
            </w:r>
          </w:p>
        </w:tc>
        <w:tc>
          <w:tcPr>
            <w:tcW w:w="935" w:type="dxa"/>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1134" w:type="dxa"/>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709" w:type="dxa"/>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850" w:type="dxa"/>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850" w:type="dxa"/>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合计</w:t>
            </w:r>
          </w:p>
        </w:tc>
        <w:tc>
          <w:tcPr>
            <w:tcW w:w="964" w:type="dxa"/>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一般公共预算拨款</w:t>
            </w:r>
          </w:p>
        </w:tc>
        <w:tc>
          <w:tcPr>
            <w:tcW w:w="964" w:type="dxa"/>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基金预算拨款</w:t>
            </w:r>
          </w:p>
        </w:tc>
        <w:tc>
          <w:tcPr>
            <w:tcW w:w="964" w:type="dxa"/>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国有资本经营预算拨款</w:t>
            </w:r>
          </w:p>
        </w:tc>
        <w:tc>
          <w:tcPr>
            <w:tcW w:w="964" w:type="dxa"/>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财政专户核拨</w:t>
            </w:r>
          </w:p>
        </w:tc>
        <w:tc>
          <w:tcPr>
            <w:tcW w:w="964" w:type="dxa"/>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单位    资金</w:t>
            </w:r>
          </w:p>
        </w:tc>
        <w:tc>
          <w:tcPr>
            <w:tcW w:w="964" w:type="dxa"/>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财政拨    款结转</w:t>
            </w:r>
          </w:p>
        </w:tc>
        <w:tc>
          <w:tcPr>
            <w:tcW w:w="965" w:type="dxa"/>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非财政    拨款结    转结余</w:t>
            </w:r>
          </w:p>
        </w:tc>
        <w:tc>
          <w:tcPr>
            <w:tcW w:w="964" w:type="dxa"/>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2" w:type="dxa"/>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pPr>
            <w:r>
              <w:t>合  计</w:t>
            </w:r>
          </w:p>
        </w:tc>
        <w:tc>
          <w:tcPr>
            <w:tcW w:w="1068"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r>
              <w:t>860.6</w:t>
            </w:r>
          </w:p>
        </w:tc>
        <w:tc>
          <w:tcPr>
            <w:tcW w:w="935" w:type="dxa"/>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1134" w:type="dxa"/>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709" w:type="dxa"/>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pPr>
          </w:p>
        </w:tc>
        <w:tc>
          <w:tcPr>
            <w:tcW w:w="850"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850"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default" w:eastAsia="方正书宋_GBK"/>
                <w:lang w:val="en-US" w:eastAsia="zh-CN"/>
              </w:rPr>
            </w:pPr>
            <w:r>
              <w:rPr>
                <w:rFonts w:hint="eastAsia"/>
                <w:lang w:val="en-US" w:eastAsia="zh-CN"/>
              </w:rPr>
              <w:t>849.19</w:t>
            </w:r>
          </w:p>
        </w:tc>
        <w:tc>
          <w:tcPr>
            <w:tcW w:w="964"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default" w:eastAsia="方正书宋_GBK"/>
                <w:lang w:val="en-US" w:eastAsia="zh-CN"/>
              </w:rPr>
            </w:pPr>
            <w:r>
              <w:rPr>
                <w:rFonts w:hint="eastAsia"/>
                <w:lang w:val="en-US" w:eastAsia="zh-CN"/>
              </w:rPr>
              <w:t>376</w:t>
            </w:r>
          </w:p>
        </w:tc>
        <w:tc>
          <w:tcPr>
            <w:tcW w:w="964"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r>
              <w:t>473.19</w:t>
            </w:r>
          </w:p>
        </w:tc>
        <w:tc>
          <w:tcPr>
            <w:tcW w:w="964"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965"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r>
              <w:t>849.19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192" w:type="dxa"/>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2022年广阳区农村公路日常养护资金</w:t>
            </w:r>
          </w:p>
        </w:tc>
        <w:tc>
          <w:tcPr>
            <w:tcW w:w="1068"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225.56</w:t>
            </w:r>
          </w:p>
        </w:tc>
        <w:tc>
          <w:tcPr>
            <w:tcW w:w="935" w:type="dxa"/>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公路工程施工</w:t>
            </w:r>
          </w:p>
        </w:tc>
        <w:tc>
          <w:tcPr>
            <w:tcW w:w="1134" w:type="dxa"/>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B0202</w:t>
            </w:r>
          </w:p>
        </w:tc>
        <w:tc>
          <w:tcPr>
            <w:tcW w:w="709"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pPr>
            <w:r>
              <w:t>万元</w:t>
            </w:r>
          </w:p>
        </w:tc>
        <w:tc>
          <w:tcPr>
            <w:tcW w:w="850"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1</w:t>
            </w:r>
          </w:p>
        </w:tc>
        <w:tc>
          <w:tcPr>
            <w:tcW w:w="850"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225.56</w:t>
            </w: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225.56</w:t>
            </w: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225.56</w:t>
            </w: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5"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225.56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192" w:type="dxa"/>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2022年广阳区农村公路养护工程资金</w:t>
            </w:r>
          </w:p>
        </w:tc>
        <w:tc>
          <w:tcPr>
            <w:tcW w:w="1068"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247.63</w:t>
            </w:r>
          </w:p>
        </w:tc>
        <w:tc>
          <w:tcPr>
            <w:tcW w:w="935" w:type="dxa"/>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公路工程施工</w:t>
            </w:r>
          </w:p>
        </w:tc>
        <w:tc>
          <w:tcPr>
            <w:tcW w:w="1134" w:type="dxa"/>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B0202</w:t>
            </w:r>
          </w:p>
        </w:tc>
        <w:tc>
          <w:tcPr>
            <w:tcW w:w="709"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pPr>
            <w:r>
              <w:t>万元</w:t>
            </w:r>
          </w:p>
        </w:tc>
        <w:tc>
          <w:tcPr>
            <w:tcW w:w="850"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1</w:t>
            </w:r>
          </w:p>
        </w:tc>
        <w:tc>
          <w:tcPr>
            <w:tcW w:w="850"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247.63</w:t>
            </w: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247.63</w:t>
            </w: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247.63</w:t>
            </w: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5"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247.63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192" w:type="dxa"/>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农村公路养护工程补助资金</w:t>
            </w:r>
          </w:p>
        </w:tc>
        <w:tc>
          <w:tcPr>
            <w:tcW w:w="1068"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100.00</w:t>
            </w:r>
          </w:p>
        </w:tc>
        <w:tc>
          <w:tcPr>
            <w:tcW w:w="935" w:type="dxa"/>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公路工程施工</w:t>
            </w:r>
          </w:p>
        </w:tc>
        <w:tc>
          <w:tcPr>
            <w:tcW w:w="1134" w:type="dxa"/>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B0202</w:t>
            </w:r>
          </w:p>
        </w:tc>
        <w:tc>
          <w:tcPr>
            <w:tcW w:w="709"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pPr>
            <w:r>
              <w:t>万元</w:t>
            </w:r>
          </w:p>
        </w:tc>
        <w:tc>
          <w:tcPr>
            <w:tcW w:w="850"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1</w:t>
            </w:r>
          </w:p>
        </w:tc>
        <w:tc>
          <w:tcPr>
            <w:tcW w:w="850"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100.00</w:t>
            </w: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100.00</w:t>
            </w: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100.00</w:t>
            </w: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5"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192" w:type="dxa"/>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车辆购置税收入补助地方资金</w:t>
            </w:r>
          </w:p>
        </w:tc>
        <w:tc>
          <w:tcPr>
            <w:tcW w:w="1068"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200</w:t>
            </w:r>
          </w:p>
        </w:tc>
        <w:tc>
          <w:tcPr>
            <w:tcW w:w="935" w:type="dxa"/>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公路工程施工</w:t>
            </w:r>
          </w:p>
        </w:tc>
        <w:tc>
          <w:tcPr>
            <w:tcW w:w="1134" w:type="dxa"/>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B0202</w:t>
            </w:r>
          </w:p>
        </w:tc>
        <w:tc>
          <w:tcPr>
            <w:tcW w:w="709"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pPr>
            <w:r>
              <w:t>万元</w:t>
            </w:r>
          </w:p>
        </w:tc>
        <w:tc>
          <w:tcPr>
            <w:tcW w:w="850"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1</w:t>
            </w:r>
          </w:p>
        </w:tc>
        <w:tc>
          <w:tcPr>
            <w:tcW w:w="850"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200.00</w:t>
            </w: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200.00</w:t>
            </w: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200.00</w:t>
            </w: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5"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192" w:type="dxa"/>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农村公路养护工程补助资金</w:t>
            </w:r>
          </w:p>
        </w:tc>
        <w:tc>
          <w:tcPr>
            <w:tcW w:w="1068"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76</w:t>
            </w:r>
          </w:p>
        </w:tc>
        <w:tc>
          <w:tcPr>
            <w:tcW w:w="935" w:type="dxa"/>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公路工程施工</w:t>
            </w:r>
          </w:p>
        </w:tc>
        <w:tc>
          <w:tcPr>
            <w:tcW w:w="1134" w:type="dxa"/>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B0202</w:t>
            </w:r>
          </w:p>
        </w:tc>
        <w:tc>
          <w:tcPr>
            <w:tcW w:w="709"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pPr>
            <w:r>
              <w:t>万元</w:t>
            </w:r>
          </w:p>
        </w:tc>
        <w:tc>
          <w:tcPr>
            <w:tcW w:w="850"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1</w:t>
            </w:r>
          </w:p>
        </w:tc>
        <w:tc>
          <w:tcPr>
            <w:tcW w:w="850"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76.00</w:t>
            </w: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76.00</w:t>
            </w: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76.00</w:t>
            </w: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5"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76.00</w:t>
            </w:r>
          </w:p>
        </w:tc>
      </w:tr>
    </w:tbl>
    <w:p>
      <w:pPr>
        <w:outlineLvl w:val="1"/>
      </w:pPr>
    </w:p>
    <w:p>
      <w:pPr>
        <w:spacing w:line="500" w:lineRule="exact"/>
        <w:ind w:firstLine="420"/>
        <w:rPr>
          <w:rFonts w:ascii="方正仿宋_GBK" w:eastAsia="方正仿宋_GBK" w:cs="方正仿宋_GBK"/>
          <w:color w:val="000000"/>
        </w:rPr>
      </w:pPr>
      <w:r>
        <w:rPr>
          <w:rFonts w:asci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w:t>
      </w:r>
      <w:r>
        <w:rPr>
          <w:rFonts w:ascii="Times New Roman" w:hAnsi="Times New Roman" w:eastAsia="仿宋_GB2312" w:cs="Times New Roman"/>
          <w:sz w:val="32"/>
          <w:szCs w:val="32"/>
        </w:rPr>
        <w:t>交通运输局上年末固定资产金额为35.88万元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11.41</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主要为计算机设备、打印设备、空调等，已列入政府采购预算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24"/>
        <w:gridCol w:w="3155"/>
        <w:gridCol w:w="5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eastAsia="zh-CN"/>
              </w:rPr>
              <w:t>广阳区区</w:t>
            </w:r>
            <w:r>
              <w:rPr>
                <w:rFonts w:ascii="Times New Roman" w:hAnsi="Times New Roman" w:eastAsia="仿宋_GB2312" w:cs="Times New Roman"/>
                <w:b/>
                <w:bCs/>
                <w:kern w:val="0"/>
                <w:sz w:val="32"/>
                <w:szCs w:val="32"/>
              </w:rPr>
              <w:t>直部门固定资产占用情况表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lang w:eastAsia="zh-CN"/>
              </w:rPr>
              <w:t>广阳区</w:t>
            </w:r>
            <w:r>
              <w:rPr>
                <w:rFonts w:ascii="Times New Roman" w:hAnsi="Times New Roman" w:eastAsia="仿宋_GB2312" w:cs="Times New Roman"/>
                <w:kern w:val="0"/>
                <w:sz w:val="22"/>
              </w:rPr>
              <w:t>交通运输局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35.88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25.21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10.67</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40" w:h="11907" w:orient="landscape"/>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Black">
    <w:panose1 w:val="020B0A04020102020204"/>
    <w:charset w:val="00"/>
    <w:family w:val="auto"/>
    <w:pitch w:val="default"/>
    <w:sig w:usb0="00000287" w:usb1="00000000" w:usb2="00000000" w:usb3="00000000" w:csb0="2000009F" w:csb1="DFD7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rsids>
    <w:rsidRoot w:val="00000000"/>
    <w:rsid w:val="1BDA58E9"/>
    <w:rsid w:val="49A45B1D"/>
    <w:rsid w:val="54724B75"/>
    <w:rsid w:val="5D3D64D9"/>
    <w:rsid w:val="7EED41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eastAsia="方正书宋_GBK" w:cs="方正书宋_GBK"/>
      <w:b/>
      <w:kern w:val="0"/>
      <w:szCs w:val="24"/>
      <w:lang w:eastAsia="uk-UA"/>
    </w:rPr>
  </w:style>
  <w:style w:type="paragraph" w:customStyle="1" w:styleId="19">
    <w:name w:val="插入文本样式-插入总体目标文件"/>
    <w:next w:val="5"/>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0">
    <w:name w:val="插入文本样式-插入职责分类绩效目标文件"/>
    <w:next w:val="6"/>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1">
    <w:name w:val="插入文本样式-插入实现年度发展规划目标的保障措施文件"/>
    <w:next w:val="7"/>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29</Pages>
  <Words>11161</Words>
  <Characters>12413</Characters>
  <Lines>1921</Lines>
  <Paragraphs>1261</Paragraphs>
  <TotalTime>1</TotalTime>
  <ScaleCrop>false</ScaleCrop>
  <LinksUpToDate>false</LinksUpToDate>
  <CharactersWithSpaces>12630</CharactersWithSpaces>
  <Application>WPS Office_11.1.0.11339_F1E327BC-269C-435d-A152-05C5408002CA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2022-07-06T10:08:25Z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0D9F7348F3134865B254BEBC063ABA43</vt:lpwstr>
  </property>
</Properties>
</file>