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hint="eastAsia" w:ascii="Times New Roman" w:hAnsi="Times New Roman" w:eastAsia="仿宋_GB2312" w:cs="Times New Roman"/>
          <w:sz w:val="44"/>
          <w:szCs w:val="44"/>
        </w:rPr>
      </w:pPr>
      <w:bookmarkStart w:id="5" w:name="_GoBack"/>
      <w:bookmarkEnd w:id="5"/>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廊坊市</w:t>
      </w:r>
      <w:r>
        <w:rPr>
          <w:rFonts w:hint="eastAsia" w:ascii="Times New Roman" w:hAnsi="Times New Roman" w:eastAsia="方正小标宋简体" w:cs="Times New Roman"/>
          <w:sz w:val="44"/>
          <w:szCs w:val="44"/>
        </w:rPr>
        <w:t>广阳区北旺镇东户屯中心小学</w:t>
      </w:r>
      <w:r>
        <w:rPr>
          <w:rFonts w:ascii="Times New Roman" w:hAnsi="Times New Roman" w:eastAsia="方正小标宋简体" w:cs="Times New Roman"/>
          <w:sz w:val="44"/>
          <w:szCs w:val="44"/>
        </w:rPr>
        <w:t>20</w:t>
      </w:r>
      <w:r>
        <w:rPr>
          <w:rFonts w:hint="eastAsia" w:ascii="Times New Roman" w:hAnsi="Times New Roman" w:eastAsia="方正小标宋简体" w:cs="Times New Roman"/>
          <w:sz w:val="44"/>
          <w:szCs w:val="44"/>
        </w:rPr>
        <w:t>2</w:t>
      </w:r>
      <w:r>
        <w:rPr>
          <w:rFonts w:ascii="Times New Roman" w:hAnsi="Times New Roman" w:eastAsia="方正小标宋简体" w:cs="Times New Roman"/>
          <w:sz w:val="44"/>
          <w:szCs w:val="44"/>
        </w:rPr>
        <w:t>2年部门预算信息公开</w:t>
      </w:r>
      <w:r>
        <w:rPr>
          <w:rFonts w:hint="eastAsia" w:ascii="Times New Roman" w:hAnsi="Times New Roman" w:eastAsia="方正小标宋简体" w:cs="Times New Roman"/>
          <w:sz w:val="44"/>
          <w:szCs w:val="44"/>
        </w:rPr>
        <w:t>情况说明</w:t>
      </w: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60"/>
        <w:rPr>
          <w:rFonts w:ascii="Times New Roman" w:hAnsi="Times New Roman" w:eastAsia="仿宋_GB2312" w:cs="Times New Roman"/>
          <w:sz w:val="32"/>
          <w:szCs w:val="32"/>
        </w:rPr>
      </w:pPr>
      <w:r>
        <w:rPr>
          <w:rFonts w:ascii="Times New Roman" w:hAnsi="Times New Roman" w:eastAsia="仿宋_GB2312" w:cs="Times New Roman"/>
          <w:sz w:val="32"/>
          <w:szCs w:val="32"/>
        </w:rPr>
        <w:t>按照《中华人民共和国预算法》、《中华人民共和国预算法实施条例》、《地方预决算公开操作规程》和《河北省省级预算公开办法》规定，现将廊坊市</w:t>
      </w:r>
      <w:r>
        <w:rPr>
          <w:rFonts w:hint="eastAsia" w:ascii="Times New Roman" w:hAnsi="Times New Roman" w:eastAsia="仿宋_GB2312" w:cs="Times New Roman"/>
          <w:sz w:val="32"/>
          <w:szCs w:val="32"/>
        </w:rPr>
        <w:t>广阳区北旺镇东户屯中心小学</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2年部门预算公开如下：</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一、部门职责及机构设置情况</w:t>
      </w:r>
    </w:p>
    <w:p>
      <w:pPr>
        <w:spacing w:line="584" w:lineRule="exact"/>
        <w:ind w:firstLine="643" w:firstLineChars="200"/>
        <w:rPr>
          <w:rFonts w:ascii="Times New Roman" w:hAnsi="Times New Roman" w:eastAsia="仿宋_GB2312" w:cs="Times New Roman"/>
          <w:sz w:val="32"/>
          <w:szCs w:val="32"/>
        </w:rPr>
      </w:pPr>
      <w:r>
        <w:rPr>
          <w:rFonts w:ascii="Times New Roman" w:hAnsi="Times New Roman" w:eastAsia="楷体_GB2312" w:cs="Times New Roman"/>
          <w:b/>
          <w:sz w:val="32"/>
          <w:szCs w:val="32"/>
        </w:rPr>
        <w:t>部门职责：</w:t>
      </w:r>
      <w:r>
        <w:rPr>
          <w:rFonts w:ascii="Times New Roman" w:hAnsi="Times New Roman" w:eastAsia="仿宋_GB2312" w:cs="Times New Roman"/>
          <w:sz w:val="32"/>
          <w:szCs w:val="32"/>
        </w:rPr>
        <w:t>廊坊市</w:t>
      </w:r>
      <w:r>
        <w:rPr>
          <w:rFonts w:hint="eastAsia" w:ascii="Times New Roman" w:hAnsi="Times New Roman" w:eastAsia="仿宋_GB2312" w:cs="Times New Roman"/>
          <w:sz w:val="32"/>
          <w:szCs w:val="32"/>
        </w:rPr>
        <w:t>广阳区北旺镇东户屯中心小学实施小学义务教育，促进基础教育发展，完成小学学历教育。</w:t>
      </w: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ascii="Times New Roman" w:hAnsi="Times New Roman" w:eastAsia="仿宋_GB2312" w:cs="Times New Roman"/>
          <w:b/>
          <w:sz w:val="32"/>
          <w:szCs w:val="24"/>
        </w:rPr>
        <w:t>部门机构设置情况</w:t>
      </w:r>
    </w:p>
    <w:tbl>
      <w:tblPr>
        <w:tblStyle w:val="10"/>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restart"/>
            <w:noWrap w:val="0"/>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单位名称</w:t>
            </w:r>
          </w:p>
        </w:tc>
        <w:tc>
          <w:tcPr>
            <w:tcW w:w="1134" w:type="dxa"/>
            <w:vMerge w:val="restart"/>
            <w:noWrap w:val="0"/>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单位性质</w:t>
            </w:r>
          </w:p>
        </w:tc>
        <w:tc>
          <w:tcPr>
            <w:tcW w:w="1276" w:type="dxa"/>
            <w:vMerge w:val="restart"/>
            <w:noWrap w:val="0"/>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单位规格</w:t>
            </w:r>
          </w:p>
        </w:tc>
        <w:tc>
          <w:tcPr>
            <w:tcW w:w="2902" w:type="dxa"/>
            <w:vMerge w:val="restart"/>
            <w:noWrap w:val="0"/>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tblHeader/>
          <w:jc w:val="center"/>
        </w:trPr>
        <w:tc>
          <w:tcPr>
            <w:tcW w:w="4443" w:type="dxa"/>
            <w:vMerge w:val="continue"/>
            <w:noWrap w:val="0"/>
            <w:vAlign w:val="center"/>
          </w:tcPr>
          <w:p/>
        </w:tc>
        <w:tc>
          <w:tcPr>
            <w:tcW w:w="1134" w:type="dxa"/>
            <w:vMerge w:val="continue"/>
            <w:noWrap w:val="0"/>
            <w:vAlign w:val="center"/>
          </w:tcPr>
          <w:p/>
        </w:tc>
        <w:tc>
          <w:tcPr>
            <w:tcW w:w="1276" w:type="dxa"/>
            <w:vMerge w:val="continue"/>
            <w:noWrap w:val="0"/>
            <w:vAlign w:val="center"/>
          </w:tcPr>
          <w:p/>
        </w:tc>
        <w:tc>
          <w:tcPr>
            <w:tcW w:w="2902" w:type="dxa"/>
            <w:vMerge w:val="continue"/>
            <w:noWrap w:val="0"/>
            <w:vAlign w:val="center"/>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noWrap w:val="0"/>
            <w:vAlign w:val="center"/>
          </w:tcPr>
          <w:p>
            <w:pPr>
              <w:spacing w:line="584" w:lineRule="exact"/>
              <w:rPr>
                <w:rFonts w:ascii="Times New Roman" w:hAnsi="Times New Roman" w:eastAsia="方正小标宋简体" w:cs="Times New Roman"/>
                <w:sz w:val="32"/>
                <w:szCs w:val="32"/>
              </w:rPr>
            </w:pPr>
            <w:r>
              <w:rPr>
                <w:rFonts w:ascii="Times New Roman" w:hAnsi="Times New Roman" w:eastAsia="仿宋_GB2312" w:cs="Times New Roman"/>
                <w:b/>
                <w:szCs w:val="24"/>
              </w:rPr>
              <w:t>廊坊市</w:t>
            </w:r>
            <w:r>
              <w:rPr>
                <w:rFonts w:hint="eastAsia" w:ascii="Times New Roman" w:hAnsi="Times New Roman" w:eastAsia="仿宋_GB2312" w:cs="Times New Roman"/>
                <w:b/>
                <w:szCs w:val="24"/>
              </w:rPr>
              <w:t>广阳区北旺镇东户屯中心小学</w:t>
            </w:r>
          </w:p>
        </w:tc>
        <w:tc>
          <w:tcPr>
            <w:tcW w:w="1134" w:type="dxa"/>
            <w:noWrap w:val="0"/>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rPr>
              <w:t>事业</w:t>
            </w:r>
          </w:p>
        </w:tc>
        <w:tc>
          <w:tcPr>
            <w:tcW w:w="1276" w:type="dxa"/>
            <w:noWrap w:val="0"/>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rPr>
              <w:t>正科级</w:t>
            </w:r>
          </w:p>
        </w:tc>
        <w:tc>
          <w:tcPr>
            <w:tcW w:w="2902" w:type="dxa"/>
            <w:noWrap w:val="0"/>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财政性资金基本保证</w:t>
            </w:r>
          </w:p>
        </w:tc>
      </w:tr>
    </w:tbl>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二、部门预算安排的总体情况</w:t>
      </w:r>
    </w:p>
    <w:p>
      <w:pPr>
        <w:spacing w:line="584" w:lineRule="exact"/>
        <w:ind w:firstLine="66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按照预算管理有关规定，目前我</w:t>
      </w:r>
      <w:r>
        <w:rPr>
          <w:rFonts w:hint="eastAsia" w:ascii="Times New Roman" w:hAnsi="Times New Roman" w:eastAsia="仿宋_GB2312" w:cs="Times New Roman"/>
          <w:sz w:val="32"/>
          <w:szCs w:val="32"/>
        </w:rPr>
        <w:t>区</w:t>
      </w:r>
      <w:r>
        <w:rPr>
          <w:rFonts w:ascii="Times New Roman" w:hAnsi="Times New Roman" w:eastAsia="仿宋_GB2312" w:cs="Times New Roman"/>
          <w:sz w:val="32"/>
          <w:szCs w:val="32"/>
        </w:rPr>
        <w:t>部门预算的编制实行综合预算制度，即全部收入和支出都反映在预算中。廊坊市</w:t>
      </w:r>
      <w:r>
        <w:rPr>
          <w:rFonts w:hint="eastAsia" w:ascii="Times New Roman" w:hAnsi="Times New Roman" w:eastAsia="仿宋_GB2312" w:cs="Times New Roman"/>
          <w:sz w:val="32"/>
          <w:szCs w:val="32"/>
        </w:rPr>
        <w:t>广阳区北旺镇东户屯中心小学</w:t>
      </w:r>
      <w:r>
        <w:rPr>
          <w:rFonts w:ascii="Times New Roman" w:hAnsi="Times New Roman" w:eastAsia="仿宋_GB2312" w:cs="Times New Roman"/>
          <w:sz w:val="32"/>
          <w:szCs w:val="32"/>
        </w:rPr>
        <w:t>的收支包含在部门预算中。</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反映本部门当年全部收入。20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2年预算收入</w:t>
      </w:r>
      <w:r>
        <w:rPr>
          <w:rFonts w:hint="eastAsia" w:ascii="Times New Roman" w:hAnsi="Times New Roman" w:eastAsia="仿宋_GB2312" w:cs="Times New Roman"/>
          <w:sz w:val="32"/>
          <w:szCs w:val="32"/>
        </w:rPr>
        <w:t>13.35</w:t>
      </w:r>
      <w:r>
        <w:rPr>
          <w:rFonts w:ascii="Times New Roman" w:hAnsi="Times New Roman" w:eastAsia="仿宋_GB2312" w:cs="Times New Roman"/>
          <w:sz w:val="32"/>
          <w:szCs w:val="32"/>
        </w:rPr>
        <w:t>万元，其中：一般公共预算收入</w:t>
      </w:r>
      <w:r>
        <w:rPr>
          <w:rFonts w:hint="eastAsia" w:ascii="Times New Roman" w:hAnsi="Times New Roman" w:eastAsia="仿宋_GB2312" w:cs="Times New Roman"/>
          <w:sz w:val="32"/>
          <w:szCs w:val="32"/>
        </w:rPr>
        <w:t>13.35</w:t>
      </w:r>
      <w:r>
        <w:rPr>
          <w:rFonts w:ascii="Times New Roman" w:hAnsi="Times New Roman" w:eastAsia="仿宋_GB2312" w:cs="Times New Roman"/>
          <w:sz w:val="32"/>
          <w:szCs w:val="32"/>
        </w:rPr>
        <w:t>万元，基金预算收入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万元，财政专户核拨收入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万元，其他来源收入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上年结转</w:t>
      </w:r>
      <w:r>
        <w:rPr>
          <w:rFonts w:hint="eastAsia" w:ascii="Times New Roman" w:hAnsi="Times New Roman" w:eastAsia="仿宋_GB2312" w:cs="Times New Roman"/>
          <w:sz w:val="32"/>
          <w:szCs w:val="32"/>
        </w:rPr>
        <w:t>0万元</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spacing w:line="584" w:lineRule="exact"/>
        <w:ind w:firstLine="660"/>
        <w:rPr>
          <w:rFonts w:ascii="Times New Roman" w:hAnsi="Times New Roman" w:eastAsia="仿宋_GB2312" w:cs="Times New Roman"/>
          <w:sz w:val="32"/>
          <w:szCs w:val="32"/>
        </w:rPr>
      </w:pPr>
      <w:r>
        <w:rPr>
          <w:rFonts w:ascii="Times New Roman" w:hAnsi="Times New Roman" w:eastAsia="仿宋_GB2312" w:cs="Times New Roman"/>
          <w:sz w:val="32"/>
          <w:szCs w:val="32"/>
        </w:rPr>
        <w:t>收支预算总表支出栏、基本支出表、项目支出表按经济分类和支出功能分类科目编制，反映廊坊市</w:t>
      </w:r>
      <w:r>
        <w:rPr>
          <w:rFonts w:hint="eastAsia" w:ascii="Times New Roman" w:hAnsi="Times New Roman" w:eastAsia="仿宋_GB2312" w:cs="Times New Roman"/>
          <w:sz w:val="32"/>
          <w:szCs w:val="32"/>
        </w:rPr>
        <w:t>广阳区北旺镇东户屯中心小学2022</w:t>
      </w:r>
      <w:r>
        <w:rPr>
          <w:rFonts w:ascii="Times New Roman" w:hAnsi="Times New Roman" w:eastAsia="仿宋_GB2312" w:cs="Times New Roman"/>
          <w:sz w:val="32"/>
          <w:szCs w:val="32"/>
        </w:rPr>
        <w:t>年度部门预算中支出预算的总体情况。20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2年支出预算</w:t>
      </w:r>
      <w:r>
        <w:rPr>
          <w:rFonts w:hint="eastAsia" w:ascii="Times New Roman" w:hAnsi="Times New Roman" w:eastAsia="仿宋_GB2312" w:cs="Times New Roman"/>
          <w:sz w:val="32"/>
          <w:szCs w:val="32"/>
        </w:rPr>
        <w:t>13.35</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万元，包括人员类项目经费</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万元和</w:t>
      </w:r>
      <w:r>
        <w:rPr>
          <w:rFonts w:hint="eastAsia" w:ascii="Times New Roman" w:hAnsi="Times New Roman" w:eastAsia="仿宋_GB2312" w:cs="Times New Roman"/>
          <w:sz w:val="32"/>
          <w:szCs w:val="32"/>
        </w:rPr>
        <w:t>运转类</w:t>
      </w:r>
      <w:r>
        <w:rPr>
          <w:rFonts w:ascii="Times New Roman" w:hAnsi="Times New Roman" w:eastAsia="仿宋_GB2312" w:cs="Times New Roman"/>
          <w:sz w:val="32"/>
          <w:szCs w:val="32"/>
        </w:rPr>
        <w:t>公用项目经费</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万元；运转类其他及特定目标类项目支出</w:t>
      </w:r>
      <w:r>
        <w:rPr>
          <w:rFonts w:hint="eastAsia" w:ascii="Times New Roman" w:hAnsi="Times New Roman" w:eastAsia="仿宋_GB2312" w:cs="Times New Roman"/>
          <w:sz w:val="32"/>
          <w:szCs w:val="32"/>
        </w:rPr>
        <w:t>13.35</w:t>
      </w:r>
      <w:r>
        <w:rPr>
          <w:rFonts w:ascii="Times New Roman" w:hAnsi="Times New Roman" w:eastAsia="仿宋_GB2312" w:cs="Times New Roman"/>
          <w:sz w:val="32"/>
          <w:szCs w:val="32"/>
        </w:rPr>
        <w:t>万元。</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3、比上年增减情况</w:t>
      </w:r>
    </w:p>
    <w:p>
      <w:pPr>
        <w:spacing w:line="584" w:lineRule="exact"/>
        <w:ind w:firstLine="660"/>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2年预算收支安排</w:t>
      </w:r>
      <w:r>
        <w:rPr>
          <w:rFonts w:hint="eastAsia" w:ascii="Times New Roman" w:hAnsi="Times New Roman" w:eastAsia="仿宋_GB2312" w:cs="Times New Roman"/>
          <w:sz w:val="32"/>
          <w:szCs w:val="32"/>
        </w:rPr>
        <w:t>13.35</w:t>
      </w:r>
      <w:r>
        <w:rPr>
          <w:rFonts w:ascii="Times New Roman" w:hAnsi="Times New Roman" w:eastAsia="仿宋_GB2312" w:cs="Times New Roman"/>
          <w:sz w:val="32"/>
          <w:szCs w:val="32"/>
        </w:rPr>
        <w:t>万元，较20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1年预算增加</w:t>
      </w:r>
      <w:r>
        <w:rPr>
          <w:rFonts w:hint="eastAsia" w:ascii="Times New Roman" w:hAnsi="Times New Roman" w:eastAsia="仿宋_GB2312" w:cs="Times New Roman"/>
          <w:sz w:val="32"/>
          <w:szCs w:val="32"/>
        </w:rPr>
        <w:t>13.35</w:t>
      </w:r>
      <w:r>
        <w:rPr>
          <w:rFonts w:ascii="Times New Roman" w:hAnsi="Times New Roman" w:eastAsia="仿宋_GB2312" w:cs="Times New Roman"/>
          <w:sz w:val="32"/>
          <w:szCs w:val="32"/>
        </w:rPr>
        <w:t>万元，其中：项目支出增加</w:t>
      </w:r>
      <w:r>
        <w:rPr>
          <w:rFonts w:hint="eastAsia" w:ascii="Times New Roman" w:hAnsi="Times New Roman" w:eastAsia="仿宋_GB2312" w:cs="Times New Roman"/>
          <w:sz w:val="32"/>
          <w:szCs w:val="32"/>
        </w:rPr>
        <w:t>13.35</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rPr>
        <w:t>2022年比2021年增加了城乡义务教育生均公用经费、教育经费2个项目</w:t>
      </w:r>
      <w:r>
        <w:rPr>
          <w:rFonts w:ascii="Times New Roman" w:hAnsi="Times New Roman" w:eastAsia="仿宋_GB2312" w:cs="Times New Roman"/>
          <w:sz w:val="32"/>
          <w:szCs w:val="32"/>
        </w:rPr>
        <w:t>。</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三、机关运行经费安排情况</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2年，我</w:t>
      </w:r>
      <w:r>
        <w:rPr>
          <w:rFonts w:hint="eastAsia" w:ascii="Times New Roman" w:hAnsi="Times New Roman" w:eastAsia="仿宋_GB2312" w:cs="Times New Roman"/>
          <w:sz w:val="32"/>
          <w:szCs w:val="32"/>
        </w:rPr>
        <w:t>校</w:t>
      </w:r>
      <w:r>
        <w:rPr>
          <w:rFonts w:ascii="Times New Roman" w:hAnsi="Times New Roman" w:eastAsia="仿宋_GB2312" w:cs="Times New Roman"/>
          <w:sz w:val="32"/>
          <w:szCs w:val="32"/>
        </w:rPr>
        <w:t>运行经费共计安排</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四、财政拨款“三公”经费预算情况及增减变化原因</w:t>
      </w:r>
    </w:p>
    <w:p>
      <w:pPr>
        <w:autoSpaceDE w:val="0"/>
        <w:autoSpaceDN w:val="0"/>
        <w:adjustRightInd w:val="0"/>
        <w:spacing w:line="584"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2年，我</w:t>
      </w:r>
      <w:r>
        <w:rPr>
          <w:rFonts w:hint="eastAsia" w:ascii="Times New Roman" w:hAnsi="Times New Roman" w:eastAsia="仿宋_GB2312" w:cs="Times New Roman"/>
          <w:sz w:val="32"/>
          <w:szCs w:val="32"/>
        </w:rPr>
        <w:t>校</w:t>
      </w:r>
      <w:r>
        <w:rPr>
          <w:rFonts w:ascii="Times New Roman" w:hAnsi="Times New Roman" w:eastAsia="仿宋_GB2312" w:cs="Times New Roman"/>
          <w:sz w:val="32"/>
          <w:szCs w:val="32"/>
        </w:rPr>
        <w:t>财政拨款“三公”经费预算安排</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其中</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因公出国（境）费</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万元；公务用车购置及运维费</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万元（其中：公务用车购置费为</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万元，公务用车运维费</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万元)；公务接待费</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万元。与20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1年</w:t>
      </w:r>
      <w:r>
        <w:rPr>
          <w:rFonts w:hint="eastAsia" w:ascii="Times New Roman" w:hAnsi="Times New Roman" w:eastAsia="仿宋_GB2312" w:cs="Times New Roman"/>
          <w:sz w:val="32"/>
          <w:szCs w:val="32"/>
        </w:rPr>
        <w:t>相比</w:t>
      </w:r>
      <w:r>
        <w:rPr>
          <w:rFonts w:ascii="Times New Roman" w:hAnsi="Times New Roman" w:eastAsia="仿宋_GB2312" w:cs="Times New Roman"/>
          <w:sz w:val="32"/>
          <w:szCs w:val="32"/>
        </w:rPr>
        <w:t>持平</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无增减变化。</w:t>
      </w:r>
    </w:p>
    <w:p>
      <w:pPr>
        <w:keepNext w:val="0"/>
        <w:keepLines w:val="0"/>
        <w:pageBreakBefore w:val="0"/>
        <w:kinsoku/>
        <w:wordWrap/>
        <w:overflowPunct/>
        <w:topLinePunct w:val="0"/>
        <w:autoSpaceDE/>
        <w:autoSpaceDN/>
        <w:bidi w:val="0"/>
        <w:adjustRightInd/>
        <w:snapToGrid/>
        <w:spacing w:line="584" w:lineRule="exact"/>
        <w:ind w:firstLine="640" w:firstLineChars="200"/>
        <w:textAlignment w:val="auto"/>
        <w:rPr>
          <w:rFonts w:hint="eastAsia" w:ascii="仿宋_GB2312" w:eastAsia="仿宋_GB2312" w:cs="Times New Roman"/>
          <w:sz w:val="32"/>
          <w:szCs w:val="32"/>
        </w:rPr>
      </w:pPr>
      <w:r>
        <w:rPr>
          <w:rFonts w:ascii="Times New Roman" w:hAnsi="Times New Roman" w:eastAsia="黑体" w:cs="Times New Roman"/>
          <w:sz w:val="32"/>
          <w:szCs w:val="32"/>
        </w:rPr>
        <w:t>五、预算绩效信息</w:t>
      </w:r>
    </w:p>
    <w:p>
      <w:pPr>
        <w:keepNext w:val="0"/>
        <w:keepLines w:val="0"/>
        <w:pageBreakBefore w:val="0"/>
        <w:kinsoku/>
        <w:wordWrap/>
        <w:overflowPunct/>
        <w:topLinePunct w:val="0"/>
        <w:autoSpaceDE/>
        <w:autoSpaceDN/>
        <w:bidi w:val="0"/>
        <w:adjustRightInd/>
        <w:snapToGrid/>
        <w:spacing w:line="584" w:lineRule="exact"/>
        <w:ind w:firstLine="640" w:firstLineChars="200"/>
        <w:textAlignment w:val="auto"/>
        <w:rPr>
          <w:rFonts w:ascii="Times New Roman" w:hAnsi="Times New Roman" w:eastAsia="黑体" w:cs="Times New Roman"/>
          <w:sz w:val="32"/>
          <w:szCs w:val="32"/>
        </w:rPr>
      </w:pPr>
      <w:r>
        <w:rPr>
          <w:rFonts w:hint="eastAsia" w:ascii="Times New Roman" w:hAnsi="Times New Roman" w:eastAsia="黑体" w:cs="Times New Roman"/>
          <w:sz w:val="32"/>
          <w:szCs w:val="32"/>
        </w:rPr>
        <w:t>第一部分 部门整体绩效目标</w:t>
      </w:r>
    </w:p>
    <w:p>
      <w:pPr>
        <w:keepNext w:val="0"/>
        <w:keepLines w:val="0"/>
        <w:pageBreakBefore w:val="0"/>
        <w:kinsoku/>
        <w:wordWrap/>
        <w:overflowPunct/>
        <w:topLinePunct w:val="0"/>
        <w:autoSpaceDE/>
        <w:autoSpaceDN/>
        <w:bidi w:val="0"/>
        <w:adjustRightInd/>
        <w:snapToGrid/>
        <w:spacing w:line="584" w:lineRule="exact"/>
        <w:ind w:firstLine="643" w:firstLineChars="200"/>
        <w:textAlignment w:val="auto"/>
        <w:rPr>
          <w:rFonts w:ascii="楷体_GB2312" w:eastAsia="楷体_GB2312" w:cs="Times New Roman"/>
          <w:b/>
          <w:sz w:val="32"/>
          <w:szCs w:val="32"/>
        </w:rPr>
      </w:pPr>
      <w:r>
        <w:rPr>
          <w:rFonts w:hint="eastAsia" w:ascii="楷体_GB2312" w:eastAsia="楷体_GB2312" w:cs="Times New Roman"/>
          <w:b/>
          <w:sz w:val="32"/>
          <w:szCs w:val="32"/>
        </w:rPr>
        <w:t>（一）总体绩效目标</w:t>
      </w:r>
    </w:p>
    <w:p>
      <w:pPr>
        <w:pStyle w:val="15"/>
        <w:keepNext w:val="0"/>
        <w:keepLines w:val="0"/>
        <w:pageBreakBefore w:val="0"/>
        <w:kinsoku/>
        <w:wordWrap/>
        <w:overflowPunct/>
        <w:topLinePunct w:val="0"/>
        <w:autoSpaceDE/>
        <w:autoSpaceDN/>
        <w:bidi w:val="0"/>
        <w:adjustRightInd/>
        <w:snapToGrid/>
        <w:spacing w:line="584" w:lineRule="exact"/>
        <w:textAlignment w:val="auto"/>
        <w:rPr>
          <w:rFonts w:eastAsia="仿宋_GB2312"/>
          <w:kern w:val="2"/>
          <w:sz w:val="32"/>
          <w:szCs w:val="32"/>
          <w:lang w:eastAsia="zh-CN"/>
        </w:rPr>
      </w:pPr>
      <w:r>
        <w:rPr>
          <w:rFonts w:eastAsia="仿宋_GB2312"/>
          <w:kern w:val="2"/>
          <w:sz w:val="32"/>
          <w:szCs w:val="32"/>
          <w:lang w:eastAsia="zh-CN"/>
        </w:rPr>
        <w:t>推进义务教育均衡发展，建立中小学校舍安全保障机制，改善薄弱学校办学条件，提高素质教育水平，开展丰富多彩的教学活动。促进公共教育资源向农村和经济欠发达地区倾斜。</w:t>
      </w:r>
    </w:p>
    <w:p>
      <w:pPr>
        <w:pStyle w:val="15"/>
        <w:keepNext w:val="0"/>
        <w:keepLines w:val="0"/>
        <w:pageBreakBefore w:val="0"/>
        <w:kinsoku/>
        <w:wordWrap/>
        <w:overflowPunct/>
        <w:topLinePunct w:val="0"/>
        <w:autoSpaceDE/>
        <w:autoSpaceDN/>
        <w:bidi w:val="0"/>
        <w:adjustRightInd/>
        <w:snapToGrid/>
        <w:spacing w:line="584" w:lineRule="exact"/>
        <w:textAlignment w:val="auto"/>
        <w:rPr>
          <w:rFonts w:eastAsia="仿宋_GB2312"/>
          <w:kern w:val="2"/>
          <w:sz w:val="32"/>
          <w:szCs w:val="32"/>
          <w:lang w:eastAsia="zh-CN"/>
        </w:rPr>
      </w:pPr>
      <w:r>
        <w:rPr>
          <w:rFonts w:eastAsia="仿宋_GB2312"/>
          <w:kern w:val="2"/>
          <w:sz w:val="32"/>
          <w:szCs w:val="32"/>
          <w:lang w:eastAsia="zh-CN"/>
        </w:rPr>
        <w:t>提高义务教育公用经费保障水平，改善办学条件，均衡配置基础教育资源，缩小城乡、区域、校际之间办学差距，推进标准化学校建设，实施数字化校园建设，加强学校文化建设，落实学生资助政策。</w:t>
      </w:r>
    </w:p>
    <w:p>
      <w:pPr>
        <w:keepNext w:val="0"/>
        <w:keepLines w:val="0"/>
        <w:pageBreakBefore w:val="0"/>
        <w:kinsoku/>
        <w:wordWrap/>
        <w:overflowPunct/>
        <w:topLinePunct w:val="0"/>
        <w:autoSpaceDE/>
        <w:autoSpaceDN/>
        <w:bidi w:val="0"/>
        <w:adjustRightInd/>
        <w:snapToGrid/>
        <w:spacing w:line="584" w:lineRule="exact"/>
        <w:ind w:firstLine="643" w:firstLineChars="200"/>
        <w:textAlignment w:val="auto"/>
        <w:rPr>
          <w:rFonts w:ascii="楷体_GB2312" w:eastAsia="楷体_GB2312" w:cs="Times New Roman"/>
          <w:b/>
          <w:sz w:val="32"/>
          <w:szCs w:val="32"/>
        </w:rPr>
      </w:pPr>
      <w:r>
        <w:rPr>
          <w:rFonts w:hint="eastAsia" w:ascii="楷体_GB2312" w:eastAsia="楷体_GB2312" w:cs="Times New Roman"/>
          <w:b/>
          <w:sz w:val="32"/>
          <w:szCs w:val="32"/>
        </w:rPr>
        <w:t>（二）分项绩效目标</w:t>
      </w:r>
    </w:p>
    <w:p>
      <w:pPr>
        <w:pStyle w:val="15"/>
        <w:keepNext w:val="0"/>
        <w:keepLines w:val="0"/>
        <w:pageBreakBefore w:val="0"/>
        <w:kinsoku/>
        <w:wordWrap/>
        <w:overflowPunct/>
        <w:topLinePunct w:val="0"/>
        <w:autoSpaceDE/>
        <w:autoSpaceDN/>
        <w:bidi w:val="0"/>
        <w:adjustRightInd/>
        <w:snapToGrid/>
        <w:spacing w:line="584" w:lineRule="exact"/>
        <w:textAlignment w:val="auto"/>
        <w:rPr>
          <w:rFonts w:eastAsia="仿宋_GB2312"/>
          <w:kern w:val="2"/>
          <w:sz w:val="32"/>
          <w:szCs w:val="32"/>
          <w:lang w:eastAsia="zh-CN"/>
        </w:rPr>
      </w:pPr>
      <w:r>
        <w:rPr>
          <w:rFonts w:hint="eastAsia" w:eastAsia="仿宋_GB2312"/>
          <w:kern w:val="2"/>
          <w:sz w:val="32"/>
          <w:szCs w:val="32"/>
          <w:lang w:eastAsia="zh-CN"/>
        </w:rPr>
        <w:t>1</w:t>
      </w:r>
      <w:r>
        <w:rPr>
          <w:rFonts w:eastAsia="仿宋_GB2312"/>
          <w:kern w:val="2"/>
          <w:sz w:val="32"/>
          <w:szCs w:val="32"/>
          <w:lang w:eastAsia="zh-CN"/>
        </w:rPr>
        <w:t xml:space="preserve">、发展农村义务教育  </w:t>
      </w:r>
    </w:p>
    <w:p>
      <w:pPr>
        <w:pStyle w:val="15"/>
        <w:keepNext w:val="0"/>
        <w:keepLines w:val="0"/>
        <w:pageBreakBefore w:val="0"/>
        <w:kinsoku/>
        <w:wordWrap/>
        <w:overflowPunct/>
        <w:topLinePunct w:val="0"/>
        <w:autoSpaceDE/>
        <w:autoSpaceDN/>
        <w:bidi w:val="0"/>
        <w:adjustRightInd/>
        <w:snapToGrid/>
        <w:spacing w:line="584" w:lineRule="exact"/>
        <w:textAlignment w:val="auto"/>
        <w:rPr>
          <w:rFonts w:eastAsia="仿宋_GB2312"/>
          <w:kern w:val="2"/>
          <w:sz w:val="32"/>
          <w:szCs w:val="32"/>
          <w:lang w:eastAsia="zh-CN"/>
        </w:rPr>
      </w:pPr>
      <w:r>
        <w:rPr>
          <w:rFonts w:eastAsia="仿宋_GB2312"/>
          <w:kern w:val="2"/>
          <w:sz w:val="32"/>
          <w:szCs w:val="32"/>
          <w:lang w:eastAsia="zh-CN"/>
        </w:rPr>
        <w:t>免除农村中小学生学杂费，提高公用经费保障水平，为贫困中小学生免费提供教科书，改善农村中小学办学条件。保障中小学公用经费水平逐年提高。保障小学入学率。</w:t>
      </w:r>
    </w:p>
    <w:p>
      <w:pPr>
        <w:pStyle w:val="15"/>
        <w:keepNext w:val="0"/>
        <w:keepLines w:val="0"/>
        <w:pageBreakBefore w:val="0"/>
        <w:kinsoku/>
        <w:wordWrap/>
        <w:overflowPunct/>
        <w:topLinePunct w:val="0"/>
        <w:autoSpaceDE/>
        <w:autoSpaceDN/>
        <w:bidi w:val="0"/>
        <w:adjustRightInd/>
        <w:snapToGrid/>
        <w:spacing w:line="584" w:lineRule="exact"/>
        <w:textAlignment w:val="auto"/>
        <w:rPr>
          <w:rFonts w:eastAsia="仿宋_GB2312"/>
          <w:kern w:val="2"/>
          <w:sz w:val="32"/>
          <w:szCs w:val="32"/>
          <w:lang w:eastAsia="zh-CN"/>
        </w:rPr>
      </w:pPr>
      <w:r>
        <w:rPr>
          <w:rFonts w:hint="eastAsia" w:eastAsia="仿宋_GB2312"/>
          <w:kern w:val="2"/>
          <w:sz w:val="32"/>
          <w:szCs w:val="32"/>
          <w:lang w:eastAsia="zh-CN"/>
        </w:rPr>
        <w:t>2</w:t>
      </w:r>
      <w:r>
        <w:rPr>
          <w:rFonts w:eastAsia="仿宋_GB2312"/>
          <w:kern w:val="2"/>
          <w:sz w:val="32"/>
          <w:szCs w:val="32"/>
          <w:lang w:eastAsia="zh-CN"/>
        </w:rPr>
        <w:t>、改善学校办学条件</w:t>
      </w:r>
    </w:p>
    <w:p>
      <w:pPr>
        <w:pStyle w:val="15"/>
        <w:keepNext w:val="0"/>
        <w:keepLines w:val="0"/>
        <w:pageBreakBefore w:val="0"/>
        <w:kinsoku/>
        <w:wordWrap/>
        <w:overflowPunct/>
        <w:topLinePunct w:val="0"/>
        <w:autoSpaceDE/>
        <w:autoSpaceDN/>
        <w:bidi w:val="0"/>
        <w:adjustRightInd/>
        <w:snapToGrid/>
        <w:spacing w:line="584" w:lineRule="exact"/>
        <w:textAlignment w:val="auto"/>
        <w:rPr>
          <w:rFonts w:eastAsia="仿宋_GB2312"/>
          <w:kern w:val="2"/>
          <w:sz w:val="32"/>
          <w:szCs w:val="32"/>
          <w:lang w:eastAsia="zh-CN"/>
        </w:rPr>
      </w:pPr>
      <w:r>
        <w:rPr>
          <w:rFonts w:eastAsia="仿宋_GB2312"/>
          <w:kern w:val="2"/>
          <w:sz w:val="32"/>
          <w:szCs w:val="32"/>
          <w:lang w:eastAsia="zh-CN"/>
        </w:rPr>
        <w:t>保障义务教育阶段学校基本教学条件，改善学校生活设施，保障后勤社会化服务，解决学校大班额问题。开展学生社会实践活动，建立学生实践教育基地，推进学校教育信息化。使义务教育学校教学设施和生活设施满足基本教学需要，保障后勤社会化服务资金充足，使学校能够正常运转，超大班额现象消除，教师数量、素质、结构基本适应教学需要。</w:t>
      </w:r>
    </w:p>
    <w:p>
      <w:pPr>
        <w:pStyle w:val="15"/>
        <w:keepNext w:val="0"/>
        <w:keepLines w:val="0"/>
        <w:pageBreakBefore w:val="0"/>
        <w:kinsoku/>
        <w:wordWrap/>
        <w:overflowPunct/>
        <w:topLinePunct w:val="0"/>
        <w:autoSpaceDE/>
        <w:autoSpaceDN/>
        <w:bidi w:val="0"/>
        <w:adjustRightInd/>
        <w:snapToGrid/>
        <w:spacing w:line="584" w:lineRule="exact"/>
        <w:textAlignment w:val="auto"/>
        <w:rPr>
          <w:rFonts w:eastAsia="仿宋_GB2312"/>
          <w:kern w:val="2"/>
          <w:sz w:val="32"/>
          <w:szCs w:val="32"/>
          <w:lang w:eastAsia="zh-CN"/>
        </w:rPr>
      </w:pPr>
      <w:r>
        <w:rPr>
          <w:rFonts w:hint="eastAsia" w:eastAsia="仿宋_GB2312"/>
          <w:kern w:val="2"/>
          <w:sz w:val="32"/>
          <w:szCs w:val="32"/>
          <w:lang w:eastAsia="zh-CN"/>
        </w:rPr>
        <w:t>3</w:t>
      </w:r>
      <w:r>
        <w:rPr>
          <w:rFonts w:eastAsia="仿宋_GB2312"/>
          <w:kern w:val="2"/>
          <w:sz w:val="32"/>
          <w:szCs w:val="32"/>
          <w:lang w:eastAsia="zh-CN"/>
        </w:rPr>
        <w:t>、提升特殊教育保障水平</w:t>
      </w:r>
    </w:p>
    <w:p>
      <w:pPr>
        <w:pStyle w:val="15"/>
        <w:keepNext w:val="0"/>
        <w:keepLines w:val="0"/>
        <w:pageBreakBefore w:val="0"/>
        <w:kinsoku/>
        <w:wordWrap/>
        <w:overflowPunct/>
        <w:topLinePunct w:val="0"/>
        <w:autoSpaceDE/>
        <w:autoSpaceDN/>
        <w:bidi w:val="0"/>
        <w:adjustRightInd/>
        <w:snapToGrid/>
        <w:spacing w:line="584" w:lineRule="exact"/>
        <w:textAlignment w:val="auto"/>
        <w:rPr>
          <w:rFonts w:eastAsia="仿宋_GB2312"/>
          <w:kern w:val="2"/>
          <w:sz w:val="32"/>
          <w:szCs w:val="32"/>
          <w:lang w:eastAsia="zh-CN"/>
        </w:rPr>
      </w:pPr>
      <w:r>
        <w:rPr>
          <w:rFonts w:eastAsia="仿宋_GB2312"/>
          <w:kern w:val="2"/>
          <w:sz w:val="32"/>
          <w:szCs w:val="32"/>
          <w:lang w:eastAsia="zh-CN"/>
        </w:rPr>
        <w:t>保证教学设备设施配备齐全，保障学生校园安全，支持贫困学生和爱心家园学生完成学业。改善办学条件，配置基础教育资源</w:t>
      </w:r>
    </w:p>
    <w:p>
      <w:pPr>
        <w:pStyle w:val="15"/>
        <w:keepNext w:val="0"/>
        <w:keepLines w:val="0"/>
        <w:pageBreakBefore w:val="0"/>
        <w:kinsoku/>
        <w:wordWrap/>
        <w:overflowPunct/>
        <w:topLinePunct w:val="0"/>
        <w:autoSpaceDE/>
        <w:autoSpaceDN/>
        <w:bidi w:val="0"/>
        <w:adjustRightInd/>
        <w:snapToGrid/>
        <w:spacing w:line="584" w:lineRule="exact"/>
        <w:textAlignment w:val="auto"/>
        <w:rPr>
          <w:rFonts w:eastAsia="仿宋_GB2312"/>
          <w:kern w:val="2"/>
          <w:sz w:val="32"/>
          <w:szCs w:val="32"/>
          <w:lang w:eastAsia="zh-CN"/>
        </w:rPr>
      </w:pPr>
      <w:r>
        <w:rPr>
          <w:rFonts w:hint="eastAsia" w:eastAsia="仿宋_GB2312"/>
          <w:kern w:val="2"/>
          <w:sz w:val="32"/>
          <w:szCs w:val="32"/>
          <w:lang w:eastAsia="zh-CN"/>
        </w:rPr>
        <w:t>4</w:t>
      </w:r>
      <w:r>
        <w:rPr>
          <w:rFonts w:eastAsia="仿宋_GB2312"/>
          <w:kern w:val="2"/>
          <w:sz w:val="32"/>
          <w:szCs w:val="32"/>
          <w:lang w:eastAsia="zh-CN"/>
        </w:rPr>
        <w:t>、开展教师教研及学生德育活动</w:t>
      </w:r>
    </w:p>
    <w:p>
      <w:pPr>
        <w:pStyle w:val="15"/>
        <w:keepNext w:val="0"/>
        <w:keepLines w:val="0"/>
        <w:pageBreakBefore w:val="0"/>
        <w:kinsoku/>
        <w:wordWrap/>
        <w:overflowPunct/>
        <w:topLinePunct w:val="0"/>
        <w:autoSpaceDE/>
        <w:autoSpaceDN/>
        <w:bidi w:val="0"/>
        <w:adjustRightInd/>
        <w:snapToGrid/>
        <w:spacing w:line="584" w:lineRule="exact"/>
        <w:textAlignment w:val="auto"/>
        <w:rPr>
          <w:rFonts w:eastAsia="仿宋_GB2312"/>
          <w:kern w:val="2"/>
          <w:sz w:val="32"/>
          <w:szCs w:val="32"/>
          <w:lang w:eastAsia="zh-CN"/>
        </w:rPr>
      </w:pPr>
      <w:r>
        <w:rPr>
          <w:rFonts w:eastAsia="仿宋_GB2312"/>
          <w:kern w:val="2"/>
          <w:sz w:val="32"/>
          <w:szCs w:val="32"/>
          <w:lang w:eastAsia="zh-CN"/>
        </w:rPr>
        <w:t>开展各类课题研究、校本研究，加强教师培训和教学交流，加强德育培训与研究，举办各类教育教学活动。提高教师教学水平，调动教师积极性，培养专家型教师人才，提高学生的综合素质。</w:t>
      </w:r>
    </w:p>
    <w:p>
      <w:pPr>
        <w:keepNext w:val="0"/>
        <w:keepLines w:val="0"/>
        <w:pageBreakBefore w:val="0"/>
        <w:kinsoku/>
        <w:wordWrap/>
        <w:overflowPunct/>
        <w:topLinePunct w:val="0"/>
        <w:autoSpaceDE/>
        <w:autoSpaceDN/>
        <w:bidi w:val="0"/>
        <w:adjustRightInd/>
        <w:snapToGrid/>
        <w:spacing w:line="584" w:lineRule="exact"/>
        <w:ind w:firstLine="643" w:firstLineChars="200"/>
        <w:textAlignment w:val="auto"/>
        <w:rPr>
          <w:rFonts w:ascii="楷体_GB2312" w:eastAsia="楷体_GB2312" w:cs="Times New Roman"/>
          <w:b/>
          <w:sz w:val="32"/>
          <w:szCs w:val="32"/>
        </w:rPr>
      </w:pPr>
      <w:r>
        <w:rPr>
          <w:rFonts w:hint="eastAsia" w:ascii="楷体_GB2312" w:eastAsia="楷体_GB2312" w:cs="Times New Roman"/>
          <w:b/>
          <w:sz w:val="32"/>
          <w:szCs w:val="32"/>
        </w:rPr>
        <w:t>（三）工作保障措施</w:t>
      </w:r>
    </w:p>
    <w:p>
      <w:pPr>
        <w:pStyle w:val="14"/>
        <w:keepNext w:val="0"/>
        <w:keepLines w:val="0"/>
        <w:pageBreakBefore w:val="0"/>
        <w:kinsoku/>
        <w:wordWrap/>
        <w:overflowPunct/>
        <w:topLinePunct w:val="0"/>
        <w:autoSpaceDE/>
        <w:autoSpaceDN/>
        <w:bidi w:val="0"/>
        <w:adjustRightInd/>
        <w:snapToGrid/>
        <w:spacing w:line="584" w:lineRule="exact"/>
        <w:textAlignment w:val="auto"/>
        <w:rPr>
          <w:rFonts w:eastAsia="仿宋_GB2312"/>
          <w:kern w:val="2"/>
          <w:sz w:val="32"/>
          <w:szCs w:val="32"/>
          <w:lang w:eastAsia="zh-CN"/>
        </w:rPr>
      </w:pPr>
      <w:r>
        <w:rPr>
          <w:rFonts w:eastAsia="仿宋_GB2312"/>
          <w:kern w:val="2"/>
          <w:sz w:val="32"/>
          <w:szCs w:val="32"/>
          <w:lang w:eastAsia="zh-CN"/>
        </w:rPr>
        <w:t>1、成立以校长为组长的学校教学经费保障领导小组，加强对教学经费保障的领导工作，确保教学经费使用占学校总开支的20%以上。</w:t>
      </w:r>
    </w:p>
    <w:p>
      <w:pPr>
        <w:pStyle w:val="14"/>
        <w:keepNext w:val="0"/>
        <w:keepLines w:val="0"/>
        <w:pageBreakBefore w:val="0"/>
        <w:kinsoku/>
        <w:wordWrap/>
        <w:overflowPunct/>
        <w:topLinePunct w:val="0"/>
        <w:autoSpaceDE/>
        <w:autoSpaceDN/>
        <w:bidi w:val="0"/>
        <w:adjustRightInd/>
        <w:snapToGrid/>
        <w:spacing w:line="584" w:lineRule="exact"/>
        <w:textAlignment w:val="auto"/>
        <w:rPr>
          <w:rFonts w:eastAsia="仿宋_GB2312"/>
          <w:kern w:val="2"/>
          <w:sz w:val="32"/>
          <w:szCs w:val="32"/>
          <w:lang w:eastAsia="zh-CN"/>
        </w:rPr>
      </w:pPr>
      <w:r>
        <w:rPr>
          <w:rFonts w:eastAsia="仿宋_GB2312"/>
          <w:kern w:val="2"/>
          <w:sz w:val="32"/>
          <w:szCs w:val="32"/>
          <w:lang w:eastAsia="zh-CN"/>
        </w:rPr>
        <w:t>2、建立日请月结、学期公布的财务制度。增加财物工作的透明、公开度。</w:t>
      </w:r>
    </w:p>
    <w:p>
      <w:pPr>
        <w:pStyle w:val="14"/>
        <w:keepNext w:val="0"/>
        <w:keepLines w:val="0"/>
        <w:pageBreakBefore w:val="0"/>
        <w:kinsoku/>
        <w:wordWrap/>
        <w:overflowPunct/>
        <w:topLinePunct w:val="0"/>
        <w:autoSpaceDE/>
        <w:autoSpaceDN/>
        <w:bidi w:val="0"/>
        <w:adjustRightInd/>
        <w:snapToGrid/>
        <w:spacing w:line="584" w:lineRule="exact"/>
        <w:textAlignment w:val="auto"/>
        <w:rPr>
          <w:rFonts w:eastAsia="仿宋_GB2312"/>
          <w:kern w:val="2"/>
          <w:sz w:val="32"/>
          <w:szCs w:val="32"/>
          <w:lang w:eastAsia="zh-CN"/>
        </w:rPr>
      </w:pPr>
      <w:r>
        <w:rPr>
          <w:rFonts w:eastAsia="仿宋_GB2312"/>
          <w:kern w:val="2"/>
          <w:sz w:val="32"/>
          <w:szCs w:val="32"/>
          <w:lang w:eastAsia="zh-CN"/>
        </w:rPr>
        <w:t>3、设立意见箱和回音栏，对教师提出的建议和意见及制给予回答并落实。</w:t>
      </w:r>
    </w:p>
    <w:p>
      <w:pPr>
        <w:pStyle w:val="14"/>
        <w:keepNext w:val="0"/>
        <w:keepLines w:val="0"/>
        <w:pageBreakBefore w:val="0"/>
        <w:kinsoku/>
        <w:wordWrap/>
        <w:overflowPunct/>
        <w:topLinePunct w:val="0"/>
        <w:autoSpaceDE/>
        <w:autoSpaceDN/>
        <w:bidi w:val="0"/>
        <w:adjustRightInd/>
        <w:snapToGrid/>
        <w:spacing w:line="584" w:lineRule="exact"/>
        <w:textAlignment w:val="auto"/>
        <w:rPr>
          <w:rFonts w:eastAsia="仿宋_GB2312"/>
          <w:kern w:val="2"/>
          <w:sz w:val="32"/>
          <w:szCs w:val="32"/>
          <w:lang w:eastAsia="zh-CN"/>
        </w:rPr>
      </w:pPr>
      <w:r>
        <w:rPr>
          <w:rFonts w:eastAsia="仿宋_GB2312"/>
          <w:kern w:val="2"/>
          <w:sz w:val="32"/>
          <w:szCs w:val="32"/>
          <w:lang w:eastAsia="zh-CN"/>
        </w:rPr>
        <w:t>4、定期召开教学经费保障专题会议。集思广益，使学校经费为教学开绿灯。</w:t>
      </w:r>
    </w:p>
    <w:p>
      <w:pPr>
        <w:pStyle w:val="14"/>
        <w:keepNext w:val="0"/>
        <w:keepLines w:val="0"/>
        <w:pageBreakBefore w:val="0"/>
        <w:kinsoku/>
        <w:wordWrap/>
        <w:overflowPunct/>
        <w:topLinePunct w:val="0"/>
        <w:autoSpaceDE/>
        <w:autoSpaceDN/>
        <w:bidi w:val="0"/>
        <w:adjustRightInd/>
        <w:snapToGrid/>
        <w:spacing w:line="584" w:lineRule="exact"/>
        <w:textAlignment w:val="auto"/>
        <w:rPr>
          <w:rFonts w:eastAsia="仿宋_GB2312"/>
          <w:kern w:val="2"/>
          <w:sz w:val="32"/>
          <w:szCs w:val="32"/>
          <w:lang w:eastAsia="zh-CN"/>
        </w:rPr>
      </w:pPr>
      <w:r>
        <w:rPr>
          <w:rFonts w:eastAsia="仿宋_GB2312"/>
          <w:kern w:val="2"/>
          <w:sz w:val="32"/>
          <w:szCs w:val="32"/>
          <w:lang w:eastAsia="zh-CN"/>
        </w:rPr>
        <w:t>5、成立教学经费保障监督小组，实行民主理财，集体决策。</w:t>
      </w:r>
    </w:p>
    <w:p>
      <w:pPr>
        <w:pStyle w:val="14"/>
        <w:keepNext w:val="0"/>
        <w:keepLines w:val="0"/>
        <w:pageBreakBefore w:val="0"/>
        <w:kinsoku/>
        <w:wordWrap/>
        <w:overflowPunct/>
        <w:topLinePunct w:val="0"/>
        <w:autoSpaceDE/>
        <w:autoSpaceDN/>
        <w:bidi w:val="0"/>
        <w:adjustRightInd/>
        <w:snapToGrid/>
        <w:spacing w:line="584" w:lineRule="exact"/>
        <w:textAlignment w:val="auto"/>
        <w:rPr>
          <w:rFonts w:eastAsia="仿宋_GB2312"/>
          <w:kern w:val="2"/>
          <w:sz w:val="32"/>
          <w:szCs w:val="32"/>
          <w:lang w:eastAsia="zh-CN"/>
        </w:rPr>
      </w:pPr>
      <w:r>
        <w:rPr>
          <w:rFonts w:eastAsia="仿宋_GB2312"/>
          <w:kern w:val="2"/>
          <w:sz w:val="32"/>
          <w:szCs w:val="32"/>
          <w:lang w:eastAsia="zh-CN"/>
        </w:rPr>
        <w:t>6、设立教师外出培训、外出学习交流专项资金。确保教师培训、外出学习交流</w:t>
      </w:r>
      <w:r>
        <w:rPr>
          <w:rFonts w:hint="eastAsia" w:eastAsia="仿宋_GB2312"/>
          <w:kern w:val="2"/>
          <w:sz w:val="32"/>
          <w:szCs w:val="32"/>
          <w:lang w:eastAsia="zh-CN"/>
        </w:rPr>
        <w:t>落到实处</w:t>
      </w:r>
      <w:r>
        <w:rPr>
          <w:rFonts w:eastAsia="仿宋_GB2312"/>
          <w:kern w:val="2"/>
          <w:sz w:val="32"/>
          <w:szCs w:val="32"/>
          <w:lang w:eastAsia="zh-CN"/>
        </w:rPr>
        <w:t>。</w:t>
      </w:r>
    </w:p>
    <w:p>
      <w:pPr>
        <w:overflowPunct w:val="0"/>
        <w:adjustRightInd w:val="0"/>
        <w:snapToGrid w:val="0"/>
        <w:spacing w:after="120" w:afterLines="50" w:line="580" w:lineRule="exact"/>
        <w:ind w:firstLine="630" w:firstLineChars="196"/>
        <w:jc w:val="left"/>
        <w:rPr>
          <w:rFonts w:hint="eastAsia" w:ascii="楷体_GB2312" w:eastAsia="楷体_GB2312" w:cs="Times New Roman"/>
          <w:b/>
          <w:sz w:val="32"/>
          <w:szCs w:val="32"/>
        </w:rPr>
      </w:pPr>
    </w:p>
    <w:p>
      <w:pPr>
        <w:overflowPunct w:val="0"/>
        <w:adjustRightInd w:val="0"/>
        <w:snapToGrid w:val="0"/>
        <w:spacing w:after="120" w:afterLines="50" w:line="580" w:lineRule="exact"/>
        <w:ind w:firstLine="630" w:firstLineChars="196"/>
        <w:jc w:val="left"/>
        <w:rPr>
          <w:rFonts w:hint="eastAsia" w:ascii="楷体_GB2312" w:eastAsia="楷体_GB2312" w:cs="Times New Roman"/>
          <w:b/>
          <w:sz w:val="32"/>
          <w:szCs w:val="32"/>
        </w:rPr>
      </w:pPr>
    </w:p>
    <w:p>
      <w:pPr>
        <w:overflowPunct w:val="0"/>
        <w:adjustRightInd w:val="0"/>
        <w:snapToGrid w:val="0"/>
        <w:spacing w:after="120" w:afterLines="50" w:line="580" w:lineRule="exact"/>
        <w:ind w:firstLine="630" w:firstLineChars="196"/>
        <w:jc w:val="left"/>
        <w:rPr>
          <w:rFonts w:hint="eastAsia" w:ascii="楷体_GB2312" w:eastAsia="楷体_GB2312" w:cs="Times New Roman"/>
          <w:b/>
          <w:sz w:val="32"/>
          <w:szCs w:val="32"/>
        </w:rPr>
      </w:pPr>
    </w:p>
    <w:p>
      <w:pPr>
        <w:overflowPunct w:val="0"/>
        <w:adjustRightInd w:val="0"/>
        <w:snapToGrid w:val="0"/>
        <w:spacing w:after="120" w:afterLines="50" w:line="580" w:lineRule="exact"/>
        <w:ind w:firstLine="630" w:firstLineChars="196"/>
        <w:jc w:val="left"/>
        <w:rPr>
          <w:rFonts w:hint="eastAsia" w:ascii="楷体_GB2312" w:eastAsia="楷体_GB2312" w:cs="Times New Roman"/>
          <w:b/>
          <w:sz w:val="32"/>
          <w:szCs w:val="32"/>
        </w:rPr>
      </w:pPr>
    </w:p>
    <w:p>
      <w:pPr>
        <w:overflowPunct w:val="0"/>
        <w:adjustRightInd w:val="0"/>
        <w:snapToGrid w:val="0"/>
        <w:spacing w:after="120" w:afterLines="50" w:line="580" w:lineRule="exact"/>
        <w:ind w:firstLine="630" w:firstLineChars="196"/>
        <w:jc w:val="left"/>
        <w:rPr>
          <w:rFonts w:hint="eastAsia" w:ascii="楷体_GB2312" w:eastAsia="楷体_GB2312" w:cs="Times New Roman"/>
          <w:b/>
          <w:sz w:val="32"/>
          <w:szCs w:val="32"/>
        </w:rPr>
      </w:pPr>
    </w:p>
    <w:p>
      <w:pPr>
        <w:overflowPunct w:val="0"/>
        <w:adjustRightInd w:val="0"/>
        <w:snapToGrid w:val="0"/>
        <w:spacing w:after="120" w:afterLines="50" w:line="580" w:lineRule="exact"/>
        <w:ind w:firstLine="630" w:firstLineChars="196"/>
        <w:jc w:val="left"/>
        <w:rPr>
          <w:rFonts w:hint="eastAsia" w:ascii="楷体_GB2312" w:eastAsia="楷体_GB2312" w:cs="Times New Roman"/>
          <w:b/>
          <w:sz w:val="32"/>
          <w:szCs w:val="32"/>
        </w:rPr>
      </w:pPr>
    </w:p>
    <w:p>
      <w:pPr>
        <w:overflowPunct w:val="0"/>
        <w:adjustRightInd w:val="0"/>
        <w:snapToGrid w:val="0"/>
        <w:spacing w:after="120" w:afterLines="50" w:line="580" w:lineRule="exact"/>
        <w:ind w:firstLine="630" w:firstLineChars="196"/>
        <w:jc w:val="left"/>
        <w:rPr>
          <w:rFonts w:hint="eastAsia" w:ascii="楷体_GB2312" w:eastAsia="楷体_GB2312" w:cs="Times New Roman"/>
          <w:b/>
          <w:sz w:val="32"/>
          <w:szCs w:val="32"/>
        </w:rPr>
      </w:pPr>
    </w:p>
    <w:p>
      <w:pPr>
        <w:overflowPunct w:val="0"/>
        <w:adjustRightInd w:val="0"/>
        <w:snapToGrid w:val="0"/>
        <w:spacing w:after="120" w:afterLines="50" w:line="580" w:lineRule="exact"/>
        <w:ind w:firstLine="630" w:firstLineChars="196"/>
        <w:jc w:val="left"/>
        <w:rPr>
          <w:rFonts w:hint="eastAsia" w:ascii="楷体_GB2312" w:eastAsia="楷体_GB2312" w:cs="Times New Roman"/>
          <w:b/>
          <w:sz w:val="32"/>
          <w:szCs w:val="32"/>
        </w:rPr>
      </w:pPr>
      <w:r>
        <w:rPr>
          <w:rFonts w:hint="eastAsia" w:ascii="楷体_GB2312" w:eastAsia="楷体_GB2312" w:cs="Times New Roman"/>
          <w:b/>
          <w:sz w:val="32"/>
          <w:szCs w:val="32"/>
        </w:rPr>
        <w:t>（四）部门整体支出绩效指标</w:t>
      </w:r>
    </w:p>
    <w:tbl>
      <w:tblPr>
        <w:tblStyle w:val="10"/>
        <w:tblW w:w="1025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
      <w:tblGrid>
        <w:gridCol w:w="558"/>
        <w:gridCol w:w="825"/>
        <w:gridCol w:w="1482"/>
        <w:gridCol w:w="2187"/>
        <w:gridCol w:w="1717"/>
        <w:gridCol w:w="578"/>
        <w:gridCol w:w="452"/>
        <w:gridCol w:w="632"/>
        <w:gridCol w:w="18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26" w:hRule="atLeast"/>
          <w:tblHeader/>
          <w:jc w:val="center"/>
        </w:trPr>
        <w:tc>
          <w:tcPr>
            <w:tcW w:w="558" w:type="dxa"/>
            <w:vMerge w:val="restart"/>
            <w:noWrap w:val="0"/>
            <w:vAlign w:val="center"/>
          </w:tcPr>
          <w:p>
            <w:pPr>
              <w:widowControl/>
              <w:adjustRightInd w:val="0"/>
              <w:snapToGrid w:val="0"/>
              <w:jc w:val="center"/>
              <w:rPr>
                <w:rFonts w:ascii="方正书宋_GBK" w:eastAsia="方正书宋_GBK"/>
                <w:b/>
              </w:rPr>
            </w:pPr>
            <w:r>
              <w:rPr>
                <w:rFonts w:ascii="方正书宋_GBK" w:eastAsia="方正书宋_GBK"/>
                <w:b/>
              </w:rPr>
              <w:t>一级指标</w:t>
            </w:r>
          </w:p>
        </w:tc>
        <w:tc>
          <w:tcPr>
            <w:tcW w:w="825" w:type="dxa"/>
            <w:vMerge w:val="restart"/>
            <w:noWrap w:val="0"/>
            <w:vAlign w:val="center"/>
          </w:tcPr>
          <w:p>
            <w:pPr>
              <w:widowControl/>
              <w:adjustRightInd w:val="0"/>
              <w:snapToGrid w:val="0"/>
              <w:jc w:val="center"/>
              <w:rPr>
                <w:rFonts w:ascii="方正书宋_GBK" w:eastAsia="方正书宋_GBK"/>
                <w:b/>
              </w:rPr>
            </w:pPr>
            <w:r>
              <w:rPr>
                <w:rFonts w:ascii="方正书宋_GBK" w:eastAsia="方正书宋_GBK"/>
                <w:b/>
              </w:rPr>
              <w:t>二级</w:t>
            </w:r>
          </w:p>
          <w:p>
            <w:pPr>
              <w:widowControl/>
              <w:adjustRightInd w:val="0"/>
              <w:snapToGrid w:val="0"/>
              <w:jc w:val="center"/>
              <w:rPr>
                <w:rFonts w:ascii="方正书宋_GBK" w:eastAsia="方正书宋_GBK"/>
                <w:b/>
              </w:rPr>
            </w:pPr>
            <w:r>
              <w:rPr>
                <w:rFonts w:ascii="方正书宋_GBK" w:eastAsia="方正书宋_GBK"/>
                <w:b/>
              </w:rPr>
              <w:t>指标</w:t>
            </w:r>
          </w:p>
        </w:tc>
        <w:tc>
          <w:tcPr>
            <w:tcW w:w="1482" w:type="dxa"/>
            <w:vMerge w:val="restart"/>
            <w:noWrap w:val="0"/>
            <w:vAlign w:val="center"/>
          </w:tcPr>
          <w:p>
            <w:pPr>
              <w:widowControl/>
              <w:adjustRightInd w:val="0"/>
              <w:snapToGrid w:val="0"/>
              <w:jc w:val="center"/>
              <w:rPr>
                <w:rFonts w:ascii="方正书宋_GBK" w:eastAsia="方正书宋_GBK"/>
                <w:b/>
              </w:rPr>
            </w:pPr>
            <w:r>
              <w:rPr>
                <w:rFonts w:ascii="方正书宋_GBK" w:eastAsia="方正书宋_GBK"/>
                <w:b/>
              </w:rPr>
              <w:t>三级</w:t>
            </w:r>
          </w:p>
          <w:p>
            <w:pPr>
              <w:widowControl/>
              <w:adjustRightInd w:val="0"/>
              <w:snapToGrid w:val="0"/>
              <w:jc w:val="center"/>
              <w:rPr>
                <w:rFonts w:ascii="方正书宋_GBK" w:eastAsia="方正书宋_GBK"/>
                <w:b/>
              </w:rPr>
            </w:pPr>
            <w:r>
              <w:rPr>
                <w:rFonts w:ascii="方正书宋_GBK" w:eastAsia="方正书宋_GBK"/>
                <w:b/>
              </w:rPr>
              <w:t>指标</w:t>
            </w:r>
          </w:p>
        </w:tc>
        <w:tc>
          <w:tcPr>
            <w:tcW w:w="2187" w:type="dxa"/>
            <w:vMerge w:val="restart"/>
            <w:noWrap w:val="0"/>
            <w:vAlign w:val="center"/>
          </w:tcPr>
          <w:p>
            <w:pPr>
              <w:widowControl/>
              <w:adjustRightInd w:val="0"/>
              <w:snapToGrid w:val="0"/>
              <w:jc w:val="center"/>
              <w:rPr>
                <w:rFonts w:ascii="方正书宋_GBK" w:eastAsia="方正书宋_GBK"/>
                <w:b/>
              </w:rPr>
            </w:pPr>
            <w:r>
              <w:rPr>
                <w:rFonts w:ascii="方正书宋_GBK" w:eastAsia="方正书宋_GBK"/>
                <w:b/>
              </w:rPr>
              <w:t>评（扣）分标准</w:t>
            </w:r>
          </w:p>
        </w:tc>
        <w:tc>
          <w:tcPr>
            <w:tcW w:w="1717" w:type="dxa"/>
            <w:vMerge w:val="restart"/>
            <w:noWrap w:val="0"/>
            <w:vAlign w:val="center"/>
          </w:tcPr>
          <w:p>
            <w:pPr>
              <w:widowControl/>
              <w:adjustRightInd w:val="0"/>
              <w:snapToGrid w:val="0"/>
              <w:jc w:val="center"/>
              <w:rPr>
                <w:rFonts w:ascii="方正书宋_GBK" w:eastAsia="方正书宋_GBK"/>
                <w:b/>
              </w:rPr>
            </w:pPr>
            <w:r>
              <w:rPr>
                <w:rFonts w:ascii="方正书宋_GBK" w:eastAsia="方正书宋_GBK"/>
                <w:b/>
              </w:rPr>
              <w:t>绩效指标</w:t>
            </w:r>
          </w:p>
          <w:p>
            <w:pPr>
              <w:widowControl/>
              <w:adjustRightInd w:val="0"/>
              <w:snapToGrid w:val="0"/>
              <w:jc w:val="center"/>
              <w:rPr>
                <w:rFonts w:ascii="方正书宋_GBK" w:eastAsia="方正书宋_GBK"/>
                <w:b/>
              </w:rPr>
            </w:pPr>
            <w:r>
              <w:rPr>
                <w:rFonts w:ascii="方正书宋_GBK" w:eastAsia="方正书宋_GBK"/>
                <w:b/>
              </w:rPr>
              <w:t>描述</w:t>
            </w:r>
          </w:p>
        </w:tc>
        <w:tc>
          <w:tcPr>
            <w:tcW w:w="1662" w:type="dxa"/>
            <w:gridSpan w:val="3"/>
            <w:noWrap w:val="0"/>
            <w:vAlign w:val="center"/>
          </w:tcPr>
          <w:p>
            <w:pPr>
              <w:widowControl/>
              <w:adjustRightInd w:val="0"/>
              <w:snapToGrid w:val="0"/>
              <w:jc w:val="center"/>
              <w:rPr>
                <w:rFonts w:ascii="方正书宋_GBK" w:eastAsia="方正书宋_GBK"/>
                <w:b/>
              </w:rPr>
            </w:pPr>
            <w:r>
              <w:rPr>
                <w:rFonts w:ascii="方正书宋_GBK" w:eastAsia="方正书宋_GBK"/>
                <w:b/>
              </w:rPr>
              <w:t>指标值</w:t>
            </w:r>
          </w:p>
        </w:tc>
        <w:tc>
          <w:tcPr>
            <w:tcW w:w="1821" w:type="dxa"/>
            <w:vMerge w:val="restart"/>
            <w:noWrap w:val="0"/>
            <w:vAlign w:val="center"/>
          </w:tcPr>
          <w:p>
            <w:pPr>
              <w:widowControl/>
              <w:adjustRightInd w:val="0"/>
              <w:snapToGrid w:val="0"/>
              <w:jc w:val="center"/>
              <w:rPr>
                <w:rFonts w:ascii="方正书宋_GBK" w:eastAsia="方正书宋_GBK"/>
                <w:b/>
              </w:rPr>
            </w:pPr>
            <w:r>
              <w:rPr>
                <w:rFonts w:ascii="方正书宋_GBK" w:eastAsia="方正书宋_GBK"/>
                <w:b/>
              </w:rPr>
              <w:t>指标值</w:t>
            </w:r>
          </w:p>
          <w:p>
            <w:pPr>
              <w:widowControl/>
              <w:adjustRightInd w:val="0"/>
              <w:snapToGrid w:val="0"/>
              <w:jc w:val="center"/>
              <w:rPr>
                <w:rFonts w:ascii="方正书宋_GBK" w:eastAsia="方正书宋_GBK"/>
                <w:b/>
              </w:rPr>
            </w:pPr>
            <w:r>
              <w:rPr>
                <w:rFonts w:ascii="方正书宋_GBK" w:eastAsia="方正书宋_GBK"/>
                <w:b/>
              </w:rPr>
              <w:t>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33" w:hRule="atLeast"/>
          <w:tblHeader/>
          <w:jc w:val="center"/>
        </w:trPr>
        <w:tc>
          <w:tcPr>
            <w:tcW w:w="558" w:type="dxa"/>
            <w:vMerge w:val="continue"/>
            <w:noWrap w:val="0"/>
            <w:vAlign w:val="center"/>
          </w:tcPr>
          <w:p/>
        </w:tc>
        <w:tc>
          <w:tcPr>
            <w:tcW w:w="825" w:type="dxa"/>
            <w:vMerge w:val="continue"/>
            <w:noWrap w:val="0"/>
            <w:vAlign w:val="center"/>
          </w:tcPr>
          <w:p/>
        </w:tc>
        <w:tc>
          <w:tcPr>
            <w:tcW w:w="1482" w:type="dxa"/>
            <w:vMerge w:val="continue"/>
            <w:noWrap w:val="0"/>
            <w:vAlign w:val="center"/>
          </w:tcPr>
          <w:p/>
        </w:tc>
        <w:tc>
          <w:tcPr>
            <w:tcW w:w="2187" w:type="dxa"/>
            <w:vMerge w:val="continue"/>
            <w:noWrap w:val="0"/>
            <w:vAlign w:val="center"/>
          </w:tcPr>
          <w:p/>
        </w:tc>
        <w:tc>
          <w:tcPr>
            <w:tcW w:w="1717" w:type="dxa"/>
            <w:vMerge w:val="continue"/>
            <w:noWrap w:val="0"/>
            <w:vAlign w:val="center"/>
          </w:tcPr>
          <w:p/>
        </w:tc>
        <w:tc>
          <w:tcPr>
            <w:tcW w:w="578" w:type="dxa"/>
            <w:noWrap w:val="0"/>
            <w:vAlign w:val="center"/>
          </w:tcPr>
          <w:p>
            <w:pPr>
              <w:widowControl/>
              <w:adjustRightInd w:val="0"/>
              <w:snapToGrid w:val="0"/>
              <w:jc w:val="center"/>
              <w:rPr>
                <w:rFonts w:ascii="方正书宋_GBK" w:eastAsia="方正书宋_GBK"/>
                <w:b/>
              </w:rPr>
            </w:pPr>
            <w:r>
              <w:rPr>
                <w:rFonts w:ascii="方正书宋_GBK" w:eastAsia="方正书宋_GBK"/>
                <w:b/>
              </w:rPr>
              <w:t>符号</w:t>
            </w:r>
          </w:p>
        </w:tc>
        <w:tc>
          <w:tcPr>
            <w:tcW w:w="452" w:type="dxa"/>
            <w:noWrap w:val="0"/>
            <w:vAlign w:val="center"/>
          </w:tcPr>
          <w:p>
            <w:pPr>
              <w:widowControl/>
              <w:adjustRightInd w:val="0"/>
              <w:snapToGrid w:val="0"/>
              <w:jc w:val="center"/>
              <w:rPr>
                <w:rFonts w:ascii="方正书宋_GBK" w:eastAsia="方正书宋_GBK"/>
                <w:b/>
              </w:rPr>
            </w:pPr>
            <w:r>
              <w:rPr>
                <w:rFonts w:ascii="方正书宋_GBK" w:eastAsia="方正书宋_GBK"/>
                <w:b/>
              </w:rPr>
              <w:t>值</w:t>
            </w:r>
          </w:p>
        </w:tc>
        <w:tc>
          <w:tcPr>
            <w:tcW w:w="632" w:type="dxa"/>
            <w:noWrap w:val="0"/>
            <w:vAlign w:val="center"/>
          </w:tcPr>
          <w:p>
            <w:pPr>
              <w:widowControl/>
              <w:adjustRightInd w:val="0"/>
              <w:snapToGrid w:val="0"/>
              <w:jc w:val="center"/>
              <w:rPr>
                <w:rFonts w:ascii="方正书宋_GBK" w:eastAsia="方正书宋_GBK"/>
                <w:b/>
              </w:rPr>
            </w:pPr>
            <w:r>
              <w:rPr>
                <w:rFonts w:ascii="方正书宋_GBK" w:eastAsia="方正书宋_GBK"/>
                <w:b/>
              </w:rPr>
              <w:t>单位</w:t>
            </w:r>
          </w:p>
        </w:tc>
        <w:tc>
          <w:tcPr>
            <w:tcW w:w="1821" w:type="dxa"/>
            <w:vMerge w:val="continue"/>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94" w:hRule="atLeast"/>
          <w:jc w:val="center"/>
        </w:trPr>
        <w:tc>
          <w:tcPr>
            <w:tcW w:w="558" w:type="dxa"/>
            <w:vMerge w:val="restart"/>
            <w:noWrap w:val="0"/>
            <w:vAlign w:val="center"/>
          </w:tcPr>
          <w:p>
            <w:pPr>
              <w:widowControl/>
              <w:adjustRightInd w:val="0"/>
              <w:snapToGrid w:val="0"/>
              <w:jc w:val="center"/>
              <w:rPr>
                <w:rFonts w:ascii="方正书宋_GBK" w:eastAsia="方正书宋_GBK"/>
              </w:rPr>
            </w:pPr>
            <w:r>
              <w:rPr>
                <w:rFonts w:ascii="方正书宋_GBK" w:eastAsia="方正书宋_GBK"/>
              </w:rPr>
              <w:t>部门产出</w:t>
            </w:r>
          </w:p>
        </w:tc>
        <w:tc>
          <w:tcPr>
            <w:tcW w:w="825" w:type="dxa"/>
            <w:noWrap w:val="0"/>
            <w:vAlign w:val="center"/>
          </w:tcPr>
          <w:p>
            <w:pPr>
              <w:widowControl/>
              <w:adjustRightInd w:val="0"/>
              <w:snapToGrid w:val="0"/>
              <w:jc w:val="center"/>
              <w:rPr>
                <w:rFonts w:ascii="方正书宋_GBK" w:eastAsia="方正书宋_GBK"/>
              </w:rPr>
            </w:pPr>
            <w:r>
              <w:rPr>
                <w:rFonts w:ascii="方正书宋_GBK" w:eastAsia="方正书宋_GBK"/>
              </w:rPr>
              <w:t>数量</w:t>
            </w:r>
          </w:p>
        </w:tc>
        <w:tc>
          <w:tcPr>
            <w:tcW w:w="1482" w:type="dxa"/>
            <w:noWrap w:val="0"/>
            <w:vAlign w:val="center"/>
          </w:tcPr>
          <w:p>
            <w:pPr>
              <w:pStyle w:val="17"/>
              <w:rPr>
                <w:rFonts w:hint="eastAsia" w:ascii="仿宋_GB2312" w:hAnsi="仿宋_GB2312" w:eastAsia="仿宋_GB2312" w:cs="仿宋_GB2312"/>
              </w:rPr>
            </w:pPr>
            <w:r>
              <w:rPr>
                <w:rFonts w:hint="eastAsia" w:ascii="仿宋_GB2312" w:hAnsi="仿宋_GB2312" w:eastAsia="仿宋_GB2312" w:cs="仿宋_GB2312"/>
              </w:rPr>
              <w:t>义务教育在校生（人）</w:t>
            </w:r>
          </w:p>
        </w:tc>
        <w:tc>
          <w:tcPr>
            <w:tcW w:w="2187" w:type="dxa"/>
            <w:noWrap w:val="0"/>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20分全部保障得满分，否则不得分。</w:t>
            </w:r>
          </w:p>
        </w:tc>
        <w:tc>
          <w:tcPr>
            <w:tcW w:w="1717" w:type="dxa"/>
            <w:noWrap w:val="0"/>
            <w:vAlign w:val="center"/>
          </w:tcPr>
          <w:p>
            <w:pPr>
              <w:pStyle w:val="17"/>
              <w:rPr>
                <w:rFonts w:hint="eastAsia" w:ascii="仿宋_GB2312" w:hAnsi="仿宋_GB2312" w:eastAsia="仿宋_GB2312" w:cs="仿宋_GB2312"/>
              </w:rPr>
            </w:pPr>
            <w:r>
              <w:rPr>
                <w:rFonts w:hint="eastAsia" w:ascii="仿宋_GB2312" w:hAnsi="仿宋_GB2312" w:eastAsia="仿宋_GB2312" w:cs="仿宋_GB2312"/>
              </w:rPr>
              <w:t>在校生人数</w:t>
            </w:r>
          </w:p>
        </w:tc>
        <w:tc>
          <w:tcPr>
            <w:tcW w:w="578" w:type="dxa"/>
            <w:noWrap w:val="0"/>
            <w:vAlign w:val="center"/>
          </w:tcPr>
          <w:p>
            <w:pPr>
              <w:widowControl/>
              <w:adjustRightInd w:val="0"/>
              <w:snapToGrid w:val="0"/>
              <w:jc w:val="center"/>
              <w:rPr>
                <w:rFonts w:hint="eastAsia" w:ascii="仿宋_GB2312" w:hAnsi="仿宋_GB2312" w:eastAsia="仿宋_GB2312" w:cs="仿宋_GB2312"/>
              </w:rPr>
            </w:pPr>
            <w:r>
              <w:rPr>
                <w:rFonts w:hint="eastAsia" w:ascii="仿宋_GB2312" w:hAnsi="仿宋_GB2312" w:eastAsia="仿宋_GB2312" w:cs="仿宋_GB2312"/>
              </w:rPr>
              <w:t>=</w:t>
            </w:r>
          </w:p>
        </w:tc>
        <w:tc>
          <w:tcPr>
            <w:tcW w:w="452" w:type="dxa"/>
            <w:noWrap w:val="0"/>
            <w:vAlign w:val="center"/>
          </w:tcPr>
          <w:p>
            <w:pPr>
              <w:pStyle w:val="17"/>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170</w:t>
            </w:r>
          </w:p>
        </w:tc>
        <w:tc>
          <w:tcPr>
            <w:tcW w:w="632" w:type="dxa"/>
            <w:noWrap w:val="0"/>
            <w:vAlign w:val="center"/>
          </w:tcPr>
          <w:p>
            <w:pPr>
              <w:widowControl/>
              <w:adjustRightInd w:val="0"/>
              <w:snapToGrid w:val="0"/>
              <w:jc w:val="center"/>
              <w:rPr>
                <w:rFonts w:hint="eastAsia" w:ascii="仿宋_GB2312" w:hAnsi="仿宋_GB2312" w:eastAsia="仿宋_GB2312" w:cs="仿宋_GB2312"/>
                <w:lang w:eastAsia="zh-CN"/>
              </w:rPr>
            </w:pPr>
            <w:r>
              <w:rPr>
                <w:rFonts w:hint="eastAsia" w:ascii="仿宋_GB2312" w:hAnsi="仿宋_GB2312" w:eastAsia="仿宋_GB2312" w:cs="仿宋_GB2312"/>
                <w:lang w:eastAsia="zh-CN"/>
              </w:rPr>
              <w:t>人</w:t>
            </w:r>
          </w:p>
        </w:tc>
        <w:tc>
          <w:tcPr>
            <w:tcW w:w="1821" w:type="dxa"/>
            <w:noWrap w:val="0"/>
            <w:vAlign w:val="center"/>
          </w:tcPr>
          <w:p>
            <w:pPr>
              <w:pStyle w:val="17"/>
              <w:rPr>
                <w:rFonts w:hint="eastAsia" w:ascii="仿宋_GB2312" w:hAnsi="仿宋_GB2312" w:eastAsia="仿宋_GB2312" w:cs="仿宋_GB2312"/>
              </w:rPr>
            </w:pPr>
            <w:r>
              <w:rPr>
                <w:rFonts w:hint="eastAsia" w:ascii="仿宋_GB2312" w:hAnsi="仿宋_GB2312" w:eastAsia="仿宋_GB2312" w:cs="仿宋_GB2312"/>
              </w:rPr>
              <w:t>保障教学完成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noWrap w:val="0"/>
            <w:vAlign w:val="center"/>
          </w:tcPr>
          <w:p/>
        </w:tc>
        <w:tc>
          <w:tcPr>
            <w:tcW w:w="825" w:type="dxa"/>
            <w:noWrap w:val="0"/>
            <w:vAlign w:val="center"/>
          </w:tcPr>
          <w:p>
            <w:pPr>
              <w:widowControl/>
              <w:adjustRightInd w:val="0"/>
              <w:snapToGrid w:val="0"/>
              <w:jc w:val="center"/>
              <w:rPr>
                <w:rFonts w:ascii="方正书宋_GBK" w:eastAsia="方正书宋_GBK"/>
              </w:rPr>
            </w:pPr>
            <w:r>
              <w:rPr>
                <w:rFonts w:ascii="方正书宋_GBK" w:eastAsia="方正书宋_GBK"/>
              </w:rPr>
              <w:t>质量</w:t>
            </w:r>
          </w:p>
        </w:tc>
        <w:tc>
          <w:tcPr>
            <w:tcW w:w="1482" w:type="dxa"/>
            <w:noWrap w:val="0"/>
            <w:vAlign w:val="center"/>
          </w:tcPr>
          <w:p>
            <w:pPr>
              <w:pStyle w:val="17"/>
              <w:rPr>
                <w:rFonts w:hint="eastAsia" w:ascii="仿宋_GB2312" w:hAnsi="仿宋_GB2312" w:eastAsia="仿宋_GB2312" w:cs="仿宋_GB2312"/>
              </w:rPr>
            </w:pPr>
            <w:r>
              <w:rPr>
                <w:rFonts w:hint="eastAsia" w:ascii="仿宋_GB2312" w:hAnsi="仿宋_GB2312" w:eastAsia="仿宋_GB2312" w:cs="仿宋_GB2312"/>
                <w:lang w:eastAsia="zh-CN"/>
              </w:rPr>
              <w:t>购置</w:t>
            </w:r>
            <w:r>
              <w:rPr>
                <w:rFonts w:hint="eastAsia" w:ascii="仿宋_GB2312" w:hAnsi="仿宋_GB2312" w:eastAsia="仿宋_GB2312" w:cs="仿宋_GB2312"/>
              </w:rPr>
              <w:t>物资合格率</w:t>
            </w:r>
          </w:p>
        </w:tc>
        <w:tc>
          <w:tcPr>
            <w:tcW w:w="2187" w:type="dxa"/>
            <w:noWrap w:val="0"/>
            <w:vAlign w:val="center"/>
          </w:tcPr>
          <w:p>
            <w:pP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20分全部合格得满分，否则不得分。</w:t>
            </w:r>
          </w:p>
          <w:p>
            <w:pPr>
              <w:rPr>
                <w:rFonts w:hint="eastAsia" w:ascii="仿宋_GB2312" w:hAnsi="仿宋_GB2312" w:eastAsia="仿宋_GB2312" w:cs="仿宋_GB2312"/>
              </w:rPr>
            </w:pPr>
          </w:p>
        </w:tc>
        <w:tc>
          <w:tcPr>
            <w:tcW w:w="1717" w:type="dxa"/>
            <w:noWrap w:val="0"/>
            <w:vAlign w:val="center"/>
          </w:tcPr>
          <w:p>
            <w:pPr>
              <w:pStyle w:val="17"/>
              <w:rPr>
                <w:rFonts w:hint="eastAsia" w:ascii="仿宋_GB2312" w:hAnsi="仿宋_GB2312" w:eastAsia="仿宋_GB2312" w:cs="仿宋_GB2312"/>
              </w:rPr>
            </w:pPr>
            <w:r>
              <w:rPr>
                <w:rFonts w:hint="eastAsia" w:ascii="仿宋_GB2312" w:hAnsi="仿宋_GB2312" w:eastAsia="仿宋_GB2312" w:cs="仿宋_GB2312"/>
              </w:rPr>
              <w:t>保障日常教学器材及物资充裕</w:t>
            </w:r>
          </w:p>
        </w:tc>
        <w:tc>
          <w:tcPr>
            <w:tcW w:w="578" w:type="dxa"/>
            <w:noWrap w:val="0"/>
            <w:vAlign w:val="center"/>
          </w:tcPr>
          <w:p>
            <w:pPr>
              <w:widowControl/>
              <w:adjustRightInd w:val="0"/>
              <w:snapToGrid w:val="0"/>
              <w:jc w:val="center"/>
              <w:rPr>
                <w:rFonts w:hint="eastAsia" w:ascii="仿宋_GB2312" w:hAnsi="仿宋_GB2312" w:eastAsia="仿宋_GB2312" w:cs="仿宋_GB2312"/>
              </w:rPr>
            </w:pPr>
            <w:r>
              <w:rPr>
                <w:rFonts w:hint="eastAsia" w:ascii="仿宋_GB2312" w:hAnsi="仿宋_GB2312" w:eastAsia="仿宋_GB2312" w:cs="仿宋_GB2312"/>
              </w:rPr>
              <w:t>=</w:t>
            </w:r>
          </w:p>
        </w:tc>
        <w:tc>
          <w:tcPr>
            <w:tcW w:w="452" w:type="dxa"/>
            <w:noWrap w:val="0"/>
            <w:vAlign w:val="center"/>
          </w:tcPr>
          <w:p>
            <w:pPr>
              <w:pStyle w:val="17"/>
              <w:rPr>
                <w:rFonts w:hint="eastAsia" w:ascii="仿宋_GB2312" w:hAnsi="仿宋_GB2312" w:eastAsia="仿宋_GB2312" w:cs="仿宋_GB2312"/>
                <w:lang w:eastAsia="zh-CN"/>
              </w:rPr>
            </w:pPr>
            <w:r>
              <w:rPr>
                <w:rFonts w:hint="eastAsia" w:ascii="仿宋_GB2312" w:hAnsi="仿宋_GB2312" w:eastAsia="仿宋_GB2312" w:cs="仿宋_GB2312"/>
              </w:rPr>
              <w:t>100</w:t>
            </w:r>
          </w:p>
        </w:tc>
        <w:tc>
          <w:tcPr>
            <w:tcW w:w="632" w:type="dxa"/>
            <w:noWrap w:val="0"/>
            <w:vAlign w:val="center"/>
          </w:tcPr>
          <w:p>
            <w:pPr>
              <w:widowControl/>
              <w:adjustRightInd w:val="0"/>
              <w:snapToGrid w:val="0"/>
              <w:jc w:val="center"/>
              <w:rPr>
                <w:rFonts w:hint="eastAsia" w:ascii="仿宋_GB2312" w:hAnsi="仿宋_GB2312" w:eastAsia="仿宋_GB2312" w:cs="仿宋_GB2312"/>
              </w:rPr>
            </w:pPr>
            <w:r>
              <w:rPr>
                <w:rFonts w:hint="eastAsia" w:ascii="仿宋_GB2312" w:hAnsi="仿宋_GB2312" w:eastAsia="仿宋_GB2312" w:cs="仿宋_GB2312"/>
              </w:rPr>
              <w:t>%</w:t>
            </w:r>
          </w:p>
        </w:tc>
        <w:tc>
          <w:tcPr>
            <w:tcW w:w="1821" w:type="dxa"/>
            <w:noWrap w:val="0"/>
            <w:vAlign w:val="center"/>
          </w:tcPr>
          <w:p>
            <w:pPr>
              <w:pStyle w:val="17"/>
              <w:rPr>
                <w:rFonts w:hint="eastAsia" w:ascii="仿宋_GB2312" w:hAnsi="仿宋_GB2312" w:eastAsia="仿宋_GB2312" w:cs="仿宋_GB2312"/>
              </w:rPr>
            </w:pPr>
            <w:r>
              <w:rPr>
                <w:rFonts w:hint="eastAsia" w:ascii="仿宋_GB2312" w:hAnsi="仿宋_GB2312" w:eastAsia="仿宋_GB2312" w:cs="仿宋_GB2312"/>
              </w:rPr>
              <w:t>物资质量评价标准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58" w:hRule="atLeast"/>
          <w:jc w:val="center"/>
        </w:trPr>
        <w:tc>
          <w:tcPr>
            <w:tcW w:w="558" w:type="dxa"/>
            <w:noWrap w:val="0"/>
            <w:vAlign w:val="center"/>
          </w:tcPr>
          <w:p/>
        </w:tc>
        <w:tc>
          <w:tcPr>
            <w:tcW w:w="825" w:type="dxa"/>
            <w:noWrap w:val="0"/>
            <w:vAlign w:val="center"/>
          </w:tcPr>
          <w:p>
            <w:pPr>
              <w:widowControl/>
              <w:adjustRightInd w:val="0"/>
              <w:snapToGrid w:val="0"/>
              <w:jc w:val="center"/>
              <w:rPr>
                <w:rFonts w:ascii="方正书宋_GBK" w:eastAsia="方正书宋_GBK"/>
              </w:rPr>
            </w:pPr>
            <w:r>
              <w:rPr>
                <w:rFonts w:ascii="方正书宋_GBK" w:eastAsia="方正书宋_GBK"/>
              </w:rPr>
              <w:t>时效</w:t>
            </w:r>
          </w:p>
        </w:tc>
        <w:tc>
          <w:tcPr>
            <w:tcW w:w="1482" w:type="dxa"/>
            <w:noWrap w:val="0"/>
            <w:vAlign w:val="center"/>
          </w:tcPr>
          <w:p>
            <w:pPr>
              <w:pStyle w:val="17"/>
              <w:rPr>
                <w:rFonts w:hint="eastAsia" w:ascii="仿宋_GB2312" w:hAnsi="仿宋_GB2312" w:eastAsia="仿宋_GB2312" w:cs="仿宋_GB2312"/>
                <w:lang w:eastAsia="zh-CN"/>
              </w:rPr>
            </w:pPr>
            <w:r>
              <w:rPr>
                <w:rFonts w:hint="eastAsia" w:ascii="仿宋_GB2312" w:hAnsi="仿宋_GB2312" w:eastAsia="仿宋_GB2312" w:cs="仿宋_GB2312"/>
                <w:lang w:eastAsia="zh-CN"/>
              </w:rPr>
              <w:t>及时性</w:t>
            </w:r>
          </w:p>
        </w:tc>
        <w:tc>
          <w:tcPr>
            <w:tcW w:w="2187" w:type="dxa"/>
            <w:noWrap w:val="0"/>
            <w:vAlign w:val="center"/>
          </w:tcPr>
          <w:p>
            <w:pP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20分及时完成得满分，否则不得分</w:t>
            </w:r>
          </w:p>
          <w:p>
            <w:pPr>
              <w:widowControl/>
              <w:adjustRightInd w:val="0"/>
              <w:snapToGrid w:val="0"/>
              <w:rPr>
                <w:rFonts w:hint="eastAsia" w:ascii="仿宋_GB2312" w:hAnsi="仿宋_GB2312" w:eastAsia="仿宋_GB2312" w:cs="仿宋_GB2312"/>
              </w:rPr>
            </w:pPr>
          </w:p>
        </w:tc>
        <w:tc>
          <w:tcPr>
            <w:tcW w:w="1717" w:type="dxa"/>
            <w:noWrap w:val="0"/>
            <w:vAlign w:val="center"/>
          </w:tcPr>
          <w:p>
            <w:pPr>
              <w:pStyle w:val="17"/>
              <w:rPr>
                <w:rFonts w:hint="eastAsia" w:ascii="仿宋_GB2312" w:hAnsi="仿宋_GB2312" w:eastAsia="仿宋_GB2312" w:cs="仿宋_GB2312"/>
              </w:rPr>
            </w:pPr>
            <w:r>
              <w:rPr>
                <w:rFonts w:hint="eastAsia" w:ascii="仿宋_GB2312" w:hAnsi="仿宋_GB2312" w:eastAsia="仿宋_GB2312" w:cs="仿宋_GB2312"/>
              </w:rPr>
              <w:t>及时提供的教学用品、保障教学设施、设备正常运行</w:t>
            </w:r>
          </w:p>
        </w:tc>
        <w:tc>
          <w:tcPr>
            <w:tcW w:w="578" w:type="dxa"/>
            <w:noWrap w:val="0"/>
            <w:vAlign w:val="center"/>
          </w:tcPr>
          <w:p>
            <w:pPr>
              <w:widowControl/>
              <w:adjustRightInd w:val="0"/>
              <w:snapToGrid w:val="0"/>
              <w:jc w:val="center"/>
              <w:rPr>
                <w:rFonts w:hint="eastAsia" w:ascii="仿宋_GB2312" w:hAnsi="仿宋_GB2312" w:eastAsia="仿宋_GB2312" w:cs="仿宋_GB2312"/>
              </w:rPr>
            </w:pPr>
            <w:r>
              <w:rPr>
                <w:rFonts w:hint="eastAsia" w:ascii="仿宋_GB2312" w:hAnsi="仿宋_GB2312" w:eastAsia="仿宋_GB2312" w:cs="仿宋_GB2312"/>
              </w:rPr>
              <w:t>=</w:t>
            </w:r>
          </w:p>
        </w:tc>
        <w:tc>
          <w:tcPr>
            <w:tcW w:w="452" w:type="dxa"/>
            <w:noWrap w:val="0"/>
            <w:vAlign w:val="center"/>
          </w:tcPr>
          <w:p>
            <w:pPr>
              <w:pStyle w:val="17"/>
              <w:rPr>
                <w:rFonts w:hint="eastAsia" w:ascii="仿宋_GB2312" w:hAnsi="仿宋_GB2312" w:eastAsia="仿宋_GB2312" w:cs="仿宋_GB2312"/>
                <w:lang w:eastAsia="zh-CN"/>
              </w:rPr>
            </w:pPr>
            <w:r>
              <w:rPr>
                <w:rFonts w:hint="eastAsia" w:ascii="仿宋_GB2312" w:hAnsi="仿宋_GB2312" w:eastAsia="仿宋_GB2312" w:cs="仿宋_GB2312"/>
              </w:rPr>
              <w:t>100</w:t>
            </w:r>
          </w:p>
        </w:tc>
        <w:tc>
          <w:tcPr>
            <w:tcW w:w="632" w:type="dxa"/>
            <w:noWrap w:val="0"/>
            <w:vAlign w:val="center"/>
          </w:tcPr>
          <w:p>
            <w:pPr>
              <w:widowControl/>
              <w:adjustRightInd w:val="0"/>
              <w:snapToGrid w:val="0"/>
              <w:jc w:val="center"/>
              <w:rPr>
                <w:rFonts w:hint="eastAsia" w:ascii="仿宋_GB2312" w:hAnsi="仿宋_GB2312" w:eastAsia="仿宋_GB2312" w:cs="仿宋_GB2312"/>
              </w:rPr>
            </w:pPr>
            <w:r>
              <w:rPr>
                <w:rFonts w:hint="eastAsia" w:ascii="仿宋_GB2312" w:hAnsi="仿宋_GB2312" w:eastAsia="仿宋_GB2312" w:cs="仿宋_GB2312"/>
              </w:rPr>
              <w:t>%</w:t>
            </w:r>
          </w:p>
        </w:tc>
        <w:tc>
          <w:tcPr>
            <w:tcW w:w="1821" w:type="dxa"/>
            <w:noWrap w:val="0"/>
            <w:vAlign w:val="center"/>
          </w:tcPr>
          <w:p>
            <w:pPr>
              <w:pStyle w:val="17"/>
              <w:rPr>
                <w:rFonts w:hint="eastAsia" w:ascii="仿宋_GB2312" w:hAnsi="仿宋_GB2312" w:eastAsia="仿宋_GB2312" w:cs="仿宋_GB2312"/>
                <w:lang w:eastAsia="zh-CN"/>
              </w:rPr>
            </w:pPr>
            <w:r>
              <w:rPr>
                <w:rFonts w:hint="eastAsia" w:ascii="仿宋_GB2312" w:hAnsi="仿宋_GB2312" w:eastAsia="仿宋_GB2312" w:cs="仿宋_GB2312"/>
                <w:lang w:eastAsia="zh-CN"/>
              </w:rPr>
              <w:t>及时性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noWrap w:val="0"/>
            <w:vAlign w:val="center"/>
          </w:tcPr>
          <w:p/>
        </w:tc>
        <w:tc>
          <w:tcPr>
            <w:tcW w:w="825" w:type="dxa"/>
            <w:noWrap w:val="0"/>
            <w:vAlign w:val="center"/>
          </w:tcPr>
          <w:p>
            <w:pPr>
              <w:widowControl/>
              <w:adjustRightInd w:val="0"/>
              <w:snapToGrid w:val="0"/>
              <w:jc w:val="center"/>
              <w:rPr>
                <w:rFonts w:ascii="方正书宋_GBK" w:eastAsia="方正书宋_GBK"/>
              </w:rPr>
            </w:pPr>
            <w:r>
              <w:rPr>
                <w:rFonts w:ascii="方正书宋_GBK" w:eastAsia="方正书宋_GBK"/>
              </w:rPr>
              <w:t>成本</w:t>
            </w:r>
          </w:p>
        </w:tc>
        <w:tc>
          <w:tcPr>
            <w:tcW w:w="1482" w:type="dxa"/>
            <w:noWrap w:val="0"/>
            <w:vAlign w:val="center"/>
          </w:tcPr>
          <w:p>
            <w:pPr>
              <w:pStyle w:val="17"/>
              <w:rPr>
                <w:rFonts w:hint="eastAsia" w:ascii="仿宋_GB2312" w:hAnsi="仿宋_GB2312" w:eastAsia="仿宋_GB2312" w:cs="仿宋_GB2312"/>
                <w:lang w:eastAsia="zh-CN"/>
              </w:rPr>
            </w:pPr>
            <w:r>
              <w:rPr>
                <w:rFonts w:hint="eastAsia" w:ascii="仿宋_GB2312" w:hAnsi="仿宋_GB2312" w:eastAsia="仿宋_GB2312" w:cs="仿宋_GB2312"/>
                <w:lang w:eastAsia="zh-CN"/>
              </w:rPr>
              <w:t>资金成本</w:t>
            </w:r>
          </w:p>
        </w:tc>
        <w:tc>
          <w:tcPr>
            <w:tcW w:w="2187" w:type="dxa"/>
            <w:noWrap w:val="0"/>
            <w:vAlign w:val="center"/>
          </w:tcPr>
          <w:p>
            <w:pP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10分不超过预算总额得满分，否则不得分</w:t>
            </w:r>
          </w:p>
          <w:p>
            <w:pPr>
              <w:rPr>
                <w:rFonts w:hint="eastAsia" w:ascii="仿宋_GB2312" w:hAnsi="仿宋_GB2312" w:eastAsia="仿宋_GB2312" w:cs="仿宋_GB2312"/>
              </w:rPr>
            </w:pPr>
            <w:r>
              <w:rPr>
                <w:rFonts w:hint="eastAsia" w:ascii="仿宋_GB2312" w:hAnsi="仿宋_GB2312" w:eastAsia="仿宋_GB2312" w:cs="仿宋_GB2312"/>
                <w:color w:val="000000"/>
                <w:sz w:val="22"/>
              </w:rPr>
              <w:t>。</w:t>
            </w:r>
          </w:p>
        </w:tc>
        <w:tc>
          <w:tcPr>
            <w:tcW w:w="1717" w:type="dxa"/>
            <w:noWrap w:val="0"/>
            <w:vAlign w:val="center"/>
          </w:tcPr>
          <w:p>
            <w:pPr>
              <w:pStyle w:val="17"/>
              <w:rPr>
                <w:rFonts w:hint="eastAsia" w:ascii="仿宋_GB2312" w:hAnsi="仿宋_GB2312" w:eastAsia="仿宋_GB2312" w:cs="仿宋_GB2312"/>
              </w:rPr>
            </w:pPr>
            <w:r>
              <w:rPr>
                <w:rFonts w:hint="eastAsia" w:ascii="仿宋_GB2312" w:hAnsi="仿宋_GB2312" w:eastAsia="仿宋_GB2312" w:cs="仿宋_GB2312"/>
              </w:rPr>
              <w:t>经费各项支出不高于项目资金总额</w:t>
            </w:r>
          </w:p>
        </w:tc>
        <w:tc>
          <w:tcPr>
            <w:tcW w:w="578" w:type="dxa"/>
            <w:noWrap w:val="0"/>
            <w:vAlign w:val="center"/>
          </w:tcPr>
          <w:p>
            <w:pPr>
              <w:rPr>
                <w:rFonts w:hint="eastAsia" w:ascii="仿宋_GB2312" w:hAnsi="仿宋_GB2312" w:eastAsia="仿宋_GB2312" w:cs="仿宋_GB2312"/>
                <w:color w:val="000000"/>
                <w:sz w:val="22"/>
              </w:rPr>
            </w:pPr>
          </w:p>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w:t>
            </w:r>
          </w:p>
        </w:tc>
        <w:tc>
          <w:tcPr>
            <w:tcW w:w="452" w:type="dxa"/>
            <w:noWrap w:val="0"/>
            <w:vAlign w:val="center"/>
          </w:tcPr>
          <w:p>
            <w:pPr>
              <w:widowControl/>
              <w:adjustRightInd w:val="0"/>
              <w:snapToGrid w:val="0"/>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133500</w:t>
            </w:r>
          </w:p>
        </w:tc>
        <w:tc>
          <w:tcPr>
            <w:tcW w:w="632" w:type="dxa"/>
            <w:noWrap w:val="0"/>
            <w:vAlign w:val="center"/>
          </w:tcPr>
          <w:p>
            <w:pPr>
              <w:widowControl/>
              <w:adjustRightInd w:val="0"/>
              <w:snapToGrid w:val="0"/>
              <w:jc w:val="center"/>
              <w:rPr>
                <w:rFonts w:hint="eastAsia" w:ascii="仿宋_GB2312" w:hAnsi="仿宋_GB2312" w:eastAsia="仿宋_GB2312" w:cs="仿宋_GB2312"/>
              </w:rPr>
            </w:pPr>
            <w:r>
              <w:rPr>
                <w:rFonts w:hint="eastAsia" w:ascii="仿宋_GB2312" w:hAnsi="仿宋_GB2312" w:eastAsia="仿宋_GB2312" w:cs="仿宋_GB2312"/>
              </w:rPr>
              <w:t>元</w:t>
            </w:r>
          </w:p>
        </w:tc>
        <w:tc>
          <w:tcPr>
            <w:tcW w:w="1821" w:type="dxa"/>
            <w:noWrap w:val="0"/>
            <w:vAlign w:val="center"/>
          </w:tcPr>
          <w:p>
            <w:pPr>
              <w:widowControl/>
              <w:adjustRightInd w:val="0"/>
              <w:snapToGrid w:val="0"/>
              <w:rPr>
                <w:rFonts w:hint="eastAsia" w:ascii="仿宋_GB2312" w:hAnsi="仿宋_GB2312" w:eastAsia="仿宋_GB2312" w:cs="仿宋_GB2312"/>
                <w:lang w:eastAsia="zh-CN"/>
              </w:rPr>
            </w:pPr>
            <w:r>
              <w:rPr>
                <w:rFonts w:hint="eastAsia" w:ascii="仿宋_GB2312" w:hAnsi="仿宋_GB2312" w:eastAsia="仿宋_GB2312" w:cs="仿宋_GB2312"/>
                <w:lang w:eastAsia="zh-CN"/>
              </w:rPr>
              <w:t>资金计划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noWrap w:val="0"/>
            <w:vAlign w:val="center"/>
          </w:tcPr>
          <w:p>
            <w:pPr>
              <w:adjustRightInd w:val="0"/>
              <w:snapToGrid w:val="0"/>
              <w:jc w:val="center"/>
              <w:rPr>
                <w:rFonts w:ascii="方正书宋_GBK" w:eastAsia="方正书宋_GBK"/>
              </w:rPr>
            </w:pPr>
            <w:r>
              <w:rPr>
                <w:rFonts w:ascii="方正书宋_GBK" w:eastAsia="方正书宋_GBK"/>
              </w:rPr>
              <w:t>部门</w:t>
            </w:r>
            <w:r>
              <w:rPr>
                <w:rFonts w:hint="eastAsia" w:ascii="方正书宋_GBK" w:eastAsia="方正书宋_GBK"/>
              </w:rPr>
              <w:t>效果</w:t>
            </w:r>
          </w:p>
        </w:tc>
        <w:tc>
          <w:tcPr>
            <w:tcW w:w="825" w:type="dxa"/>
            <w:noWrap w:val="0"/>
            <w:vAlign w:val="center"/>
          </w:tcPr>
          <w:p>
            <w:pPr>
              <w:widowControl/>
              <w:adjustRightInd w:val="0"/>
              <w:snapToGrid w:val="0"/>
              <w:jc w:val="center"/>
              <w:rPr>
                <w:rFonts w:ascii="方正书宋_GBK" w:eastAsia="方正书宋_GBK"/>
              </w:rPr>
            </w:pPr>
            <w:r>
              <w:rPr>
                <w:rFonts w:ascii="方正书宋_GBK" w:eastAsia="方正书宋_GBK"/>
              </w:rPr>
              <w:t>社会</w:t>
            </w:r>
          </w:p>
          <w:p>
            <w:pPr>
              <w:widowControl/>
              <w:adjustRightInd w:val="0"/>
              <w:snapToGrid w:val="0"/>
              <w:jc w:val="center"/>
              <w:rPr>
                <w:rFonts w:ascii="方正书宋_GBK" w:eastAsia="方正书宋_GBK"/>
              </w:rPr>
            </w:pPr>
            <w:r>
              <w:rPr>
                <w:rFonts w:ascii="方正书宋_GBK" w:eastAsia="方正书宋_GBK"/>
              </w:rPr>
              <w:t>效益</w:t>
            </w:r>
          </w:p>
        </w:tc>
        <w:tc>
          <w:tcPr>
            <w:tcW w:w="1482" w:type="dxa"/>
            <w:noWrap w:val="0"/>
            <w:vAlign w:val="center"/>
          </w:tcPr>
          <w:p>
            <w:pPr>
              <w:jc w:val="left"/>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义务教育高质量发展</w:t>
            </w:r>
          </w:p>
          <w:p>
            <w:pPr>
              <w:pStyle w:val="17"/>
              <w:rPr>
                <w:rFonts w:hint="eastAsia" w:ascii="仿宋_GB2312" w:hAnsi="仿宋_GB2312" w:eastAsia="仿宋_GB2312" w:cs="仿宋_GB2312"/>
              </w:rPr>
            </w:pPr>
          </w:p>
        </w:tc>
        <w:tc>
          <w:tcPr>
            <w:tcW w:w="2187" w:type="dxa"/>
            <w:noWrap w:val="0"/>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color w:val="000000"/>
                <w:sz w:val="22"/>
              </w:rPr>
              <w:t>10分及时完成得满分，否则不得分</w:t>
            </w:r>
          </w:p>
        </w:tc>
        <w:tc>
          <w:tcPr>
            <w:tcW w:w="1717" w:type="dxa"/>
            <w:noWrap w:val="0"/>
            <w:vAlign w:val="center"/>
          </w:tcPr>
          <w:p>
            <w:pPr>
              <w:jc w:val="left"/>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推动义务教育从数量扩张向质量提高转变</w:t>
            </w:r>
          </w:p>
          <w:p>
            <w:pPr>
              <w:pStyle w:val="17"/>
              <w:rPr>
                <w:rFonts w:hint="eastAsia" w:ascii="仿宋_GB2312" w:hAnsi="仿宋_GB2312" w:eastAsia="仿宋_GB2312" w:cs="仿宋_GB2312"/>
              </w:rPr>
            </w:pPr>
          </w:p>
        </w:tc>
        <w:tc>
          <w:tcPr>
            <w:tcW w:w="578" w:type="dxa"/>
            <w:noWrap w:val="0"/>
            <w:vAlign w:val="center"/>
          </w:tcPr>
          <w:p>
            <w:pP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文字描述</w:t>
            </w:r>
          </w:p>
          <w:p>
            <w:pPr>
              <w:widowControl/>
              <w:adjustRightInd w:val="0"/>
              <w:snapToGrid w:val="0"/>
              <w:rPr>
                <w:rFonts w:hint="eastAsia" w:ascii="仿宋_GB2312" w:hAnsi="仿宋_GB2312" w:eastAsia="仿宋_GB2312" w:cs="仿宋_GB2312"/>
              </w:rPr>
            </w:pPr>
          </w:p>
        </w:tc>
        <w:tc>
          <w:tcPr>
            <w:tcW w:w="452" w:type="dxa"/>
            <w:noWrap w:val="0"/>
            <w:vAlign w:val="center"/>
          </w:tcPr>
          <w:p>
            <w:pPr>
              <w:widowControl/>
              <w:adjustRightInd w:val="0"/>
              <w:snapToGrid w:val="0"/>
              <w:jc w:val="center"/>
              <w:rPr>
                <w:rFonts w:hint="eastAsia" w:ascii="仿宋_GB2312" w:hAnsi="仿宋_GB2312" w:eastAsia="仿宋_GB2312" w:cs="仿宋_GB2312"/>
              </w:rPr>
            </w:pPr>
          </w:p>
        </w:tc>
        <w:tc>
          <w:tcPr>
            <w:tcW w:w="632" w:type="dxa"/>
            <w:noWrap w:val="0"/>
            <w:vAlign w:val="center"/>
          </w:tcPr>
          <w:p>
            <w:pPr>
              <w:jc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提高</w:t>
            </w:r>
          </w:p>
          <w:p>
            <w:pPr>
              <w:widowControl/>
              <w:adjustRightInd w:val="0"/>
              <w:snapToGrid w:val="0"/>
              <w:jc w:val="center"/>
              <w:rPr>
                <w:rFonts w:hint="eastAsia" w:ascii="仿宋_GB2312" w:hAnsi="仿宋_GB2312" w:eastAsia="仿宋_GB2312" w:cs="仿宋_GB2312"/>
              </w:rPr>
            </w:pPr>
          </w:p>
        </w:tc>
        <w:tc>
          <w:tcPr>
            <w:tcW w:w="1821" w:type="dxa"/>
            <w:noWrap w:val="0"/>
            <w:vAlign w:val="center"/>
          </w:tcPr>
          <w:p>
            <w:pP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部门职责</w:t>
            </w:r>
          </w:p>
          <w:p>
            <w:pPr>
              <w:widowControl/>
              <w:adjustRightInd w:val="0"/>
              <w:snapToGrid w:val="0"/>
              <w:rPr>
                <w:rFonts w:hint="eastAsia"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1419" w:hRule="atLeast"/>
          <w:jc w:val="center"/>
        </w:trPr>
        <w:tc>
          <w:tcPr>
            <w:tcW w:w="558" w:type="dxa"/>
            <w:noWrap w:val="0"/>
            <w:vAlign w:val="center"/>
          </w:tcPr>
          <w:p/>
        </w:tc>
        <w:tc>
          <w:tcPr>
            <w:tcW w:w="825" w:type="dxa"/>
            <w:noWrap w:val="0"/>
            <w:vAlign w:val="center"/>
          </w:tcPr>
          <w:p>
            <w:pPr>
              <w:widowControl/>
              <w:adjustRightInd w:val="0"/>
              <w:snapToGrid w:val="0"/>
              <w:jc w:val="center"/>
              <w:rPr>
                <w:rFonts w:ascii="方正书宋_GBK" w:eastAsia="方正书宋_GBK"/>
              </w:rPr>
            </w:pPr>
            <w:r>
              <w:rPr>
                <w:rFonts w:hint="eastAsia" w:ascii="方正书宋_GBK" w:eastAsia="方正书宋_GBK"/>
              </w:rPr>
              <w:t>满意度</w:t>
            </w:r>
          </w:p>
        </w:tc>
        <w:tc>
          <w:tcPr>
            <w:tcW w:w="1482" w:type="dxa"/>
            <w:noWrap/>
            <w:vAlign w:val="center"/>
          </w:tcPr>
          <w:p>
            <w:pPr>
              <w:widowControl/>
              <w:adjustRightInd w:val="0"/>
              <w:snapToGrid w:val="0"/>
              <w:rPr>
                <w:rFonts w:hint="eastAsia" w:ascii="仿宋_GB2312" w:hAnsi="仿宋_GB2312" w:eastAsia="仿宋_GB2312" w:cs="仿宋_GB2312"/>
                <w:lang w:eastAsia="zh-CN"/>
              </w:rPr>
            </w:pPr>
            <w:r>
              <w:rPr>
                <w:rFonts w:hint="eastAsia" w:ascii="仿宋_GB2312" w:hAnsi="仿宋_GB2312" w:eastAsia="仿宋_GB2312" w:cs="仿宋_GB2312"/>
                <w:color w:val="000000"/>
                <w:sz w:val="22"/>
                <w:lang w:eastAsia="zh-CN"/>
              </w:rPr>
              <w:t>服务满意度</w:t>
            </w:r>
          </w:p>
        </w:tc>
        <w:tc>
          <w:tcPr>
            <w:tcW w:w="2187" w:type="dxa"/>
            <w:noWrap/>
            <w:vAlign w:val="center"/>
          </w:tcPr>
          <w:p>
            <w:pP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10分在校师生及家长的满意度达到95%得满分，每降低1%扣1分，扣完为止。</w:t>
            </w:r>
          </w:p>
          <w:p>
            <w:pPr>
              <w:rPr>
                <w:rFonts w:hint="eastAsia" w:ascii="仿宋_GB2312" w:hAnsi="仿宋_GB2312" w:eastAsia="仿宋_GB2312" w:cs="仿宋_GB2312"/>
              </w:rPr>
            </w:pPr>
          </w:p>
        </w:tc>
        <w:tc>
          <w:tcPr>
            <w:tcW w:w="1717" w:type="dxa"/>
            <w:noWrap/>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color w:val="000000"/>
                <w:sz w:val="22"/>
              </w:rPr>
              <w:t>在校师生的满意程度</w:t>
            </w:r>
          </w:p>
        </w:tc>
        <w:tc>
          <w:tcPr>
            <w:tcW w:w="578" w:type="dxa"/>
            <w:noWrap w:val="0"/>
            <w:vAlign w:val="center"/>
          </w:tcPr>
          <w:p>
            <w:pP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w:t>
            </w:r>
          </w:p>
          <w:p>
            <w:pPr>
              <w:widowControl/>
              <w:adjustRightInd w:val="0"/>
              <w:snapToGrid w:val="0"/>
              <w:rPr>
                <w:rFonts w:hint="eastAsia" w:ascii="仿宋_GB2312" w:hAnsi="仿宋_GB2312" w:eastAsia="仿宋_GB2312" w:cs="仿宋_GB2312"/>
              </w:rPr>
            </w:pPr>
          </w:p>
        </w:tc>
        <w:tc>
          <w:tcPr>
            <w:tcW w:w="452" w:type="dxa"/>
            <w:noWrap w:val="0"/>
            <w:vAlign w:val="center"/>
          </w:tcPr>
          <w:tbl>
            <w:tblPr>
              <w:tblStyle w:val="10"/>
              <w:tblW w:w="3760" w:type="dxa"/>
              <w:tblInd w:w="0" w:type="dxa"/>
              <w:tblLayout w:type="fixed"/>
              <w:tblCellMar>
                <w:top w:w="0" w:type="dxa"/>
                <w:left w:w="108" w:type="dxa"/>
                <w:bottom w:w="0" w:type="dxa"/>
                <w:right w:w="108" w:type="dxa"/>
              </w:tblCellMar>
            </w:tblPr>
            <w:tblGrid>
              <w:gridCol w:w="1200"/>
              <w:gridCol w:w="2560"/>
            </w:tblGrid>
            <w:tr>
              <w:tblPrEx>
                <w:tblCellMar>
                  <w:top w:w="0" w:type="dxa"/>
                  <w:left w:w="108" w:type="dxa"/>
                  <w:bottom w:w="0" w:type="dxa"/>
                  <w:right w:w="108" w:type="dxa"/>
                </w:tblCellMar>
              </w:tblPrEx>
              <w:trPr>
                <w:trHeight w:val="330" w:hRule="atLeast"/>
              </w:trPr>
              <w:tc>
                <w:tcPr>
                  <w:tcW w:w="1200" w:type="dxa"/>
                  <w:tcBorders>
                    <w:top w:val="nil"/>
                    <w:left w:val="nil"/>
                    <w:bottom w:val="nil"/>
                    <w:right w:val="nil"/>
                  </w:tcBorders>
                  <w:noWrap/>
                  <w:vAlign w:val="top"/>
                </w:tcPr>
                <w:p>
                  <w:pPr>
                    <w:widowControl/>
                    <w:jc w:val="left"/>
                    <w:rPr>
                      <w:rFonts w:hint="eastAsia"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95</w:t>
                  </w:r>
                </w:p>
              </w:tc>
              <w:tc>
                <w:tcPr>
                  <w:tcW w:w="2560" w:type="dxa"/>
                  <w:tcBorders>
                    <w:top w:val="nil"/>
                    <w:left w:val="nil"/>
                    <w:bottom w:val="nil"/>
                    <w:right w:val="nil"/>
                  </w:tcBorders>
                  <w:noWrap/>
                  <w:vAlign w:val="top"/>
                </w:tcPr>
                <w:p>
                  <w:pPr>
                    <w:widowControl/>
                    <w:jc w:val="left"/>
                    <w:rPr>
                      <w:rFonts w:hint="eastAsia"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w:t>
                  </w:r>
                </w:p>
              </w:tc>
            </w:tr>
          </w:tbl>
          <w:p>
            <w:pPr>
              <w:widowControl/>
              <w:adjustRightInd w:val="0"/>
              <w:snapToGrid w:val="0"/>
              <w:rPr>
                <w:rFonts w:hint="eastAsia" w:ascii="仿宋_GB2312" w:hAnsi="仿宋_GB2312" w:eastAsia="仿宋_GB2312" w:cs="仿宋_GB2312"/>
              </w:rPr>
            </w:pPr>
          </w:p>
        </w:tc>
        <w:tc>
          <w:tcPr>
            <w:tcW w:w="632" w:type="dxa"/>
            <w:noWrap w:val="0"/>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w:t>
            </w:r>
          </w:p>
        </w:tc>
        <w:tc>
          <w:tcPr>
            <w:tcW w:w="1821" w:type="dxa"/>
            <w:noWrap w:val="0"/>
            <w:vAlign w:val="center"/>
          </w:tcPr>
          <w:p>
            <w:pPr>
              <w:widowControl/>
              <w:adjustRightInd w:val="0"/>
              <w:snapToGrid w:val="0"/>
              <w:rPr>
                <w:rFonts w:hint="eastAsia" w:ascii="仿宋_GB2312" w:hAnsi="仿宋_GB2312" w:eastAsia="仿宋_GB2312" w:cs="仿宋_GB2312"/>
                <w:lang w:eastAsia="zh-CN"/>
              </w:rPr>
            </w:pPr>
            <w:r>
              <w:rPr>
                <w:rFonts w:hint="eastAsia" w:ascii="仿宋_GB2312" w:hAnsi="仿宋_GB2312" w:eastAsia="仿宋_GB2312" w:cs="仿宋_GB2312"/>
                <w:color w:val="000000"/>
                <w:sz w:val="22"/>
                <w:lang w:eastAsia="zh-CN"/>
              </w:rPr>
              <w:t>调查问卷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04" w:hRule="atLeast"/>
          <w:jc w:val="center"/>
        </w:trPr>
        <w:tc>
          <w:tcPr>
            <w:tcW w:w="558" w:type="dxa"/>
            <w:noWrap w:val="0"/>
            <w:vAlign w:val="center"/>
          </w:tcPr>
          <w:p/>
        </w:tc>
        <w:tc>
          <w:tcPr>
            <w:tcW w:w="825" w:type="dxa"/>
            <w:noWrap w:val="0"/>
            <w:vAlign w:val="center"/>
          </w:tcPr>
          <w:p>
            <w:pPr>
              <w:widowControl/>
              <w:adjustRightInd w:val="0"/>
              <w:snapToGrid w:val="0"/>
              <w:jc w:val="center"/>
              <w:rPr>
                <w:rFonts w:hint="eastAsia" w:ascii="方正书宋_GBK" w:hAnsi="Calibri" w:eastAsia="方正书宋_GBK" w:cs="Arial"/>
                <w:kern w:val="2"/>
                <w:sz w:val="21"/>
                <w:szCs w:val="22"/>
                <w:lang w:val="en-US" w:eastAsia="zh-CN" w:bidi="ar-SA"/>
              </w:rPr>
            </w:pPr>
            <w:r>
              <w:rPr>
                <w:rFonts w:hint="eastAsia" w:ascii="方正书宋_GBK" w:eastAsia="方正书宋_GBK"/>
              </w:rPr>
              <w:t>满意度</w:t>
            </w:r>
          </w:p>
        </w:tc>
        <w:tc>
          <w:tcPr>
            <w:tcW w:w="1482" w:type="dxa"/>
            <w:noWrap/>
            <w:vAlign w:val="center"/>
          </w:tcPr>
          <w:p>
            <w:pPr>
              <w:widowControl/>
              <w:adjustRightInd w:val="0"/>
              <w:snapToGrid w:val="0"/>
              <w:rPr>
                <w:rFonts w:hint="eastAsia" w:ascii="仿宋_GB2312" w:hAnsi="仿宋_GB2312" w:eastAsia="仿宋_GB2312" w:cs="仿宋_GB2312"/>
                <w:kern w:val="2"/>
                <w:sz w:val="21"/>
                <w:szCs w:val="22"/>
                <w:lang w:val="en-US" w:eastAsia="zh-CN" w:bidi="ar-SA"/>
              </w:rPr>
            </w:pPr>
            <w:r>
              <w:rPr>
                <w:rFonts w:hint="eastAsia" w:ascii="仿宋_GB2312" w:hAnsi="仿宋_GB2312" w:eastAsia="仿宋_GB2312" w:cs="仿宋_GB2312"/>
                <w:color w:val="000000"/>
                <w:sz w:val="22"/>
                <w:lang w:eastAsia="zh-CN"/>
              </w:rPr>
              <w:t>服务满意度</w:t>
            </w:r>
          </w:p>
        </w:tc>
        <w:tc>
          <w:tcPr>
            <w:tcW w:w="2187" w:type="dxa"/>
            <w:noWrap/>
            <w:vAlign w:val="center"/>
          </w:tcPr>
          <w:p>
            <w:pPr>
              <w:rPr>
                <w:rFonts w:hint="eastAsia" w:ascii="仿宋_GB2312" w:hAnsi="仿宋_GB2312" w:eastAsia="仿宋_GB2312" w:cs="仿宋_GB2312"/>
                <w:kern w:val="2"/>
                <w:sz w:val="21"/>
                <w:szCs w:val="22"/>
                <w:lang w:val="en-US" w:eastAsia="zh-CN" w:bidi="ar-SA"/>
              </w:rPr>
            </w:pPr>
            <w:r>
              <w:rPr>
                <w:rFonts w:hint="eastAsia" w:ascii="仿宋_GB2312" w:hAnsi="仿宋_GB2312" w:eastAsia="仿宋_GB2312" w:cs="仿宋_GB2312"/>
                <w:color w:val="000000"/>
                <w:sz w:val="22"/>
              </w:rPr>
              <w:t>10分在校师生及家长的满意度达到95%得满分，每降低1%扣1分，扣完为止。</w:t>
            </w:r>
          </w:p>
        </w:tc>
        <w:tc>
          <w:tcPr>
            <w:tcW w:w="1717" w:type="dxa"/>
            <w:noWrap/>
            <w:vAlign w:val="center"/>
          </w:tcPr>
          <w:p>
            <w:pPr>
              <w:widowControl/>
              <w:adjustRightInd w:val="0"/>
              <w:snapToGrid w:val="0"/>
              <w:rPr>
                <w:rFonts w:hint="eastAsia" w:ascii="仿宋_GB2312" w:hAnsi="仿宋_GB2312" w:eastAsia="仿宋_GB2312" w:cs="仿宋_GB2312"/>
                <w:kern w:val="2"/>
                <w:sz w:val="21"/>
                <w:szCs w:val="22"/>
                <w:lang w:val="en-US" w:eastAsia="zh-CN" w:bidi="ar-SA"/>
              </w:rPr>
            </w:pPr>
            <w:r>
              <w:rPr>
                <w:rFonts w:hint="eastAsia" w:ascii="仿宋_GB2312" w:hAnsi="仿宋_GB2312" w:eastAsia="仿宋_GB2312" w:cs="仿宋_GB2312"/>
                <w:color w:val="000000"/>
                <w:sz w:val="22"/>
                <w:lang w:eastAsia="zh-CN"/>
              </w:rPr>
              <w:t>家长</w:t>
            </w:r>
            <w:r>
              <w:rPr>
                <w:rFonts w:hint="eastAsia" w:ascii="仿宋_GB2312" w:hAnsi="仿宋_GB2312" w:eastAsia="仿宋_GB2312" w:cs="仿宋_GB2312"/>
                <w:color w:val="000000"/>
                <w:sz w:val="22"/>
              </w:rPr>
              <w:t>的满意程度</w:t>
            </w:r>
          </w:p>
        </w:tc>
        <w:tc>
          <w:tcPr>
            <w:tcW w:w="578" w:type="dxa"/>
            <w:noWrap w:val="0"/>
            <w:vAlign w:val="center"/>
          </w:tcPr>
          <w:p>
            <w:pP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w:t>
            </w:r>
          </w:p>
          <w:p>
            <w:pPr>
              <w:widowControl/>
              <w:adjustRightInd w:val="0"/>
              <w:snapToGrid w:val="0"/>
              <w:rPr>
                <w:rFonts w:hint="eastAsia" w:ascii="仿宋_GB2312" w:hAnsi="仿宋_GB2312" w:eastAsia="仿宋_GB2312" w:cs="仿宋_GB2312"/>
                <w:kern w:val="2"/>
                <w:sz w:val="21"/>
                <w:szCs w:val="22"/>
                <w:lang w:val="en-US" w:eastAsia="zh-CN" w:bidi="ar-SA"/>
              </w:rPr>
            </w:pPr>
          </w:p>
        </w:tc>
        <w:tc>
          <w:tcPr>
            <w:tcW w:w="452" w:type="dxa"/>
            <w:noWrap w:val="0"/>
            <w:vAlign w:val="center"/>
          </w:tcPr>
          <w:tbl>
            <w:tblPr>
              <w:tblStyle w:val="10"/>
              <w:tblW w:w="3760" w:type="dxa"/>
              <w:tblInd w:w="0" w:type="dxa"/>
              <w:tblLayout w:type="fixed"/>
              <w:tblCellMar>
                <w:top w:w="0" w:type="dxa"/>
                <w:left w:w="108" w:type="dxa"/>
                <w:bottom w:w="0" w:type="dxa"/>
                <w:right w:w="108" w:type="dxa"/>
              </w:tblCellMar>
            </w:tblPr>
            <w:tblGrid>
              <w:gridCol w:w="1200"/>
              <w:gridCol w:w="2560"/>
            </w:tblGrid>
            <w:tr>
              <w:tblPrEx>
                <w:tblCellMar>
                  <w:top w:w="0" w:type="dxa"/>
                  <w:left w:w="108" w:type="dxa"/>
                  <w:bottom w:w="0" w:type="dxa"/>
                  <w:right w:w="108" w:type="dxa"/>
                </w:tblCellMar>
              </w:tblPrEx>
              <w:trPr>
                <w:trHeight w:val="330" w:hRule="atLeast"/>
              </w:trPr>
              <w:tc>
                <w:tcPr>
                  <w:tcW w:w="1200" w:type="dxa"/>
                  <w:tcBorders>
                    <w:top w:val="nil"/>
                    <w:left w:val="nil"/>
                    <w:bottom w:val="nil"/>
                    <w:right w:val="nil"/>
                  </w:tcBorders>
                  <w:noWrap/>
                  <w:vAlign w:val="top"/>
                </w:tcPr>
                <w:p>
                  <w:pPr>
                    <w:widowControl/>
                    <w:jc w:val="left"/>
                    <w:rPr>
                      <w:rFonts w:hint="eastAsia"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95</w:t>
                  </w:r>
                </w:p>
              </w:tc>
              <w:tc>
                <w:tcPr>
                  <w:tcW w:w="2560" w:type="dxa"/>
                  <w:tcBorders>
                    <w:top w:val="nil"/>
                    <w:left w:val="nil"/>
                    <w:bottom w:val="nil"/>
                    <w:right w:val="nil"/>
                  </w:tcBorders>
                  <w:noWrap/>
                  <w:vAlign w:val="top"/>
                </w:tcPr>
                <w:p>
                  <w:pPr>
                    <w:widowControl/>
                    <w:jc w:val="left"/>
                    <w:rPr>
                      <w:rFonts w:hint="eastAsia"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w:t>
                  </w:r>
                </w:p>
              </w:tc>
            </w:tr>
          </w:tbl>
          <w:p>
            <w:pPr>
              <w:widowControl/>
              <w:adjustRightInd w:val="0"/>
              <w:snapToGrid w:val="0"/>
              <w:rPr>
                <w:rFonts w:hint="eastAsia" w:ascii="仿宋_GB2312" w:hAnsi="仿宋_GB2312" w:eastAsia="仿宋_GB2312" w:cs="仿宋_GB2312"/>
                <w:kern w:val="2"/>
                <w:sz w:val="21"/>
                <w:szCs w:val="22"/>
                <w:lang w:val="en-US" w:eastAsia="zh-CN" w:bidi="ar-SA"/>
              </w:rPr>
            </w:pPr>
          </w:p>
        </w:tc>
        <w:tc>
          <w:tcPr>
            <w:tcW w:w="632" w:type="dxa"/>
            <w:noWrap w:val="0"/>
            <w:vAlign w:val="center"/>
          </w:tcPr>
          <w:p>
            <w:pPr>
              <w:widowControl/>
              <w:adjustRightInd w:val="0"/>
              <w:snapToGrid w:val="0"/>
              <w:rPr>
                <w:rFonts w:hint="eastAsia" w:ascii="仿宋_GB2312" w:hAnsi="仿宋_GB2312" w:eastAsia="仿宋_GB2312" w:cs="仿宋_GB2312"/>
                <w:kern w:val="2"/>
                <w:sz w:val="21"/>
                <w:szCs w:val="22"/>
                <w:lang w:val="en-US" w:eastAsia="zh-CN" w:bidi="ar-SA"/>
              </w:rPr>
            </w:pPr>
            <w:r>
              <w:rPr>
                <w:rFonts w:hint="eastAsia" w:ascii="仿宋_GB2312" w:hAnsi="仿宋_GB2312" w:eastAsia="仿宋_GB2312" w:cs="仿宋_GB2312"/>
              </w:rPr>
              <w:t>%</w:t>
            </w:r>
          </w:p>
        </w:tc>
        <w:tc>
          <w:tcPr>
            <w:tcW w:w="1821" w:type="dxa"/>
            <w:noWrap w:val="0"/>
            <w:vAlign w:val="center"/>
          </w:tcPr>
          <w:p>
            <w:pPr>
              <w:widowControl/>
              <w:adjustRightInd w:val="0"/>
              <w:snapToGrid w:val="0"/>
              <w:rPr>
                <w:rFonts w:hint="eastAsia" w:ascii="仿宋_GB2312" w:hAnsi="仿宋_GB2312" w:eastAsia="仿宋_GB2312" w:cs="仿宋_GB2312"/>
                <w:kern w:val="2"/>
                <w:sz w:val="21"/>
                <w:szCs w:val="22"/>
                <w:lang w:val="en-US" w:eastAsia="zh-CN" w:bidi="ar-SA"/>
              </w:rPr>
            </w:pPr>
            <w:r>
              <w:rPr>
                <w:rFonts w:hint="eastAsia" w:ascii="仿宋_GB2312" w:hAnsi="仿宋_GB2312" w:eastAsia="仿宋_GB2312" w:cs="仿宋_GB2312"/>
                <w:color w:val="000000"/>
                <w:sz w:val="22"/>
                <w:lang w:eastAsia="zh-CN"/>
              </w:rPr>
              <w:t>调查问卷</w:t>
            </w:r>
          </w:p>
        </w:tc>
      </w:tr>
    </w:tbl>
    <w:p>
      <w:pPr>
        <w:spacing w:line="584" w:lineRule="exact"/>
        <w:ind w:firstLine="640" w:firstLineChars="200"/>
        <w:rPr>
          <w:rFonts w:hint="eastAsia" w:ascii="Times New Roman" w:hAnsi="Times New Roman" w:eastAsia="黑体" w:cs="Times New Roman"/>
          <w:sz w:val="32"/>
          <w:szCs w:val="32"/>
        </w:rPr>
      </w:pP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第二部分 资金绩效目标</w:t>
      </w:r>
    </w:p>
    <w:p>
      <w:pPr>
        <w:rPr>
          <w:rFonts w:hint="eastAsia" w:ascii="仿宋_GB2312" w:hAnsi="仿宋_GB2312" w:eastAsia="仿宋_GB2312" w:cs="仿宋_GB2312"/>
          <w:color w:val="000000"/>
          <w:sz w:val="28"/>
          <w:szCs w:val="28"/>
        </w:rPr>
      </w:pPr>
      <w:bookmarkStart w:id="0" w:name="_Toc_4_4_0000000004"/>
      <w:r>
        <w:rPr>
          <w:rFonts w:hint="eastAsia" w:ascii="仿宋_GB2312" w:hAnsi="仿宋_GB2312" w:eastAsia="仿宋_GB2312" w:cs="仿宋_GB2312"/>
          <w:color w:val="000000"/>
          <w:sz w:val="28"/>
          <w:szCs w:val="28"/>
        </w:rPr>
        <w:t>1.城乡义务教育生均公用经费[区级]绩效目标表</w:t>
      </w:r>
      <w:bookmarkEnd w:id="0"/>
    </w:p>
    <w:tbl>
      <w:tblPr>
        <w:tblStyle w:val="10"/>
        <w:tblW w:w="4998" w:type="pct"/>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547"/>
        <w:gridCol w:w="12385"/>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noWrap w:val="0"/>
            <w:vAlign w:val="center"/>
          </w:tcPr>
          <w:p>
            <w:pPr>
              <w:pStyle w:val="19"/>
              <w:rPr>
                <w:rFonts w:hint="eastAsia" w:ascii="仿宋_GB2312" w:hAnsi="仿宋_GB2312" w:eastAsia="仿宋_GB2312" w:cs="仿宋_GB2312"/>
              </w:rPr>
            </w:pPr>
            <w:r>
              <w:rPr>
                <w:rFonts w:hint="eastAsia" w:ascii="仿宋_GB2312" w:hAnsi="仿宋_GB2312" w:eastAsia="仿宋_GB2312" w:cs="仿宋_GB2312"/>
              </w:rPr>
              <w:t>绩效目标</w:t>
            </w:r>
          </w:p>
        </w:tc>
        <w:tc>
          <w:tcPr>
            <w:tcW w:w="4444" w:type="pct"/>
            <w:noWrap w:val="0"/>
            <w:vAlign w:val="center"/>
          </w:tcPr>
          <w:p>
            <w:pPr>
              <w:pStyle w:val="17"/>
              <w:rPr>
                <w:rFonts w:hint="eastAsia" w:ascii="仿宋_GB2312" w:hAnsi="仿宋_GB2312" w:eastAsia="仿宋_GB2312" w:cs="仿宋_GB2312"/>
              </w:rPr>
            </w:pPr>
            <w:r>
              <w:rPr>
                <w:rFonts w:hint="eastAsia" w:ascii="仿宋_GB2312" w:hAnsi="仿宋_GB2312" w:eastAsia="仿宋_GB2312" w:cs="仿宋_GB2312"/>
              </w:rPr>
              <w:t>1.廊坊市广阳区北旺镇东户屯中心小学对2022年在校学生</w:t>
            </w:r>
            <w:r>
              <w:rPr>
                <w:rFonts w:hint="eastAsia" w:ascii="仿宋_GB2312" w:hAnsi="仿宋_GB2312" w:eastAsia="仿宋_GB2312" w:cs="仿宋_GB2312"/>
                <w:lang w:eastAsia="zh-CN"/>
              </w:rPr>
              <w:t>170</w:t>
            </w:r>
            <w:r>
              <w:rPr>
                <w:rFonts w:hint="eastAsia" w:ascii="仿宋_GB2312" w:hAnsi="仿宋_GB2312" w:eastAsia="仿宋_GB2312" w:cs="仿宋_GB2312"/>
              </w:rPr>
              <w:t>人，按照义务教育生均公用经费标准申请财政预算金，通过合理、合规使用资金达到保证学校正常运转。</w:t>
            </w:r>
          </w:p>
          <w:p>
            <w:pPr>
              <w:pStyle w:val="17"/>
              <w:rPr>
                <w:rFonts w:hint="eastAsia" w:ascii="仿宋_GB2312" w:hAnsi="仿宋_GB2312" w:eastAsia="仿宋_GB2312" w:cs="仿宋_GB2312"/>
              </w:rPr>
            </w:pPr>
            <w:r>
              <w:rPr>
                <w:rFonts w:hint="eastAsia" w:ascii="仿宋_GB2312" w:hAnsi="仿宋_GB2312" w:eastAsia="仿宋_GB2312" w:cs="仿宋_GB2312"/>
              </w:rPr>
              <w:t>2.改善我校办学条件</w:t>
            </w:r>
          </w:p>
          <w:p>
            <w:pPr>
              <w:pStyle w:val="17"/>
              <w:rPr>
                <w:rFonts w:hint="eastAsia" w:ascii="仿宋_GB2312" w:hAnsi="仿宋_GB2312" w:eastAsia="仿宋_GB2312" w:cs="仿宋_GB2312"/>
              </w:rPr>
            </w:pPr>
            <w:r>
              <w:rPr>
                <w:rFonts w:hint="eastAsia" w:ascii="仿宋_GB2312" w:hAnsi="仿宋_GB2312" w:eastAsia="仿宋_GB2312" w:cs="仿宋_GB2312"/>
              </w:rPr>
              <w:t>3.促进农村义务教育发展</w:t>
            </w:r>
          </w:p>
        </w:tc>
      </w:tr>
    </w:tbl>
    <w:p>
      <w:pPr>
        <w:spacing w:line="2" w:lineRule="exact"/>
        <w:jc w:val="center"/>
        <w:rPr>
          <w:rFonts w:hint="eastAsia" w:ascii="仿宋_GB2312" w:hAnsi="仿宋_GB2312" w:eastAsia="仿宋_GB2312" w:cs="仿宋_GB2312"/>
        </w:rPr>
      </w:pPr>
      <w:r>
        <w:rPr>
          <w:rFonts w:hint="eastAsia" w:ascii="仿宋_GB2312" w:hAnsi="仿宋_GB2312" w:eastAsia="仿宋_GB2312" w:cs="仿宋_GB2312"/>
          <w:color w:val="000000"/>
        </w:rPr>
        <w:t xml:space="preserve"> </w:t>
      </w:r>
    </w:p>
    <w:tbl>
      <w:tblPr>
        <w:tblStyle w:val="10"/>
        <w:tblW w:w="4997"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578"/>
        <w:gridCol w:w="2047"/>
        <w:gridCol w:w="2345"/>
        <w:gridCol w:w="3569"/>
        <w:gridCol w:w="1079"/>
        <w:gridCol w:w="331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566" w:type="pct"/>
            <w:noWrap w:val="0"/>
            <w:vAlign w:val="center"/>
          </w:tcPr>
          <w:p>
            <w:pPr>
              <w:pStyle w:val="19"/>
              <w:rPr>
                <w:rFonts w:hint="eastAsia" w:ascii="仿宋_GB2312" w:hAnsi="仿宋_GB2312" w:eastAsia="仿宋_GB2312" w:cs="仿宋_GB2312"/>
              </w:rPr>
            </w:pPr>
            <w:r>
              <w:rPr>
                <w:rFonts w:hint="eastAsia" w:ascii="仿宋_GB2312" w:hAnsi="仿宋_GB2312" w:eastAsia="仿宋_GB2312" w:cs="仿宋_GB2312"/>
              </w:rPr>
              <w:t>一级指标</w:t>
            </w:r>
          </w:p>
        </w:tc>
        <w:tc>
          <w:tcPr>
            <w:tcW w:w="734" w:type="pct"/>
            <w:noWrap w:val="0"/>
            <w:vAlign w:val="center"/>
          </w:tcPr>
          <w:p>
            <w:pPr>
              <w:pStyle w:val="19"/>
              <w:rPr>
                <w:rFonts w:hint="eastAsia" w:ascii="仿宋_GB2312" w:hAnsi="仿宋_GB2312" w:eastAsia="仿宋_GB2312" w:cs="仿宋_GB2312"/>
              </w:rPr>
            </w:pPr>
            <w:r>
              <w:rPr>
                <w:rFonts w:hint="eastAsia" w:ascii="仿宋_GB2312" w:hAnsi="仿宋_GB2312" w:eastAsia="仿宋_GB2312" w:cs="仿宋_GB2312"/>
              </w:rPr>
              <w:t>二级指标</w:t>
            </w:r>
          </w:p>
        </w:tc>
        <w:tc>
          <w:tcPr>
            <w:tcW w:w="841" w:type="pct"/>
            <w:noWrap w:val="0"/>
            <w:vAlign w:val="center"/>
          </w:tcPr>
          <w:p>
            <w:pPr>
              <w:pStyle w:val="19"/>
              <w:rPr>
                <w:rFonts w:hint="eastAsia" w:ascii="仿宋_GB2312" w:hAnsi="仿宋_GB2312" w:eastAsia="仿宋_GB2312" w:cs="仿宋_GB2312"/>
              </w:rPr>
            </w:pPr>
            <w:r>
              <w:rPr>
                <w:rFonts w:hint="eastAsia" w:ascii="仿宋_GB2312" w:hAnsi="仿宋_GB2312" w:eastAsia="仿宋_GB2312" w:cs="仿宋_GB2312"/>
              </w:rPr>
              <w:t>三级指标</w:t>
            </w:r>
          </w:p>
        </w:tc>
        <w:tc>
          <w:tcPr>
            <w:tcW w:w="1280" w:type="pct"/>
            <w:noWrap w:val="0"/>
            <w:vAlign w:val="center"/>
          </w:tcPr>
          <w:p>
            <w:pPr>
              <w:pStyle w:val="19"/>
              <w:rPr>
                <w:rFonts w:hint="eastAsia" w:ascii="仿宋_GB2312" w:hAnsi="仿宋_GB2312" w:eastAsia="仿宋_GB2312" w:cs="仿宋_GB2312"/>
              </w:rPr>
            </w:pPr>
            <w:r>
              <w:rPr>
                <w:rFonts w:hint="eastAsia" w:ascii="仿宋_GB2312" w:hAnsi="仿宋_GB2312" w:eastAsia="仿宋_GB2312" w:cs="仿宋_GB2312"/>
              </w:rPr>
              <w:t>绩效指标描述</w:t>
            </w:r>
          </w:p>
        </w:tc>
        <w:tc>
          <w:tcPr>
            <w:tcW w:w="387" w:type="pct"/>
            <w:noWrap w:val="0"/>
            <w:vAlign w:val="center"/>
          </w:tcPr>
          <w:p>
            <w:pPr>
              <w:pStyle w:val="19"/>
              <w:rPr>
                <w:rFonts w:hint="eastAsia" w:ascii="仿宋_GB2312" w:hAnsi="仿宋_GB2312" w:eastAsia="仿宋_GB2312" w:cs="仿宋_GB2312"/>
              </w:rPr>
            </w:pPr>
            <w:r>
              <w:rPr>
                <w:rFonts w:hint="eastAsia" w:ascii="仿宋_GB2312" w:hAnsi="仿宋_GB2312" w:eastAsia="仿宋_GB2312" w:cs="仿宋_GB2312"/>
              </w:rPr>
              <w:t>指标值</w:t>
            </w:r>
          </w:p>
        </w:tc>
        <w:tc>
          <w:tcPr>
            <w:tcW w:w="1188" w:type="pct"/>
            <w:noWrap w:val="0"/>
            <w:vAlign w:val="center"/>
          </w:tcPr>
          <w:p>
            <w:pPr>
              <w:pStyle w:val="19"/>
              <w:rPr>
                <w:rFonts w:hint="eastAsia" w:ascii="仿宋_GB2312" w:hAnsi="仿宋_GB2312" w:eastAsia="仿宋_GB2312" w:cs="仿宋_GB2312"/>
              </w:rPr>
            </w:pPr>
            <w:r>
              <w:rPr>
                <w:rFonts w:hint="eastAsia" w:ascii="仿宋_GB2312" w:hAnsi="仿宋_GB2312" w:eastAsia="仿宋_GB2312" w:cs="仿宋_GB2312"/>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 w:type="pct"/>
            <w:vMerge w:val="restart"/>
            <w:noWrap w:val="0"/>
            <w:vAlign w:val="center"/>
          </w:tcPr>
          <w:p>
            <w:pPr>
              <w:pStyle w:val="13"/>
              <w:rPr>
                <w:rFonts w:hint="eastAsia" w:ascii="仿宋_GB2312" w:hAnsi="仿宋_GB2312" w:eastAsia="仿宋_GB2312" w:cs="仿宋_GB2312"/>
              </w:rPr>
            </w:pPr>
            <w:r>
              <w:rPr>
                <w:rFonts w:hint="eastAsia" w:ascii="仿宋_GB2312" w:hAnsi="仿宋_GB2312" w:eastAsia="仿宋_GB2312" w:cs="仿宋_GB2312"/>
              </w:rPr>
              <w:t>产出指标</w:t>
            </w:r>
          </w:p>
        </w:tc>
        <w:tc>
          <w:tcPr>
            <w:tcW w:w="734" w:type="pct"/>
            <w:noWrap w:val="0"/>
            <w:vAlign w:val="center"/>
          </w:tcPr>
          <w:p>
            <w:pPr>
              <w:pStyle w:val="17"/>
              <w:rPr>
                <w:rFonts w:hint="eastAsia" w:ascii="仿宋_GB2312" w:hAnsi="仿宋_GB2312" w:eastAsia="仿宋_GB2312" w:cs="仿宋_GB2312"/>
              </w:rPr>
            </w:pPr>
            <w:r>
              <w:rPr>
                <w:rFonts w:hint="eastAsia" w:ascii="仿宋_GB2312" w:hAnsi="仿宋_GB2312" w:eastAsia="仿宋_GB2312" w:cs="仿宋_GB2312"/>
              </w:rPr>
              <w:t>数量指标</w:t>
            </w:r>
          </w:p>
        </w:tc>
        <w:tc>
          <w:tcPr>
            <w:tcW w:w="841" w:type="pct"/>
            <w:noWrap w:val="0"/>
            <w:vAlign w:val="center"/>
          </w:tcPr>
          <w:p>
            <w:pPr>
              <w:pStyle w:val="17"/>
              <w:rPr>
                <w:rFonts w:hint="eastAsia" w:ascii="仿宋_GB2312" w:hAnsi="仿宋_GB2312" w:eastAsia="仿宋_GB2312" w:cs="仿宋_GB2312"/>
              </w:rPr>
            </w:pPr>
            <w:r>
              <w:rPr>
                <w:rFonts w:hint="eastAsia" w:ascii="仿宋_GB2312" w:hAnsi="仿宋_GB2312" w:eastAsia="仿宋_GB2312" w:cs="仿宋_GB2312"/>
              </w:rPr>
              <w:t>申请生均公用经费的学生人数</w:t>
            </w:r>
          </w:p>
        </w:tc>
        <w:tc>
          <w:tcPr>
            <w:tcW w:w="1280" w:type="pct"/>
            <w:noWrap w:val="0"/>
            <w:vAlign w:val="center"/>
          </w:tcPr>
          <w:p>
            <w:pPr>
              <w:pStyle w:val="17"/>
              <w:rPr>
                <w:rFonts w:hint="eastAsia" w:ascii="仿宋_GB2312" w:hAnsi="仿宋_GB2312" w:eastAsia="仿宋_GB2312" w:cs="仿宋_GB2312"/>
              </w:rPr>
            </w:pPr>
            <w:r>
              <w:rPr>
                <w:rFonts w:hint="eastAsia" w:ascii="仿宋_GB2312" w:hAnsi="仿宋_GB2312" w:eastAsia="仿宋_GB2312" w:cs="仿宋_GB2312"/>
              </w:rPr>
              <w:t>按文件要求申请生均公用经费的学生人数</w:t>
            </w:r>
          </w:p>
        </w:tc>
        <w:tc>
          <w:tcPr>
            <w:tcW w:w="387" w:type="pct"/>
            <w:noWrap w:val="0"/>
            <w:vAlign w:val="center"/>
          </w:tcPr>
          <w:p>
            <w:pPr>
              <w:pStyle w:val="17"/>
              <w:rPr>
                <w:rFonts w:hint="eastAsia" w:ascii="仿宋_GB2312" w:hAnsi="仿宋_GB2312" w:eastAsia="仿宋_GB2312" w:cs="仿宋_GB2312"/>
              </w:rPr>
            </w:pPr>
            <w:r>
              <w:rPr>
                <w:rFonts w:hint="eastAsia" w:ascii="仿宋_GB2312" w:hAnsi="仿宋_GB2312" w:eastAsia="仿宋_GB2312" w:cs="仿宋_GB2312"/>
                <w:lang w:eastAsia="zh-CN"/>
              </w:rPr>
              <w:t>170</w:t>
            </w:r>
            <w:r>
              <w:rPr>
                <w:rFonts w:hint="eastAsia" w:ascii="仿宋_GB2312" w:hAnsi="仿宋_GB2312" w:eastAsia="仿宋_GB2312" w:cs="仿宋_GB2312"/>
              </w:rPr>
              <w:t>人</w:t>
            </w:r>
          </w:p>
        </w:tc>
        <w:tc>
          <w:tcPr>
            <w:tcW w:w="1188" w:type="pct"/>
            <w:noWrap w:val="0"/>
            <w:vAlign w:val="center"/>
          </w:tcPr>
          <w:p>
            <w:pPr>
              <w:pStyle w:val="17"/>
              <w:rPr>
                <w:rFonts w:hint="eastAsia" w:ascii="仿宋_GB2312" w:hAnsi="仿宋_GB2312" w:eastAsia="仿宋_GB2312" w:cs="仿宋_GB2312"/>
              </w:rPr>
            </w:pPr>
            <w:r>
              <w:rPr>
                <w:rFonts w:hint="eastAsia" w:ascii="仿宋_GB2312" w:hAnsi="仿宋_GB2312" w:eastAsia="仿宋_GB2312" w:cs="仿宋_GB2312"/>
              </w:rPr>
              <w:t>关于印发教育领域省市、县财政事权和支出责任划分改革实施方案的通知（冀财教[2019]66号）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 w:type="pct"/>
            <w:vMerge w:val="continue"/>
            <w:noWrap w:val="0"/>
            <w:vAlign w:val="center"/>
          </w:tcPr>
          <w:p>
            <w:pPr>
              <w:rPr>
                <w:rFonts w:hint="eastAsia" w:ascii="仿宋_GB2312" w:hAnsi="仿宋_GB2312" w:eastAsia="仿宋_GB2312" w:cs="仿宋_GB2312"/>
              </w:rPr>
            </w:pPr>
          </w:p>
        </w:tc>
        <w:tc>
          <w:tcPr>
            <w:tcW w:w="734" w:type="pct"/>
            <w:noWrap w:val="0"/>
            <w:vAlign w:val="center"/>
          </w:tcPr>
          <w:p>
            <w:pPr>
              <w:pStyle w:val="17"/>
              <w:rPr>
                <w:rFonts w:hint="eastAsia" w:ascii="仿宋_GB2312" w:hAnsi="仿宋_GB2312" w:eastAsia="仿宋_GB2312" w:cs="仿宋_GB2312"/>
              </w:rPr>
            </w:pPr>
            <w:r>
              <w:rPr>
                <w:rFonts w:hint="eastAsia" w:ascii="仿宋_GB2312" w:hAnsi="仿宋_GB2312" w:eastAsia="仿宋_GB2312" w:cs="仿宋_GB2312"/>
              </w:rPr>
              <w:t>质量指标</w:t>
            </w:r>
          </w:p>
        </w:tc>
        <w:tc>
          <w:tcPr>
            <w:tcW w:w="841" w:type="pct"/>
            <w:noWrap w:val="0"/>
            <w:vAlign w:val="center"/>
          </w:tcPr>
          <w:p>
            <w:pPr>
              <w:pStyle w:val="17"/>
              <w:rPr>
                <w:rFonts w:hint="eastAsia" w:ascii="仿宋_GB2312" w:hAnsi="仿宋_GB2312" w:eastAsia="仿宋_GB2312" w:cs="仿宋_GB2312"/>
              </w:rPr>
            </w:pPr>
            <w:r>
              <w:rPr>
                <w:rFonts w:hint="eastAsia" w:ascii="仿宋_GB2312" w:hAnsi="仿宋_GB2312" w:eastAsia="仿宋_GB2312" w:cs="仿宋_GB2312"/>
              </w:rPr>
              <w:t>生均公用经费使用的合规率</w:t>
            </w:r>
          </w:p>
        </w:tc>
        <w:tc>
          <w:tcPr>
            <w:tcW w:w="1280" w:type="pct"/>
            <w:noWrap w:val="0"/>
            <w:vAlign w:val="center"/>
          </w:tcPr>
          <w:p>
            <w:pPr>
              <w:pStyle w:val="17"/>
              <w:rPr>
                <w:rFonts w:hint="eastAsia" w:ascii="仿宋_GB2312" w:hAnsi="仿宋_GB2312" w:eastAsia="仿宋_GB2312" w:cs="仿宋_GB2312"/>
              </w:rPr>
            </w:pPr>
            <w:r>
              <w:rPr>
                <w:rFonts w:hint="eastAsia" w:ascii="仿宋_GB2312" w:hAnsi="仿宋_GB2312" w:eastAsia="仿宋_GB2312" w:cs="仿宋_GB2312"/>
              </w:rPr>
              <w:t>生均公用经费使用符合文件中的相关规定</w:t>
            </w:r>
          </w:p>
        </w:tc>
        <w:tc>
          <w:tcPr>
            <w:tcW w:w="387" w:type="pct"/>
            <w:noWrap w:val="0"/>
            <w:vAlign w:val="center"/>
          </w:tcPr>
          <w:p>
            <w:pPr>
              <w:pStyle w:val="17"/>
              <w:rPr>
                <w:rFonts w:hint="eastAsia" w:ascii="仿宋_GB2312" w:hAnsi="仿宋_GB2312" w:eastAsia="仿宋_GB2312" w:cs="仿宋_GB2312"/>
              </w:rPr>
            </w:pPr>
            <w:r>
              <w:rPr>
                <w:rFonts w:hint="eastAsia" w:ascii="仿宋_GB2312" w:hAnsi="仿宋_GB2312" w:eastAsia="仿宋_GB2312" w:cs="仿宋_GB2312"/>
              </w:rPr>
              <w:t>100%</w:t>
            </w:r>
          </w:p>
        </w:tc>
        <w:tc>
          <w:tcPr>
            <w:tcW w:w="1188" w:type="pct"/>
            <w:noWrap w:val="0"/>
            <w:vAlign w:val="center"/>
          </w:tcPr>
          <w:p>
            <w:pPr>
              <w:pStyle w:val="17"/>
              <w:rPr>
                <w:rFonts w:hint="eastAsia" w:ascii="仿宋_GB2312" w:hAnsi="仿宋_GB2312" w:eastAsia="仿宋_GB2312" w:cs="仿宋_GB2312"/>
              </w:rPr>
            </w:pPr>
            <w:r>
              <w:rPr>
                <w:rFonts w:hint="eastAsia" w:ascii="仿宋_GB2312" w:hAnsi="仿宋_GB2312" w:eastAsia="仿宋_GB2312" w:cs="仿宋_GB2312"/>
              </w:rPr>
              <w:t>关于印发教育领域省市、县财政事权和支出责任划分改革实施方案的通知（冀财教[2019]66号）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 w:type="pct"/>
            <w:vMerge w:val="continue"/>
            <w:noWrap w:val="0"/>
            <w:vAlign w:val="center"/>
          </w:tcPr>
          <w:p>
            <w:pPr>
              <w:rPr>
                <w:rFonts w:hint="eastAsia" w:ascii="仿宋_GB2312" w:hAnsi="仿宋_GB2312" w:eastAsia="仿宋_GB2312" w:cs="仿宋_GB2312"/>
              </w:rPr>
            </w:pPr>
          </w:p>
        </w:tc>
        <w:tc>
          <w:tcPr>
            <w:tcW w:w="734" w:type="pct"/>
            <w:noWrap w:val="0"/>
            <w:vAlign w:val="center"/>
          </w:tcPr>
          <w:p>
            <w:pPr>
              <w:pStyle w:val="17"/>
              <w:rPr>
                <w:rFonts w:hint="eastAsia" w:ascii="仿宋_GB2312" w:hAnsi="仿宋_GB2312" w:eastAsia="仿宋_GB2312" w:cs="仿宋_GB2312"/>
              </w:rPr>
            </w:pPr>
            <w:r>
              <w:rPr>
                <w:rFonts w:hint="eastAsia" w:ascii="仿宋_GB2312" w:hAnsi="仿宋_GB2312" w:eastAsia="仿宋_GB2312" w:cs="仿宋_GB2312"/>
              </w:rPr>
              <w:t>时效指标</w:t>
            </w:r>
          </w:p>
        </w:tc>
        <w:tc>
          <w:tcPr>
            <w:tcW w:w="841" w:type="pct"/>
            <w:noWrap w:val="0"/>
            <w:vAlign w:val="center"/>
          </w:tcPr>
          <w:p>
            <w:pPr>
              <w:pStyle w:val="17"/>
              <w:rPr>
                <w:rFonts w:hint="eastAsia" w:ascii="仿宋_GB2312" w:hAnsi="仿宋_GB2312" w:eastAsia="仿宋_GB2312" w:cs="仿宋_GB2312"/>
              </w:rPr>
            </w:pPr>
            <w:r>
              <w:rPr>
                <w:rFonts w:hint="eastAsia" w:ascii="仿宋_GB2312" w:hAnsi="仿宋_GB2312" w:eastAsia="仿宋_GB2312" w:cs="仿宋_GB2312"/>
              </w:rPr>
              <w:t>用于保障学校正常运转项目完成及时率</w:t>
            </w:r>
          </w:p>
        </w:tc>
        <w:tc>
          <w:tcPr>
            <w:tcW w:w="1280" w:type="pct"/>
            <w:noWrap w:val="0"/>
            <w:vAlign w:val="center"/>
          </w:tcPr>
          <w:p>
            <w:pPr>
              <w:pStyle w:val="17"/>
              <w:rPr>
                <w:rFonts w:hint="eastAsia" w:ascii="仿宋_GB2312" w:hAnsi="仿宋_GB2312" w:eastAsia="仿宋_GB2312" w:cs="仿宋_GB2312"/>
              </w:rPr>
            </w:pPr>
            <w:r>
              <w:rPr>
                <w:rFonts w:hint="eastAsia" w:ascii="仿宋_GB2312" w:hAnsi="仿宋_GB2312" w:eastAsia="仿宋_GB2312" w:cs="仿宋_GB2312"/>
              </w:rPr>
              <w:t>使用生均公用经费，用于保障学校正常运转的项目完成情况</w:t>
            </w:r>
          </w:p>
        </w:tc>
        <w:tc>
          <w:tcPr>
            <w:tcW w:w="387" w:type="pct"/>
            <w:noWrap w:val="0"/>
            <w:vAlign w:val="center"/>
          </w:tcPr>
          <w:p>
            <w:pPr>
              <w:pStyle w:val="17"/>
              <w:rPr>
                <w:rFonts w:hint="eastAsia" w:ascii="仿宋_GB2312" w:hAnsi="仿宋_GB2312" w:eastAsia="仿宋_GB2312" w:cs="仿宋_GB2312"/>
              </w:rPr>
            </w:pPr>
            <w:r>
              <w:rPr>
                <w:rFonts w:hint="eastAsia" w:ascii="仿宋_GB2312" w:hAnsi="仿宋_GB2312" w:eastAsia="仿宋_GB2312" w:cs="仿宋_GB2312"/>
              </w:rPr>
              <w:t>100%</w:t>
            </w:r>
          </w:p>
        </w:tc>
        <w:tc>
          <w:tcPr>
            <w:tcW w:w="1188" w:type="pct"/>
            <w:noWrap w:val="0"/>
            <w:vAlign w:val="center"/>
          </w:tcPr>
          <w:p>
            <w:pPr>
              <w:pStyle w:val="17"/>
              <w:rPr>
                <w:rFonts w:hint="eastAsia" w:ascii="仿宋_GB2312" w:hAnsi="仿宋_GB2312" w:eastAsia="仿宋_GB2312" w:cs="仿宋_GB2312"/>
              </w:rPr>
            </w:pPr>
            <w:r>
              <w:rPr>
                <w:rFonts w:hint="eastAsia" w:ascii="仿宋_GB2312" w:hAnsi="仿宋_GB2312" w:eastAsia="仿宋_GB2312" w:cs="仿宋_GB2312"/>
              </w:rPr>
              <w:t>按进度及时完成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338" w:hRule="atLeast"/>
          <w:jc w:val="center"/>
        </w:trPr>
        <w:tc>
          <w:tcPr>
            <w:tcW w:w="566" w:type="pct"/>
            <w:vMerge w:val="continue"/>
            <w:noWrap w:val="0"/>
            <w:vAlign w:val="center"/>
          </w:tcPr>
          <w:p>
            <w:pPr>
              <w:rPr>
                <w:rFonts w:hint="eastAsia" w:ascii="仿宋_GB2312" w:hAnsi="仿宋_GB2312" w:eastAsia="仿宋_GB2312" w:cs="仿宋_GB2312"/>
              </w:rPr>
            </w:pPr>
          </w:p>
        </w:tc>
        <w:tc>
          <w:tcPr>
            <w:tcW w:w="734" w:type="pct"/>
            <w:noWrap w:val="0"/>
            <w:vAlign w:val="center"/>
          </w:tcPr>
          <w:p>
            <w:pPr>
              <w:pStyle w:val="17"/>
              <w:rPr>
                <w:rFonts w:hint="eastAsia" w:ascii="仿宋_GB2312" w:hAnsi="仿宋_GB2312" w:eastAsia="仿宋_GB2312" w:cs="仿宋_GB2312"/>
              </w:rPr>
            </w:pPr>
            <w:r>
              <w:rPr>
                <w:rFonts w:hint="eastAsia" w:ascii="仿宋_GB2312" w:hAnsi="仿宋_GB2312" w:eastAsia="仿宋_GB2312" w:cs="仿宋_GB2312"/>
              </w:rPr>
              <w:t>成本指标</w:t>
            </w:r>
          </w:p>
        </w:tc>
        <w:tc>
          <w:tcPr>
            <w:tcW w:w="841" w:type="pct"/>
            <w:noWrap w:val="0"/>
            <w:vAlign w:val="center"/>
          </w:tcPr>
          <w:p>
            <w:pPr>
              <w:pStyle w:val="17"/>
              <w:rPr>
                <w:rFonts w:hint="eastAsia" w:ascii="仿宋_GB2312" w:hAnsi="仿宋_GB2312" w:eastAsia="仿宋_GB2312" w:cs="仿宋_GB2312"/>
              </w:rPr>
            </w:pPr>
            <w:r>
              <w:rPr>
                <w:rFonts w:hint="eastAsia" w:ascii="仿宋_GB2312" w:hAnsi="仿宋_GB2312" w:eastAsia="仿宋_GB2312" w:cs="仿宋_GB2312"/>
              </w:rPr>
              <w:t>使用生均公用经费，用于保障学校正常运转的项目支出成本</w:t>
            </w:r>
          </w:p>
        </w:tc>
        <w:tc>
          <w:tcPr>
            <w:tcW w:w="1280" w:type="pct"/>
            <w:noWrap w:val="0"/>
            <w:vAlign w:val="center"/>
          </w:tcPr>
          <w:p>
            <w:pPr>
              <w:pStyle w:val="17"/>
              <w:rPr>
                <w:rFonts w:hint="eastAsia" w:ascii="仿宋_GB2312" w:hAnsi="仿宋_GB2312" w:eastAsia="仿宋_GB2312" w:cs="仿宋_GB2312"/>
              </w:rPr>
            </w:pPr>
            <w:r>
              <w:rPr>
                <w:rFonts w:hint="eastAsia" w:ascii="仿宋_GB2312" w:hAnsi="仿宋_GB2312" w:eastAsia="仿宋_GB2312" w:cs="仿宋_GB2312"/>
              </w:rPr>
              <w:t>使用生均公用经费，用于保障学校正常运转的项目支出成本等于735元/生</w:t>
            </w:r>
          </w:p>
        </w:tc>
        <w:tc>
          <w:tcPr>
            <w:tcW w:w="387" w:type="pct"/>
            <w:noWrap w:val="0"/>
            <w:vAlign w:val="center"/>
          </w:tcPr>
          <w:p>
            <w:pPr>
              <w:pStyle w:val="17"/>
              <w:rPr>
                <w:rFonts w:hint="eastAsia" w:ascii="仿宋_GB2312" w:hAnsi="仿宋_GB2312" w:eastAsia="仿宋_GB2312" w:cs="仿宋_GB2312"/>
              </w:rPr>
            </w:pPr>
            <w:r>
              <w:rPr>
                <w:rFonts w:hint="eastAsia" w:ascii="仿宋_GB2312" w:hAnsi="仿宋_GB2312" w:eastAsia="仿宋_GB2312" w:cs="仿宋_GB2312"/>
              </w:rPr>
              <w:t>735元</w:t>
            </w:r>
          </w:p>
        </w:tc>
        <w:tc>
          <w:tcPr>
            <w:tcW w:w="1188" w:type="pct"/>
            <w:noWrap w:val="0"/>
            <w:vAlign w:val="center"/>
          </w:tcPr>
          <w:p>
            <w:pPr>
              <w:pStyle w:val="17"/>
              <w:rPr>
                <w:rFonts w:hint="eastAsia" w:ascii="仿宋_GB2312" w:hAnsi="仿宋_GB2312" w:eastAsia="仿宋_GB2312" w:cs="仿宋_GB2312"/>
              </w:rPr>
            </w:pPr>
            <w:r>
              <w:rPr>
                <w:rFonts w:hint="eastAsia" w:ascii="仿宋_GB2312" w:hAnsi="仿宋_GB2312" w:eastAsia="仿宋_GB2312" w:cs="仿宋_GB2312"/>
              </w:rPr>
              <w:t>关于印发教育领域省市、县财政事权和支出责任划分改革实施方案的通知（冀财教[2019]66号）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 w:type="pct"/>
            <w:noWrap w:val="0"/>
            <w:vAlign w:val="center"/>
          </w:tcPr>
          <w:p>
            <w:pPr>
              <w:pStyle w:val="13"/>
              <w:rPr>
                <w:rFonts w:hint="eastAsia" w:ascii="仿宋_GB2312" w:hAnsi="仿宋_GB2312" w:eastAsia="仿宋_GB2312" w:cs="仿宋_GB2312"/>
              </w:rPr>
            </w:pPr>
            <w:r>
              <w:rPr>
                <w:rFonts w:hint="eastAsia" w:ascii="仿宋_GB2312" w:hAnsi="仿宋_GB2312" w:eastAsia="仿宋_GB2312" w:cs="仿宋_GB2312"/>
              </w:rPr>
              <w:t>效益指标</w:t>
            </w:r>
          </w:p>
        </w:tc>
        <w:tc>
          <w:tcPr>
            <w:tcW w:w="734" w:type="pct"/>
            <w:noWrap w:val="0"/>
            <w:vAlign w:val="center"/>
          </w:tcPr>
          <w:p>
            <w:pPr>
              <w:pStyle w:val="17"/>
              <w:rPr>
                <w:rFonts w:hint="eastAsia" w:ascii="仿宋_GB2312" w:hAnsi="仿宋_GB2312" w:eastAsia="仿宋_GB2312" w:cs="仿宋_GB2312"/>
              </w:rPr>
            </w:pPr>
            <w:r>
              <w:rPr>
                <w:rFonts w:hint="eastAsia" w:ascii="仿宋_GB2312" w:hAnsi="仿宋_GB2312" w:eastAsia="仿宋_GB2312" w:cs="仿宋_GB2312"/>
              </w:rPr>
              <w:t>社会效益指标</w:t>
            </w:r>
          </w:p>
        </w:tc>
        <w:tc>
          <w:tcPr>
            <w:tcW w:w="841" w:type="pct"/>
            <w:noWrap w:val="0"/>
            <w:vAlign w:val="center"/>
          </w:tcPr>
          <w:p>
            <w:pPr>
              <w:pStyle w:val="17"/>
              <w:rPr>
                <w:rFonts w:hint="eastAsia" w:ascii="仿宋_GB2312" w:hAnsi="仿宋_GB2312" w:eastAsia="仿宋_GB2312" w:cs="仿宋_GB2312"/>
              </w:rPr>
            </w:pPr>
            <w:r>
              <w:rPr>
                <w:rFonts w:hint="eastAsia" w:ascii="仿宋_GB2312" w:hAnsi="仿宋_GB2312" w:eastAsia="仿宋_GB2312" w:cs="仿宋_GB2312"/>
              </w:rPr>
              <w:t>义务教育高质量发展</w:t>
            </w:r>
          </w:p>
        </w:tc>
        <w:tc>
          <w:tcPr>
            <w:tcW w:w="1280" w:type="pct"/>
            <w:noWrap w:val="0"/>
            <w:vAlign w:val="center"/>
          </w:tcPr>
          <w:p>
            <w:pPr>
              <w:pStyle w:val="17"/>
              <w:rPr>
                <w:rFonts w:hint="eastAsia" w:ascii="仿宋_GB2312" w:hAnsi="仿宋_GB2312" w:eastAsia="仿宋_GB2312" w:cs="仿宋_GB2312"/>
              </w:rPr>
            </w:pPr>
            <w:r>
              <w:rPr>
                <w:rFonts w:hint="eastAsia" w:ascii="仿宋_GB2312" w:hAnsi="仿宋_GB2312" w:eastAsia="仿宋_GB2312" w:cs="仿宋_GB2312"/>
              </w:rPr>
              <w:t>该资金用于学校正常运转，改善办学条件，促进义务教育</w:t>
            </w:r>
          </w:p>
        </w:tc>
        <w:tc>
          <w:tcPr>
            <w:tcW w:w="387" w:type="pct"/>
            <w:noWrap w:val="0"/>
            <w:vAlign w:val="center"/>
          </w:tcPr>
          <w:p>
            <w:pPr>
              <w:pStyle w:val="17"/>
              <w:rPr>
                <w:rFonts w:hint="eastAsia" w:ascii="仿宋_GB2312" w:hAnsi="仿宋_GB2312" w:eastAsia="仿宋_GB2312" w:cs="仿宋_GB2312"/>
              </w:rPr>
            </w:pPr>
            <w:r>
              <w:rPr>
                <w:rFonts w:hint="eastAsia" w:ascii="仿宋_GB2312" w:hAnsi="仿宋_GB2312" w:eastAsia="仿宋_GB2312" w:cs="仿宋_GB2312"/>
              </w:rPr>
              <w:t>支持</w:t>
            </w:r>
          </w:p>
        </w:tc>
        <w:tc>
          <w:tcPr>
            <w:tcW w:w="1188" w:type="pct"/>
            <w:noWrap w:val="0"/>
            <w:vAlign w:val="center"/>
          </w:tcPr>
          <w:p>
            <w:pPr>
              <w:pStyle w:val="17"/>
              <w:rPr>
                <w:rFonts w:hint="eastAsia" w:ascii="仿宋_GB2312" w:hAnsi="仿宋_GB2312" w:eastAsia="仿宋_GB2312" w:cs="仿宋_GB2312"/>
              </w:rPr>
            </w:pPr>
            <w:r>
              <w:rPr>
                <w:rFonts w:hint="eastAsia" w:ascii="仿宋_GB2312" w:hAnsi="仿宋_GB2312" w:eastAsia="仿宋_GB2312" w:cs="仿宋_GB2312"/>
              </w:rPr>
              <w:t>冀财教【2019】66号文件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 w:type="pct"/>
            <w:noWrap w:val="0"/>
            <w:vAlign w:val="center"/>
          </w:tcPr>
          <w:p>
            <w:pPr>
              <w:pStyle w:val="13"/>
              <w:rPr>
                <w:rFonts w:hint="eastAsia" w:ascii="仿宋_GB2312" w:hAnsi="仿宋_GB2312" w:eastAsia="仿宋_GB2312" w:cs="仿宋_GB2312"/>
              </w:rPr>
            </w:pPr>
            <w:r>
              <w:rPr>
                <w:rFonts w:hint="eastAsia" w:ascii="仿宋_GB2312" w:hAnsi="仿宋_GB2312" w:eastAsia="仿宋_GB2312" w:cs="仿宋_GB2312"/>
              </w:rPr>
              <w:t>满意度指标</w:t>
            </w:r>
          </w:p>
        </w:tc>
        <w:tc>
          <w:tcPr>
            <w:tcW w:w="734" w:type="pct"/>
            <w:noWrap w:val="0"/>
            <w:vAlign w:val="center"/>
          </w:tcPr>
          <w:p>
            <w:pPr>
              <w:pStyle w:val="17"/>
              <w:rPr>
                <w:rFonts w:hint="eastAsia" w:ascii="仿宋_GB2312" w:hAnsi="仿宋_GB2312" w:eastAsia="仿宋_GB2312" w:cs="仿宋_GB2312"/>
              </w:rPr>
            </w:pPr>
            <w:r>
              <w:rPr>
                <w:rFonts w:hint="eastAsia" w:ascii="仿宋_GB2312" w:hAnsi="仿宋_GB2312" w:eastAsia="仿宋_GB2312" w:cs="仿宋_GB2312"/>
              </w:rPr>
              <w:t>服务对象满意度指标</w:t>
            </w:r>
          </w:p>
        </w:tc>
        <w:tc>
          <w:tcPr>
            <w:tcW w:w="841" w:type="pct"/>
            <w:noWrap w:val="0"/>
            <w:vAlign w:val="center"/>
          </w:tcPr>
          <w:p>
            <w:pPr>
              <w:pStyle w:val="17"/>
              <w:rPr>
                <w:rFonts w:hint="eastAsia" w:ascii="仿宋_GB2312" w:hAnsi="仿宋_GB2312" w:eastAsia="仿宋_GB2312" w:cs="仿宋_GB2312"/>
              </w:rPr>
            </w:pPr>
            <w:r>
              <w:rPr>
                <w:rFonts w:hint="eastAsia" w:ascii="仿宋_GB2312" w:hAnsi="仿宋_GB2312" w:eastAsia="仿宋_GB2312" w:cs="仿宋_GB2312"/>
              </w:rPr>
              <w:t>在校师生的满意程度</w:t>
            </w:r>
          </w:p>
        </w:tc>
        <w:tc>
          <w:tcPr>
            <w:tcW w:w="1280" w:type="pct"/>
            <w:noWrap w:val="0"/>
            <w:vAlign w:val="center"/>
          </w:tcPr>
          <w:p>
            <w:pPr>
              <w:pStyle w:val="17"/>
              <w:rPr>
                <w:rFonts w:hint="eastAsia" w:ascii="仿宋_GB2312" w:hAnsi="仿宋_GB2312" w:eastAsia="仿宋_GB2312" w:cs="仿宋_GB2312"/>
              </w:rPr>
            </w:pPr>
            <w:r>
              <w:rPr>
                <w:rFonts w:hint="eastAsia" w:ascii="仿宋_GB2312" w:hAnsi="仿宋_GB2312" w:eastAsia="仿宋_GB2312" w:cs="仿宋_GB2312"/>
              </w:rPr>
              <w:t>在校师生的满意程度</w:t>
            </w:r>
          </w:p>
        </w:tc>
        <w:tc>
          <w:tcPr>
            <w:tcW w:w="387" w:type="pct"/>
            <w:noWrap w:val="0"/>
            <w:vAlign w:val="center"/>
          </w:tcPr>
          <w:p>
            <w:pPr>
              <w:pStyle w:val="17"/>
              <w:rPr>
                <w:rFonts w:hint="eastAsia" w:ascii="仿宋_GB2312" w:hAnsi="仿宋_GB2312" w:eastAsia="仿宋_GB2312" w:cs="仿宋_GB2312"/>
              </w:rPr>
            </w:pPr>
            <w:r>
              <w:rPr>
                <w:rFonts w:hint="eastAsia" w:ascii="仿宋_GB2312" w:hAnsi="仿宋_GB2312" w:eastAsia="仿宋_GB2312" w:cs="仿宋_GB2312"/>
              </w:rPr>
              <w:t>≥90%</w:t>
            </w:r>
          </w:p>
        </w:tc>
        <w:tc>
          <w:tcPr>
            <w:tcW w:w="1188" w:type="pct"/>
            <w:noWrap w:val="0"/>
            <w:vAlign w:val="center"/>
          </w:tcPr>
          <w:p>
            <w:pPr>
              <w:pStyle w:val="17"/>
              <w:rPr>
                <w:rFonts w:hint="eastAsia" w:ascii="仿宋_GB2312" w:hAnsi="仿宋_GB2312" w:eastAsia="仿宋_GB2312" w:cs="仿宋_GB2312"/>
              </w:rPr>
            </w:pPr>
            <w:r>
              <w:rPr>
                <w:rFonts w:hint="eastAsia" w:ascii="仿宋_GB2312" w:hAnsi="仿宋_GB2312" w:eastAsia="仿宋_GB2312" w:cs="仿宋_GB2312"/>
              </w:rPr>
              <w:t>调查问卷</w:t>
            </w:r>
          </w:p>
        </w:tc>
      </w:tr>
    </w:tbl>
    <w:p>
      <w:pPr>
        <w:rPr>
          <w:rFonts w:hint="eastAsia" w:ascii="仿宋_GB2312" w:hAnsi="仿宋_GB2312" w:eastAsia="仿宋_GB2312" w:cs="仿宋_GB2312"/>
        </w:rPr>
        <w:sectPr>
          <w:pgSz w:w="16840" w:h="11900" w:orient="landscape"/>
          <w:pgMar w:top="1304" w:right="1984" w:bottom="1304" w:left="1134" w:header="720" w:footer="720" w:gutter="0"/>
          <w:cols w:space="720" w:num="1"/>
        </w:sectPr>
      </w:pPr>
    </w:p>
    <w:p>
      <w:pPr>
        <w:jc w:val="center"/>
        <w:rPr>
          <w:rFonts w:hint="eastAsia" w:ascii="仿宋_GB2312" w:hAnsi="仿宋_GB2312" w:eastAsia="仿宋_GB2312" w:cs="仿宋_GB2312"/>
          <w:sz w:val="28"/>
          <w:szCs w:val="28"/>
        </w:rPr>
      </w:pPr>
      <w:r>
        <w:rPr>
          <w:rFonts w:hint="eastAsia" w:ascii="仿宋_GB2312" w:hAnsi="仿宋_GB2312" w:eastAsia="仿宋_GB2312" w:cs="仿宋_GB2312"/>
          <w:color w:val="000000"/>
          <w:sz w:val="28"/>
          <w:szCs w:val="28"/>
        </w:rPr>
        <w:t xml:space="preserve"> </w:t>
      </w:r>
    </w:p>
    <w:p>
      <w:pPr>
        <w:rPr>
          <w:rFonts w:hint="eastAsia" w:ascii="仿宋_GB2312" w:hAnsi="仿宋_GB2312" w:eastAsia="仿宋_GB2312" w:cs="仿宋_GB2312"/>
          <w:color w:val="000000"/>
          <w:sz w:val="28"/>
          <w:szCs w:val="28"/>
        </w:rPr>
      </w:pPr>
      <w:bookmarkStart w:id="1" w:name="_Toc_4_4_0000000005"/>
      <w:r>
        <w:rPr>
          <w:rFonts w:hint="eastAsia" w:ascii="仿宋_GB2312" w:hAnsi="仿宋_GB2312" w:eastAsia="仿宋_GB2312" w:cs="仿宋_GB2312"/>
          <w:color w:val="000000"/>
          <w:sz w:val="28"/>
          <w:szCs w:val="28"/>
        </w:rPr>
        <w:t>2.城乡义务教育生均公用经费[市级]绩效目标表</w:t>
      </w:r>
      <w:bookmarkEnd w:id="1"/>
    </w:p>
    <w:tbl>
      <w:tblPr>
        <w:tblStyle w:val="10"/>
        <w:tblW w:w="4998" w:type="pct"/>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795"/>
        <w:gridCol w:w="1213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noWrap w:val="0"/>
            <w:vAlign w:val="center"/>
          </w:tcPr>
          <w:p>
            <w:pPr>
              <w:pStyle w:val="19"/>
              <w:rPr>
                <w:rFonts w:hint="eastAsia" w:ascii="仿宋_GB2312" w:hAnsi="仿宋_GB2312" w:eastAsia="仿宋_GB2312" w:cs="仿宋_GB2312"/>
              </w:rPr>
            </w:pPr>
            <w:r>
              <w:rPr>
                <w:rFonts w:hint="eastAsia" w:ascii="仿宋_GB2312" w:hAnsi="仿宋_GB2312" w:eastAsia="仿宋_GB2312" w:cs="仿宋_GB2312"/>
              </w:rPr>
              <w:t>绩效目标</w:t>
            </w:r>
          </w:p>
        </w:tc>
        <w:tc>
          <w:tcPr>
            <w:tcW w:w="4355" w:type="pct"/>
            <w:noWrap w:val="0"/>
            <w:vAlign w:val="center"/>
          </w:tcPr>
          <w:p>
            <w:pPr>
              <w:pStyle w:val="17"/>
              <w:rPr>
                <w:rFonts w:hint="eastAsia" w:ascii="仿宋_GB2312" w:hAnsi="仿宋_GB2312" w:eastAsia="仿宋_GB2312" w:cs="仿宋_GB2312"/>
              </w:rPr>
            </w:pPr>
            <w:r>
              <w:rPr>
                <w:rFonts w:hint="eastAsia" w:ascii="仿宋_GB2312" w:hAnsi="仿宋_GB2312" w:eastAsia="仿宋_GB2312" w:cs="仿宋_GB2312"/>
              </w:rPr>
              <w:t>1.廊坊市广阳区北旺镇东户屯中心小学对2022年在校学生</w:t>
            </w:r>
            <w:r>
              <w:rPr>
                <w:rFonts w:hint="eastAsia" w:ascii="仿宋_GB2312" w:hAnsi="仿宋_GB2312" w:eastAsia="仿宋_GB2312" w:cs="仿宋_GB2312"/>
                <w:lang w:eastAsia="zh-CN"/>
              </w:rPr>
              <w:t>170</w:t>
            </w:r>
            <w:r>
              <w:rPr>
                <w:rFonts w:hint="eastAsia" w:ascii="仿宋_GB2312" w:hAnsi="仿宋_GB2312" w:eastAsia="仿宋_GB2312" w:cs="仿宋_GB2312"/>
              </w:rPr>
              <w:t>人，按照义务教育生均公用经费标准申请财政预算金，通过合理、合规使用资金达到保证学校正常运转。</w:t>
            </w:r>
          </w:p>
        </w:tc>
      </w:tr>
    </w:tbl>
    <w:p>
      <w:pPr>
        <w:spacing w:line="2" w:lineRule="exact"/>
        <w:jc w:val="center"/>
        <w:rPr>
          <w:rFonts w:hint="eastAsia" w:ascii="仿宋_GB2312" w:hAnsi="仿宋_GB2312" w:eastAsia="仿宋_GB2312" w:cs="仿宋_GB2312"/>
        </w:rPr>
      </w:pPr>
      <w:r>
        <w:rPr>
          <w:rFonts w:hint="eastAsia" w:ascii="仿宋_GB2312" w:hAnsi="仿宋_GB2312" w:eastAsia="仿宋_GB2312" w:cs="仿宋_GB2312"/>
          <w:color w:val="000000"/>
        </w:rPr>
        <w:t xml:space="preserve"> </w:t>
      </w:r>
    </w:p>
    <w:tbl>
      <w:tblPr>
        <w:tblStyle w:val="10"/>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991"/>
        <w:gridCol w:w="1991"/>
        <w:gridCol w:w="1991"/>
        <w:gridCol w:w="3982"/>
        <w:gridCol w:w="1707"/>
        <w:gridCol w:w="227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714" w:type="pct"/>
            <w:noWrap w:val="0"/>
            <w:vAlign w:val="center"/>
          </w:tcPr>
          <w:p>
            <w:pPr>
              <w:pStyle w:val="19"/>
              <w:rPr>
                <w:rFonts w:hint="eastAsia" w:ascii="仿宋_GB2312" w:hAnsi="仿宋_GB2312" w:eastAsia="仿宋_GB2312" w:cs="仿宋_GB2312"/>
              </w:rPr>
            </w:pPr>
            <w:r>
              <w:rPr>
                <w:rFonts w:hint="eastAsia" w:ascii="仿宋_GB2312" w:hAnsi="仿宋_GB2312" w:eastAsia="仿宋_GB2312" w:cs="仿宋_GB2312"/>
              </w:rPr>
              <w:t>一级指标</w:t>
            </w:r>
          </w:p>
        </w:tc>
        <w:tc>
          <w:tcPr>
            <w:tcW w:w="714" w:type="pct"/>
            <w:noWrap w:val="0"/>
            <w:vAlign w:val="center"/>
          </w:tcPr>
          <w:p>
            <w:pPr>
              <w:pStyle w:val="19"/>
              <w:rPr>
                <w:rFonts w:hint="eastAsia" w:ascii="仿宋_GB2312" w:hAnsi="仿宋_GB2312" w:eastAsia="仿宋_GB2312" w:cs="仿宋_GB2312"/>
              </w:rPr>
            </w:pPr>
            <w:r>
              <w:rPr>
                <w:rFonts w:hint="eastAsia" w:ascii="仿宋_GB2312" w:hAnsi="仿宋_GB2312" w:eastAsia="仿宋_GB2312" w:cs="仿宋_GB2312"/>
              </w:rPr>
              <w:t>二级指标</w:t>
            </w:r>
          </w:p>
        </w:tc>
        <w:tc>
          <w:tcPr>
            <w:tcW w:w="714" w:type="pct"/>
            <w:noWrap w:val="0"/>
            <w:vAlign w:val="center"/>
          </w:tcPr>
          <w:p>
            <w:pPr>
              <w:pStyle w:val="19"/>
              <w:rPr>
                <w:rFonts w:hint="eastAsia" w:ascii="仿宋_GB2312" w:hAnsi="仿宋_GB2312" w:eastAsia="仿宋_GB2312" w:cs="仿宋_GB2312"/>
              </w:rPr>
            </w:pPr>
            <w:r>
              <w:rPr>
                <w:rFonts w:hint="eastAsia" w:ascii="仿宋_GB2312" w:hAnsi="仿宋_GB2312" w:eastAsia="仿宋_GB2312" w:cs="仿宋_GB2312"/>
              </w:rPr>
              <w:t>三级指标</w:t>
            </w:r>
          </w:p>
        </w:tc>
        <w:tc>
          <w:tcPr>
            <w:tcW w:w="1428" w:type="pct"/>
            <w:noWrap w:val="0"/>
            <w:vAlign w:val="center"/>
          </w:tcPr>
          <w:p>
            <w:pPr>
              <w:pStyle w:val="19"/>
              <w:rPr>
                <w:rFonts w:hint="eastAsia" w:ascii="仿宋_GB2312" w:hAnsi="仿宋_GB2312" w:eastAsia="仿宋_GB2312" w:cs="仿宋_GB2312"/>
              </w:rPr>
            </w:pPr>
            <w:r>
              <w:rPr>
                <w:rFonts w:hint="eastAsia" w:ascii="仿宋_GB2312" w:hAnsi="仿宋_GB2312" w:eastAsia="仿宋_GB2312" w:cs="仿宋_GB2312"/>
              </w:rPr>
              <w:t>绩效指标描述</w:t>
            </w:r>
          </w:p>
        </w:tc>
        <w:tc>
          <w:tcPr>
            <w:tcW w:w="612" w:type="pct"/>
            <w:noWrap w:val="0"/>
            <w:vAlign w:val="center"/>
          </w:tcPr>
          <w:p>
            <w:pPr>
              <w:pStyle w:val="19"/>
              <w:rPr>
                <w:rFonts w:hint="eastAsia" w:ascii="仿宋_GB2312" w:hAnsi="仿宋_GB2312" w:eastAsia="仿宋_GB2312" w:cs="仿宋_GB2312"/>
              </w:rPr>
            </w:pPr>
            <w:r>
              <w:rPr>
                <w:rFonts w:hint="eastAsia" w:ascii="仿宋_GB2312" w:hAnsi="仿宋_GB2312" w:eastAsia="仿宋_GB2312" w:cs="仿宋_GB2312"/>
              </w:rPr>
              <w:t>指标值</w:t>
            </w:r>
          </w:p>
        </w:tc>
        <w:tc>
          <w:tcPr>
            <w:tcW w:w="815" w:type="pct"/>
            <w:noWrap w:val="0"/>
            <w:vAlign w:val="center"/>
          </w:tcPr>
          <w:p>
            <w:pPr>
              <w:pStyle w:val="19"/>
              <w:rPr>
                <w:rFonts w:hint="eastAsia" w:ascii="仿宋_GB2312" w:hAnsi="仿宋_GB2312" w:eastAsia="仿宋_GB2312" w:cs="仿宋_GB2312"/>
              </w:rPr>
            </w:pPr>
            <w:r>
              <w:rPr>
                <w:rFonts w:hint="eastAsia" w:ascii="仿宋_GB2312" w:hAnsi="仿宋_GB2312" w:eastAsia="仿宋_GB2312" w:cs="仿宋_GB2312"/>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noWrap w:val="0"/>
            <w:vAlign w:val="center"/>
          </w:tcPr>
          <w:p>
            <w:pPr>
              <w:pStyle w:val="13"/>
              <w:rPr>
                <w:rFonts w:hint="eastAsia" w:ascii="仿宋_GB2312" w:hAnsi="仿宋_GB2312" w:eastAsia="仿宋_GB2312" w:cs="仿宋_GB2312"/>
              </w:rPr>
            </w:pPr>
            <w:r>
              <w:rPr>
                <w:rFonts w:hint="eastAsia" w:ascii="仿宋_GB2312" w:hAnsi="仿宋_GB2312" w:eastAsia="仿宋_GB2312" w:cs="仿宋_GB2312"/>
              </w:rPr>
              <w:t>产出指标</w:t>
            </w:r>
          </w:p>
        </w:tc>
        <w:tc>
          <w:tcPr>
            <w:tcW w:w="714" w:type="pct"/>
            <w:noWrap w:val="0"/>
            <w:vAlign w:val="center"/>
          </w:tcPr>
          <w:p>
            <w:pPr>
              <w:pStyle w:val="17"/>
              <w:rPr>
                <w:rFonts w:hint="eastAsia" w:ascii="仿宋_GB2312" w:hAnsi="仿宋_GB2312" w:eastAsia="仿宋_GB2312" w:cs="仿宋_GB2312"/>
              </w:rPr>
            </w:pPr>
            <w:r>
              <w:rPr>
                <w:rFonts w:hint="eastAsia" w:ascii="仿宋_GB2312" w:hAnsi="仿宋_GB2312" w:eastAsia="仿宋_GB2312" w:cs="仿宋_GB2312"/>
              </w:rPr>
              <w:t>数量指标</w:t>
            </w:r>
          </w:p>
        </w:tc>
        <w:tc>
          <w:tcPr>
            <w:tcW w:w="714" w:type="pct"/>
            <w:noWrap w:val="0"/>
            <w:vAlign w:val="center"/>
          </w:tcPr>
          <w:p>
            <w:pPr>
              <w:pStyle w:val="17"/>
              <w:rPr>
                <w:rFonts w:hint="eastAsia" w:ascii="仿宋_GB2312" w:hAnsi="仿宋_GB2312" w:eastAsia="仿宋_GB2312" w:cs="仿宋_GB2312"/>
              </w:rPr>
            </w:pPr>
            <w:r>
              <w:rPr>
                <w:rFonts w:hint="eastAsia" w:ascii="仿宋_GB2312" w:hAnsi="仿宋_GB2312" w:eastAsia="仿宋_GB2312" w:cs="仿宋_GB2312"/>
              </w:rPr>
              <w:t>申请生均公用经费的学生人数</w:t>
            </w:r>
          </w:p>
        </w:tc>
        <w:tc>
          <w:tcPr>
            <w:tcW w:w="1428" w:type="pct"/>
            <w:noWrap w:val="0"/>
            <w:vAlign w:val="center"/>
          </w:tcPr>
          <w:p>
            <w:pPr>
              <w:pStyle w:val="17"/>
              <w:rPr>
                <w:rFonts w:hint="eastAsia" w:ascii="仿宋_GB2312" w:hAnsi="仿宋_GB2312" w:eastAsia="仿宋_GB2312" w:cs="仿宋_GB2312"/>
              </w:rPr>
            </w:pPr>
            <w:r>
              <w:rPr>
                <w:rFonts w:hint="eastAsia" w:ascii="仿宋_GB2312" w:hAnsi="仿宋_GB2312" w:eastAsia="仿宋_GB2312" w:cs="仿宋_GB2312"/>
              </w:rPr>
              <w:t>按文件要求申请生均公用经费的学生人数</w:t>
            </w:r>
          </w:p>
        </w:tc>
        <w:tc>
          <w:tcPr>
            <w:tcW w:w="612" w:type="pct"/>
            <w:noWrap w:val="0"/>
            <w:vAlign w:val="center"/>
          </w:tcPr>
          <w:p>
            <w:pPr>
              <w:pStyle w:val="17"/>
              <w:rPr>
                <w:rFonts w:hint="eastAsia" w:ascii="仿宋_GB2312" w:hAnsi="仿宋_GB2312" w:eastAsia="仿宋_GB2312" w:cs="仿宋_GB2312"/>
              </w:rPr>
            </w:pPr>
            <w:r>
              <w:rPr>
                <w:rFonts w:hint="eastAsia" w:ascii="仿宋_GB2312" w:hAnsi="仿宋_GB2312" w:eastAsia="仿宋_GB2312" w:cs="仿宋_GB2312"/>
                <w:lang w:eastAsia="zh-CN"/>
              </w:rPr>
              <w:t>170</w:t>
            </w:r>
            <w:r>
              <w:rPr>
                <w:rFonts w:hint="eastAsia" w:ascii="仿宋_GB2312" w:hAnsi="仿宋_GB2312" w:eastAsia="仿宋_GB2312" w:cs="仿宋_GB2312"/>
              </w:rPr>
              <w:t>人</w:t>
            </w:r>
          </w:p>
        </w:tc>
        <w:tc>
          <w:tcPr>
            <w:tcW w:w="815" w:type="pct"/>
            <w:noWrap w:val="0"/>
            <w:vAlign w:val="center"/>
          </w:tcPr>
          <w:p>
            <w:pPr>
              <w:pStyle w:val="17"/>
              <w:rPr>
                <w:rFonts w:hint="eastAsia" w:ascii="仿宋_GB2312" w:hAnsi="仿宋_GB2312" w:eastAsia="仿宋_GB2312" w:cs="仿宋_GB2312"/>
              </w:rPr>
            </w:pPr>
            <w:r>
              <w:rPr>
                <w:rFonts w:hint="eastAsia" w:ascii="仿宋_GB2312" w:hAnsi="仿宋_GB2312" w:eastAsia="仿宋_GB2312" w:cs="仿宋_GB2312"/>
              </w:rPr>
              <w:t>关于提前下达2022年城乡义务教育市级补助经费预算的通知廊财教[2021]50号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noWrap w:val="0"/>
            <w:vAlign w:val="center"/>
          </w:tcPr>
          <w:p>
            <w:pPr>
              <w:rPr>
                <w:rFonts w:hint="eastAsia" w:ascii="仿宋_GB2312" w:hAnsi="仿宋_GB2312" w:eastAsia="仿宋_GB2312" w:cs="仿宋_GB2312"/>
              </w:rPr>
            </w:pPr>
          </w:p>
        </w:tc>
        <w:tc>
          <w:tcPr>
            <w:tcW w:w="714" w:type="pct"/>
            <w:noWrap w:val="0"/>
            <w:vAlign w:val="center"/>
          </w:tcPr>
          <w:p>
            <w:pPr>
              <w:pStyle w:val="17"/>
              <w:rPr>
                <w:rFonts w:hint="eastAsia" w:ascii="仿宋_GB2312" w:hAnsi="仿宋_GB2312" w:eastAsia="仿宋_GB2312" w:cs="仿宋_GB2312"/>
              </w:rPr>
            </w:pPr>
            <w:r>
              <w:rPr>
                <w:rFonts w:hint="eastAsia" w:ascii="仿宋_GB2312" w:hAnsi="仿宋_GB2312" w:eastAsia="仿宋_GB2312" w:cs="仿宋_GB2312"/>
              </w:rPr>
              <w:t>质量指标</w:t>
            </w:r>
          </w:p>
        </w:tc>
        <w:tc>
          <w:tcPr>
            <w:tcW w:w="714" w:type="pct"/>
            <w:noWrap w:val="0"/>
            <w:vAlign w:val="center"/>
          </w:tcPr>
          <w:p>
            <w:pPr>
              <w:pStyle w:val="17"/>
              <w:rPr>
                <w:rFonts w:hint="eastAsia" w:ascii="仿宋_GB2312" w:hAnsi="仿宋_GB2312" w:eastAsia="仿宋_GB2312" w:cs="仿宋_GB2312"/>
              </w:rPr>
            </w:pPr>
            <w:r>
              <w:rPr>
                <w:rFonts w:hint="eastAsia" w:ascii="仿宋_GB2312" w:hAnsi="仿宋_GB2312" w:eastAsia="仿宋_GB2312" w:cs="仿宋_GB2312"/>
              </w:rPr>
              <w:t>生均公用经费使用的合规率</w:t>
            </w:r>
          </w:p>
        </w:tc>
        <w:tc>
          <w:tcPr>
            <w:tcW w:w="1428" w:type="pct"/>
            <w:noWrap w:val="0"/>
            <w:vAlign w:val="center"/>
          </w:tcPr>
          <w:p>
            <w:pPr>
              <w:pStyle w:val="17"/>
              <w:rPr>
                <w:rFonts w:hint="eastAsia" w:ascii="仿宋_GB2312" w:hAnsi="仿宋_GB2312" w:eastAsia="仿宋_GB2312" w:cs="仿宋_GB2312"/>
              </w:rPr>
            </w:pPr>
            <w:r>
              <w:rPr>
                <w:rFonts w:hint="eastAsia" w:ascii="仿宋_GB2312" w:hAnsi="仿宋_GB2312" w:eastAsia="仿宋_GB2312" w:cs="仿宋_GB2312"/>
              </w:rPr>
              <w:t>生均公用经费使用符合文件中的相关规定</w:t>
            </w:r>
          </w:p>
        </w:tc>
        <w:tc>
          <w:tcPr>
            <w:tcW w:w="612" w:type="pct"/>
            <w:noWrap w:val="0"/>
            <w:vAlign w:val="center"/>
          </w:tcPr>
          <w:p>
            <w:pPr>
              <w:pStyle w:val="17"/>
              <w:rPr>
                <w:rFonts w:hint="eastAsia" w:ascii="仿宋_GB2312" w:hAnsi="仿宋_GB2312" w:eastAsia="仿宋_GB2312" w:cs="仿宋_GB2312"/>
              </w:rPr>
            </w:pPr>
            <w:r>
              <w:rPr>
                <w:rFonts w:hint="eastAsia" w:ascii="仿宋_GB2312" w:hAnsi="仿宋_GB2312" w:eastAsia="仿宋_GB2312" w:cs="仿宋_GB2312"/>
              </w:rPr>
              <w:t>100%</w:t>
            </w:r>
          </w:p>
        </w:tc>
        <w:tc>
          <w:tcPr>
            <w:tcW w:w="815" w:type="pct"/>
            <w:noWrap w:val="0"/>
            <w:vAlign w:val="center"/>
          </w:tcPr>
          <w:p>
            <w:pPr>
              <w:pStyle w:val="17"/>
              <w:rPr>
                <w:rFonts w:hint="eastAsia" w:ascii="仿宋_GB2312" w:hAnsi="仿宋_GB2312" w:eastAsia="仿宋_GB2312" w:cs="仿宋_GB2312"/>
              </w:rPr>
            </w:pPr>
            <w:r>
              <w:rPr>
                <w:rFonts w:hint="eastAsia" w:ascii="仿宋_GB2312" w:hAnsi="仿宋_GB2312" w:eastAsia="仿宋_GB2312" w:cs="仿宋_GB2312"/>
              </w:rPr>
              <w:t>关于提前下达2022年城乡义务教育市级补助经费预算的通知廊财教[2021]50号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noWrap w:val="0"/>
            <w:vAlign w:val="center"/>
          </w:tcPr>
          <w:p>
            <w:pPr>
              <w:rPr>
                <w:rFonts w:hint="eastAsia" w:ascii="仿宋_GB2312" w:hAnsi="仿宋_GB2312" w:eastAsia="仿宋_GB2312" w:cs="仿宋_GB2312"/>
              </w:rPr>
            </w:pPr>
          </w:p>
        </w:tc>
        <w:tc>
          <w:tcPr>
            <w:tcW w:w="714" w:type="pct"/>
            <w:noWrap w:val="0"/>
            <w:vAlign w:val="center"/>
          </w:tcPr>
          <w:p>
            <w:pPr>
              <w:pStyle w:val="17"/>
              <w:rPr>
                <w:rFonts w:hint="eastAsia" w:ascii="仿宋_GB2312" w:hAnsi="仿宋_GB2312" w:eastAsia="仿宋_GB2312" w:cs="仿宋_GB2312"/>
              </w:rPr>
            </w:pPr>
            <w:r>
              <w:rPr>
                <w:rFonts w:hint="eastAsia" w:ascii="仿宋_GB2312" w:hAnsi="仿宋_GB2312" w:eastAsia="仿宋_GB2312" w:cs="仿宋_GB2312"/>
              </w:rPr>
              <w:t>时效指标</w:t>
            </w:r>
          </w:p>
        </w:tc>
        <w:tc>
          <w:tcPr>
            <w:tcW w:w="714" w:type="pct"/>
            <w:noWrap w:val="0"/>
            <w:vAlign w:val="center"/>
          </w:tcPr>
          <w:p>
            <w:pPr>
              <w:pStyle w:val="17"/>
              <w:rPr>
                <w:rFonts w:hint="eastAsia" w:ascii="仿宋_GB2312" w:hAnsi="仿宋_GB2312" w:eastAsia="仿宋_GB2312" w:cs="仿宋_GB2312"/>
              </w:rPr>
            </w:pPr>
            <w:r>
              <w:rPr>
                <w:rFonts w:hint="eastAsia" w:ascii="仿宋_GB2312" w:hAnsi="仿宋_GB2312" w:eastAsia="仿宋_GB2312" w:cs="仿宋_GB2312"/>
              </w:rPr>
              <w:t>用于保障学校正常运转项目完成及时率</w:t>
            </w:r>
          </w:p>
        </w:tc>
        <w:tc>
          <w:tcPr>
            <w:tcW w:w="1428" w:type="pct"/>
            <w:noWrap w:val="0"/>
            <w:vAlign w:val="center"/>
          </w:tcPr>
          <w:p>
            <w:pPr>
              <w:pStyle w:val="17"/>
              <w:rPr>
                <w:rFonts w:hint="eastAsia" w:ascii="仿宋_GB2312" w:hAnsi="仿宋_GB2312" w:eastAsia="仿宋_GB2312" w:cs="仿宋_GB2312"/>
              </w:rPr>
            </w:pPr>
            <w:r>
              <w:rPr>
                <w:rFonts w:hint="eastAsia" w:ascii="仿宋_GB2312" w:hAnsi="仿宋_GB2312" w:eastAsia="仿宋_GB2312" w:cs="仿宋_GB2312"/>
              </w:rPr>
              <w:t>使用生均公用经费，用于保障学校正常运转的项目完成情况</w:t>
            </w:r>
          </w:p>
        </w:tc>
        <w:tc>
          <w:tcPr>
            <w:tcW w:w="612" w:type="pct"/>
            <w:noWrap w:val="0"/>
            <w:vAlign w:val="center"/>
          </w:tcPr>
          <w:p>
            <w:pPr>
              <w:pStyle w:val="17"/>
              <w:rPr>
                <w:rFonts w:hint="eastAsia" w:ascii="仿宋_GB2312" w:hAnsi="仿宋_GB2312" w:eastAsia="仿宋_GB2312" w:cs="仿宋_GB2312"/>
              </w:rPr>
            </w:pPr>
            <w:r>
              <w:rPr>
                <w:rFonts w:hint="eastAsia" w:ascii="仿宋_GB2312" w:hAnsi="仿宋_GB2312" w:eastAsia="仿宋_GB2312" w:cs="仿宋_GB2312"/>
              </w:rPr>
              <w:t>100%</w:t>
            </w:r>
          </w:p>
        </w:tc>
        <w:tc>
          <w:tcPr>
            <w:tcW w:w="815" w:type="pct"/>
            <w:noWrap w:val="0"/>
            <w:vAlign w:val="center"/>
          </w:tcPr>
          <w:p>
            <w:pPr>
              <w:pStyle w:val="17"/>
              <w:rPr>
                <w:rFonts w:hint="eastAsia" w:ascii="仿宋_GB2312" w:hAnsi="仿宋_GB2312" w:eastAsia="仿宋_GB2312" w:cs="仿宋_GB2312"/>
              </w:rPr>
            </w:pPr>
            <w:r>
              <w:rPr>
                <w:rFonts w:hint="eastAsia" w:ascii="仿宋_GB2312" w:hAnsi="仿宋_GB2312" w:eastAsia="仿宋_GB2312" w:cs="仿宋_GB2312"/>
              </w:rPr>
              <w:t>按进度及时完成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noWrap w:val="0"/>
            <w:vAlign w:val="center"/>
          </w:tcPr>
          <w:p>
            <w:pPr>
              <w:rPr>
                <w:rFonts w:hint="eastAsia" w:ascii="仿宋_GB2312" w:hAnsi="仿宋_GB2312" w:eastAsia="仿宋_GB2312" w:cs="仿宋_GB2312"/>
              </w:rPr>
            </w:pPr>
          </w:p>
        </w:tc>
        <w:tc>
          <w:tcPr>
            <w:tcW w:w="714" w:type="pct"/>
            <w:noWrap w:val="0"/>
            <w:vAlign w:val="center"/>
          </w:tcPr>
          <w:p>
            <w:pPr>
              <w:pStyle w:val="17"/>
              <w:rPr>
                <w:rFonts w:hint="eastAsia" w:ascii="仿宋_GB2312" w:hAnsi="仿宋_GB2312" w:eastAsia="仿宋_GB2312" w:cs="仿宋_GB2312"/>
              </w:rPr>
            </w:pPr>
            <w:r>
              <w:rPr>
                <w:rFonts w:hint="eastAsia" w:ascii="仿宋_GB2312" w:hAnsi="仿宋_GB2312" w:eastAsia="仿宋_GB2312" w:cs="仿宋_GB2312"/>
              </w:rPr>
              <w:t>成本指标</w:t>
            </w:r>
          </w:p>
        </w:tc>
        <w:tc>
          <w:tcPr>
            <w:tcW w:w="714" w:type="pct"/>
            <w:noWrap w:val="0"/>
            <w:vAlign w:val="center"/>
          </w:tcPr>
          <w:p>
            <w:pPr>
              <w:pStyle w:val="17"/>
              <w:rPr>
                <w:rFonts w:hint="eastAsia" w:ascii="仿宋_GB2312" w:hAnsi="仿宋_GB2312" w:eastAsia="仿宋_GB2312" w:cs="仿宋_GB2312"/>
              </w:rPr>
            </w:pPr>
            <w:r>
              <w:rPr>
                <w:rFonts w:hint="eastAsia" w:ascii="仿宋_GB2312" w:hAnsi="仿宋_GB2312" w:eastAsia="仿宋_GB2312" w:cs="仿宋_GB2312"/>
              </w:rPr>
              <w:t>使用生均公用经费，用于保障学校正常运转的项目支出成本</w:t>
            </w:r>
          </w:p>
        </w:tc>
        <w:tc>
          <w:tcPr>
            <w:tcW w:w="1428" w:type="pct"/>
            <w:noWrap w:val="0"/>
            <w:vAlign w:val="center"/>
          </w:tcPr>
          <w:p>
            <w:pPr>
              <w:pStyle w:val="17"/>
              <w:rPr>
                <w:rFonts w:hint="eastAsia" w:ascii="仿宋_GB2312" w:hAnsi="仿宋_GB2312" w:eastAsia="仿宋_GB2312" w:cs="仿宋_GB2312"/>
              </w:rPr>
            </w:pPr>
            <w:r>
              <w:rPr>
                <w:rFonts w:hint="eastAsia" w:ascii="仿宋_GB2312" w:hAnsi="仿宋_GB2312" w:eastAsia="仿宋_GB2312" w:cs="仿宋_GB2312"/>
              </w:rPr>
              <w:t>使用生均公用经费，用于保障学校正常运转的项目支出成本等于735元/生</w:t>
            </w:r>
          </w:p>
        </w:tc>
        <w:tc>
          <w:tcPr>
            <w:tcW w:w="612" w:type="pct"/>
            <w:noWrap w:val="0"/>
            <w:vAlign w:val="center"/>
          </w:tcPr>
          <w:p>
            <w:pPr>
              <w:pStyle w:val="17"/>
              <w:rPr>
                <w:rFonts w:hint="eastAsia" w:ascii="仿宋_GB2312" w:hAnsi="仿宋_GB2312" w:eastAsia="仿宋_GB2312" w:cs="仿宋_GB2312"/>
              </w:rPr>
            </w:pPr>
            <w:r>
              <w:rPr>
                <w:rFonts w:hint="eastAsia" w:ascii="仿宋_GB2312" w:hAnsi="仿宋_GB2312" w:eastAsia="仿宋_GB2312" w:cs="仿宋_GB2312"/>
              </w:rPr>
              <w:t>735元</w:t>
            </w:r>
          </w:p>
        </w:tc>
        <w:tc>
          <w:tcPr>
            <w:tcW w:w="815" w:type="pct"/>
            <w:noWrap w:val="0"/>
            <w:vAlign w:val="center"/>
          </w:tcPr>
          <w:p>
            <w:pPr>
              <w:pStyle w:val="17"/>
              <w:rPr>
                <w:rFonts w:hint="eastAsia" w:ascii="仿宋_GB2312" w:hAnsi="仿宋_GB2312" w:eastAsia="仿宋_GB2312" w:cs="仿宋_GB2312"/>
              </w:rPr>
            </w:pPr>
            <w:r>
              <w:rPr>
                <w:rFonts w:hint="eastAsia" w:ascii="仿宋_GB2312" w:hAnsi="仿宋_GB2312" w:eastAsia="仿宋_GB2312" w:cs="仿宋_GB2312"/>
              </w:rPr>
              <w:t>关于提前下达2022年城乡义务教育市级补助经费预算的通知廊财教[2021]50号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noWrap w:val="0"/>
            <w:vAlign w:val="center"/>
          </w:tcPr>
          <w:p>
            <w:pPr>
              <w:pStyle w:val="13"/>
              <w:rPr>
                <w:rFonts w:hint="eastAsia" w:ascii="仿宋_GB2312" w:hAnsi="仿宋_GB2312" w:eastAsia="仿宋_GB2312" w:cs="仿宋_GB2312"/>
              </w:rPr>
            </w:pPr>
            <w:r>
              <w:rPr>
                <w:rFonts w:hint="eastAsia" w:ascii="仿宋_GB2312" w:hAnsi="仿宋_GB2312" w:eastAsia="仿宋_GB2312" w:cs="仿宋_GB2312"/>
              </w:rPr>
              <w:t>效益指标</w:t>
            </w:r>
          </w:p>
        </w:tc>
        <w:tc>
          <w:tcPr>
            <w:tcW w:w="714" w:type="pct"/>
            <w:noWrap w:val="0"/>
            <w:vAlign w:val="center"/>
          </w:tcPr>
          <w:p>
            <w:pPr>
              <w:pStyle w:val="17"/>
              <w:rPr>
                <w:rFonts w:hint="eastAsia" w:ascii="仿宋_GB2312" w:hAnsi="仿宋_GB2312" w:eastAsia="仿宋_GB2312" w:cs="仿宋_GB2312"/>
              </w:rPr>
            </w:pPr>
            <w:r>
              <w:rPr>
                <w:rFonts w:hint="eastAsia" w:ascii="仿宋_GB2312" w:hAnsi="仿宋_GB2312" w:eastAsia="仿宋_GB2312" w:cs="仿宋_GB2312"/>
              </w:rPr>
              <w:t>社会效益指标</w:t>
            </w:r>
          </w:p>
        </w:tc>
        <w:tc>
          <w:tcPr>
            <w:tcW w:w="714" w:type="pct"/>
            <w:noWrap w:val="0"/>
            <w:vAlign w:val="center"/>
          </w:tcPr>
          <w:p>
            <w:pPr>
              <w:pStyle w:val="17"/>
              <w:rPr>
                <w:rFonts w:hint="eastAsia" w:ascii="仿宋_GB2312" w:hAnsi="仿宋_GB2312" w:eastAsia="仿宋_GB2312" w:cs="仿宋_GB2312"/>
              </w:rPr>
            </w:pPr>
            <w:r>
              <w:rPr>
                <w:rFonts w:hint="eastAsia" w:ascii="仿宋_GB2312" w:hAnsi="仿宋_GB2312" w:eastAsia="仿宋_GB2312" w:cs="仿宋_GB2312"/>
              </w:rPr>
              <w:t>义务教育高质量发展</w:t>
            </w:r>
          </w:p>
        </w:tc>
        <w:tc>
          <w:tcPr>
            <w:tcW w:w="1428" w:type="pct"/>
            <w:noWrap w:val="0"/>
            <w:vAlign w:val="center"/>
          </w:tcPr>
          <w:p>
            <w:pPr>
              <w:pStyle w:val="17"/>
              <w:rPr>
                <w:rFonts w:hint="eastAsia" w:ascii="仿宋_GB2312" w:hAnsi="仿宋_GB2312" w:eastAsia="仿宋_GB2312" w:cs="仿宋_GB2312"/>
              </w:rPr>
            </w:pPr>
            <w:r>
              <w:rPr>
                <w:rFonts w:hint="eastAsia" w:ascii="仿宋_GB2312" w:hAnsi="仿宋_GB2312" w:eastAsia="仿宋_GB2312" w:cs="仿宋_GB2312"/>
              </w:rPr>
              <w:t>该资金用于学校正常运转，改善办学条件，促进义务教育</w:t>
            </w:r>
          </w:p>
        </w:tc>
        <w:tc>
          <w:tcPr>
            <w:tcW w:w="612" w:type="pct"/>
            <w:noWrap w:val="0"/>
            <w:vAlign w:val="center"/>
          </w:tcPr>
          <w:p>
            <w:pPr>
              <w:pStyle w:val="17"/>
              <w:rPr>
                <w:rFonts w:hint="eastAsia" w:ascii="仿宋_GB2312" w:hAnsi="仿宋_GB2312" w:eastAsia="仿宋_GB2312" w:cs="仿宋_GB2312"/>
              </w:rPr>
            </w:pPr>
            <w:r>
              <w:rPr>
                <w:rFonts w:hint="eastAsia" w:ascii="仿宋_GB2312" w:hAnsi="仿宋_GB2312" w:eastAsia="仿宋_GB2312" w:cs="仿宋_GB2312"/>
              </w:rPr>
              <w:t>支持</w:t>
            </w:r>
          </w:p>
        </w:tc>
        <w:tc>
          <w:tcPr>
            <w:tcW w:w="815" w:type="pct"/>
            <w:noWrap w:val="0"/>
            <w:vAlign w:val="center"/>
          </w:tcPr>
          <w:p>
            <w:pPr>
              <w:pStyle w:val="17"/>
              <w:rPr>
                <w:rFonts w:hint="eastAsia" w:ascii="仿宋_GB2312" w:hAnsi="仿宋_GB2312" w:eastAsia="仿宋_GB2312" w:cs="仿宋_GB2312"/>
              </w:rPr>
            </w:pPr>
            <w:r>
              <w:rPr>
                <w:rFonts w:hint="eastAsia" w:ascii="仿宋_GB2312" w:hAnsi="仿宋_GB2312" w:eastAsia="仿宋_GB2312" w:cs="仿宋_GB2312"/>
              </w:rPr>
              <w:t>廊财教[2021]50号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noWrap w:val="0"/>
            <w:vAlign w:val="center"/>
          </w:tcPr>
          <w:p>
            <w:pPr>
              <w:pStyle w:val="13"/>
              <w:rPr>
                <w:rFonts w:hint="eastAsia" w:ascii="仿宋_GB2312" w:hAnsi="仿宋_GB2312" w:eastAsia="仿宋_GB2312" w:cs="仿宋_GB2312"/>
              </w:rPr>
            </w:pPr>
            <w:r>
              <w:rPr>
                <w:rFonts w:hint="eastAsia" w:ascii="仿宋_GB2312" w:hAnsi="仿宋_GB2312" w:eastAsia="仿宋_GB2312" w:cs="仿宋_GB2312"/>
              </w:rPr>
              <w:t>满意度指标</w:t>
            </w:r>
          </w:p>
        </w:tc>
        <w:tc>
          <w:tcPr>
            <w:tcW w:w="714" w:type="pct"/>
            <w:noWrap w:val="0"/>
            <w:vAlign w:val="center"/>
          </w:tcPr>
          <w:p>
            <w:pPr>
              <w:pStyle w:val="17"/>
              <w:rPr>
                <w:rFonts w:hint="eastAsia" w:ascii="仿宋_GB2312" w:hAnsi="仿宋_GB2312" w:eastAsia="仿宋_GB2312" w:cs="仿宋_GB2312"/>
              </w:rPr>
            </w:pPr>
            <w:r>
              <w:rPr>
                <w:rFonts w:hint="eastAsia" w:ascii="仿宋_GB2312" w:hAnsi="仿宋_GB2312" w:eastAsia="仿宋_GB2312" w:cs="仿宋_GB2312"/>
              </w:rPr>
              <w:t>服务对象满意度指标</w:t>
            </w:r>
          </w:p>
        </w:tc>
        <w:tc>
          <w:tcPr>
            <w:tcW w:w="714" w:type="pct"/>
            <w:noWrap w:val="0"/>
            <w:vAlign w:val="center"/>
          </w:tcPr>
          <w:p>
            <w:pPr>
              <w:pStyle w:val="17"/>
              <w:rPr>
                <w:rFonts w:hint="eastAsia" w:ascii="仿宋_GB2312" w:hAnsi="仿宋_GB2312" w:eastAsia="仿宋_GB2312" w:cs="仿宋_GB2312"/>
              </w:rPr>
            </w:pPr>
            <w:r>
              <w:rPr>
                <w:rFonts w:hint="eastAsia" w:ascii="仿宋_GB2312" w:hAnsi="仿宋_GB2312" w:eastAsia="仿宋_GB2312" w:cs="仿宋_GB2312"/>
              </w:rPr>
              <w:t>在校师生的满意程度</w:t>
            </w:r>
          </w:p>
        </w:tc>
        <w:tc>
          <w:tcPr>
            <w:tcW w:w="1428" w:type="pct"/>
            <w:noWrap w:val="0"/>
            <w:vAlign w:val="center"/>
          </w:tcPr>
          <w:p>
            <w:pPr>
              <w:pStyle w:val="17"/>
              <w:rPr>
                <w:rFonts w:hint="eastAsia" w:ascii="仿宋_GB2312" w:hAnsi="仿宋_GB2312" w:eastAsia="仿宋_GB2312" w:cs="仿宋_GB2312"/>
              </w:rPr>
            </w:pPr>
            <w:r>
              <w:rPr>
                <w:rFonts w:hint="eastAsia" w:ascii="仿宋_GB2312" w:hAnsi="仿宋_GB2312" w:eastAsia="仿宋_GB2312" w:cs="仿宋_GB2312"/>
              </w:rPr>
              <w:t>在校师生的满意程度</w:t>
            </w:r>
          </w:p>
        </w:tc>
        <w:tc>
          <w:tcPr>
            <w:tcW w:w="612" w:type="pct"/>
            <w:noWrap w:val="0"/>
            <w:vAlign w:val="center"/>
          </w:tcPr>
          <w:p>
            <w:pPr>
              <w:pStyle w:val="17"/>
              <w:rPr>
                <w:rFonts w:hint="eastAsia" w:ascii="仿宋_GB2312" w:hAnsi="仿宋_GB2312" w:eastAsia="仿宋_GB2312" w:cs="仿宋_GB2312"/>
              </w:rPr>
            </w:pPr>
            <w:r>
              <w:rPr>
                <w:rFonts w:hint="eastAsia" w:ascii="仿宋_GB2312" w:hAnsi="仿宋_GB2312" w:eastAsia="仿宋_GB2312" w:cs="仿宋_GB2312"/>
              </w:rPr>
              <w:t>≥90%</w:t>
            </w:r>
          </w:p>
        </w:tc>
        <w:tc>
          <w:tcPr>
            <w:tcW w:w="815" w:type="pct"/>
            <w:noWrap w:val="0"/>
            <w:vAlign w:val="center"/>
          </w:tcPr>
          <w:p>
            <w:pPr>
              <w:pStyle w:val="17"/>
              <w:rPr>
                <w:rFonts w:hint="eastAsia" w:ascii="仿宋_GB2312" w:hAnsi="仿宋_GB2312" w:eastAsia="仿宋_GB2312" w:cs="仿宋_GB2312"/>
              </w:rPr>
            </w:pPr>
            <w:r>
              <w:rPr>
                <w:rFonts w:hint="eastAsia" w:ascii="仿宋_GB2312" w:hAnsi="仿宋_GB2312" w:eastAsia="仿宋_GB2312" w:cs="仿宋_GB2312"/>
              </w:rPr>
              <w:t>调查问卷</w:t>
            </w:r>
          </w:p>
        </w:tc>
      </w:tr>
    </w:tbl>
    <w:p>
      <w:pPr>
        <w:rPr>
          <w:rFonts w:hint="eastAsia" w:ascii="仿宋_GB2312" w:hAnsi="仿宋_GB2312" w:eastAsia="仿宋_GB2312" w:cs="仿宋_GB2312"/>
        </w:rPr>
        <w:sectPr>
          <w:pgSz w:w="16840" w:h="11900" w:orient="landscape"/>
          <w:pgMar w:top="1304" w:right="1984" w:bottom="1304" w:left="1134" w:header="720" w:footer="720" w:gutter="0"/>
          <w:cols w:space="720" w:num="1"/>
        </w:sectPr>
      </w:pPr>
    </w:p>
    <w:p>
      <w:pPr>
        <w:jc w:val="center"/>
        <w:rPr>
          <w:rFonts w:hint="eastAsia" w:ascii="仿宋_GB2312" w:hAnsi="仿宋_GB2312" w:eastAsia="仿宋_GB2312" w:cs="仿宋_GB2312"/>
          <w:sz w:val="28"/>
          <w:szCs w:val="28"/>
        </w:rPr>
      </w:pPr>
      <w:r>
        <w:rPr>
          <w:rFonts w:hint="eastAsia" w:ascii="仿宋_GB2312" w:hAnsi="仿宋_GB2312" w:eastAsia="仿宋_GB2312" w:cs="仿宋_GB2312"/>
          <w:color w:val="000000"/>
          <w:sz w:val="28"/>
          <w:szCs w:val="28"/>
        </w:rPr>
        <w:t xml:space="preserve"> </w:t>
      </w:r>
    </w:p>
    <w:p>
      <w:pPr>
        <w:rPr>
          <w:rFonts w:hint="eastAsia" w:ascii="仿宋_GB2312" w:hAnsi="仿宋_GB2312" w:eastAsia="仿宋_GB2312" w:cs="仿宋_GB2312"/>
          <w:color w:val="000000"/>
          <w:sz w:val="28"/>
          <w:szCs w:val="28"/>
        </w:rPr>
      </w:pPr>
      <w:bookmarkStart w:id="2" w:name="_Toc_4_4_0000000006"/>
      <w:r>
        <w:rPr>
          <w:rFonts w:hint="eastAsia" w:ascii="仿宋_GB2312" w:hAnsi="仿宋_GB2312" w:eastAsia="仿宋_GB2312" w:cs="仿宋_GB2312"/>
          <w:color w:val="000000"/>
          <w:sz w:val="28"/>
          <w:szCs w:val="28"/>
        </w:rPr>
        <w:t>3.教育经费绩效目标表</w:t>
      </w:r>
      <w:bookmarkEnd w:id="2"/>
    </w:p>
    <w:tbl>
      <w:tblPr>
        <w:tblStyle w:val="10"/>
        <w:tblW w:w="4998" w:type="pct"/>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795"/>
        <w:gridCol w:w="1213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noWrap w:val="0"/>
            <w:vAlign w:val="center"/>
          </w:tcPr>
          <w:p>
            <w:pPr>
              <w:pStyle w:val="19"/>
              <w:rPr>
                <w:rFonts w:hint="eastAsia" w:ascii="仿宋_GB2312" w:hAnsi="仿宋_GB2312" w:eastAsia="仿宋_GB2312" w:cs="仿宋_GB2312"/>
              </w:rPr>
            </w:pPr>
            <w:r>
              <w:rPr>
                <w:rFonts w:hint="eastAsia" w:ascii="仿宋_GB2312" w:hAnsi="仿宋_GB2312" w:eastAsia="仿宋_GB2312" w:cs="仿宋_GB2312"/>
              </w:rPr>
              <w:t>绩效目标</w:t>
            </w:r>
          </w:p>
        </w:tc>
        <w:tc>
          <w:tcPr>
            <w:tcW w:w="4355" w:type="pct"/>
            <w:noWrap w:val="0"/>
            <w:vAlign w:val="center"/>
          </w:tcPr>
          <w:p>
            <w:pPr>
              <w:pStyle w:val="17"/>
              <w:rPr>
                <w:rFonts w:hint="eastAsia" w:ascii="仿宋_GB2312" w:hAnsi="仿宋_GB2312" w:eastAsia="仿宋_GB2312" w:cs="仿宋_GB2312"/>
              </w:rPr>
            </w:pPr>
            <w:r>
              <w:rPr>
                <w:rFonts w:hint="eastAsia" w:ascii="仿宋_GB2312" w:hAnsi="仿宋_GB2312" w:eastAsia="仿宋_GB2312" w:cs="仿宋_GB2312"/>
              </w:rPr>
              <w:t>1.弥补办公经费不足，保障教育教学正常的进行。</w:t>
            </w:r>
          </w:p>
          <w:p>
            <w:pPr>
              <w:pStyle w:val="17"/>
              <w:rPr>
                <w:rFonts w:hint="eastAsia" w:ascii="仿宋_GB2312" w:hAnsi="仿宋_GB2312" w:eastAsia="仿宋_GB2312" w:cs="仿宋_GB2312"/>
              </w:rPr>
            </w:pPr>
            <w:r>
              <w:rPr>
                <w:rFonts w:hint="eastAsia" w:ascii="仿宋_GB2312" w:hAnsi="仿宋_GB2312" w:eastAsia="仿宋_GB2312" w:cs="仿宋_GB2312"/>
              </w:rPr>
              <w:t>2.改善办学条件，提高教育教学环境。</w:t>
            </w:r>
          </w:p>
          <w:p>
            <w:pPr>
              <w:pStyle w:val="17"/>
              <w:rPr>
                <w:rFonts w:hint="eastAsia" w:ascii="仿宋_GB2312" w:hAnsi="仿宋_GB2312" w:eastAsia="仿宋_GB2312" w:cs="仿宋_GB2312"/>
              </w:rPr>
            </w:pPr>
            <w:r>
              <w:rPr>
                <w:rFonts w:hint="eastAsia" w:ascii="仿宋_GB2312" w:hAnsi="仿宋_GB2312" w:eastAsia="仿宋_GB2312" w:cs="仿宋_GB2312"/>
              </w:rPr>
              <w:t>3.开展文化体育等社会活动，提高学校社会影响力。</w:t>
            </w:r>
          </w:p>
          <w:p>
            <w:pPr>
              <w:pStyle w:val="17"/>
              <w:rPr>
                <w:rFonts w:hint="eastAsia" w:ascii="仿宋_GB2312" w:hAnsi="仿宋_GB2312" w:eastAsia="仿宋_GB2312" w:cs="仿宋_GB2312"/>
              </w:rPr>
            </w:pPr>
            <w:r>
              <w:rPr>
                <w:rFonts w:hint="eastAsia" w:ascii="仿宋_GB2312" w:hAnsi="仿宋_GB2312" w:eastAsia="仿宋_GB2312" w:cs="仿宋_GB2312"/>
              </w:rPr>
              <w:t>4.开展教师培训，提高教师队伍水平。</w:t>
            </w:r>
          </w:p>
        </w:tc>
      </w:tr>
    </w:tbl>
    <w:p>
      <w:pPr>
        <w:spacing w:line="2" w:lineRule="exact"/>
        <w:jc w:val="center"/>
        <w:rPr>
          <w:rFonts w:hint="eastAsia" w:ascii="仿宋_GB2312" w:hAnsi="仿宋_GB2312" w:eastAsia="仿宋_GB2312" w:cs="仿宋_GB2312"/>
        </w:rPr>
      </w:pPr>
      <w:r>
        <w:rPr>
          <w:rFonts w:hint="eastAsia" w:ascii="仿宋_GB2312" w:hAnsi="仿宋_GB2312" w:eastAsia="仿宋_GB2312" w:cs="仿宋_GB2312"/>
          <w:color w:val="000000"/>
        </w:rPr>
        <w:t xml:space="preserve"> </w:t>
      </w:r>
    </w:p>
    <w:tbl>
      <w:tblPr>
        <w:tblStyle w:val="10"/>
        <w:tblW w:w="4998"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795"/>
        <w:gridCol w:w="1795"/>
        <w:gridCol w:w="1876"/>
        <w:gridCol w:w="4073"/>
        <w:gridCol w:w="1796"/>
        <w:gridCol w:w="259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644" w:type="pct"/>
            <w:noWrap w:val="0"/>
            <w:vAlign w:val="center"/>
          </w:tcPr>
          <w:p>
            <w:pPr>
              <w:pStyle w:val="19"/>
              <w:rPr>
                <w:rFonts w:hint="eastAsia" w:ascii="仿宋_GB2312" w:hAnsi="仿宋_GB2312" w:eastAsia="仿宋_GB2312" w:cs="仿宋_GB2312"/>
              </w:rPr>
            </w:pPr>
            <w:r>
              <w:rPr>
                <w:rFonts w:hint="eastAsia" w:ascii="仿宋_GB2312" w:hAnsi="仿宋_GB2312" w:eastAsia="仿宋_GB2312" w:cs="仿宋_GB2312"/>
              </w:rPr>
              <w:t>一级指标</w:t>
            </w:r>
          </w:p>
        </w:tc>
        <w:tc>
          <w:tcPr>
            <w:tcW w:w="644" w:type="pct"/>
            <w:noWrap w:val="0"/>
            <w:vAlign w:val="center"/>
          </w:tcPr>
          <w:p>
            <w:pPr>
              <w:pStyle w:val="19"/>
              <w:rPr>
                <w:rFonts w:hint="eastAsia" w:ascii="仿宋_GB2312" w:hAnsi="仿宋_GB2312" w:eastAsia="仿宋_GB2312" w:cs="仿宋_GB2312"/>
              </w:rPr>
            </w:pPr>
            <w:r>
              <w:rPr>
                <w:rFonts w:hint="eastAsia" w:ascii="仿宋_GB2312" w:hAnsi="仿宋_GB2312" w:eastAsia="仿宋_GB2312" w:cs="仿宋_GB2312"/>
              </w:rPr>
              <w:t>二级指标</w:t>
            </w:r>
          </w:p>
        </w:tc>
        <w:tc>
          <w:tcPr>
            <w:tcW w:w="673" w:type="pct"/>
            <w:noWrap w:val="0"/>
            <w:vAlign w:val="center"/>
          </w:tcPr>
          <w:p>
            <w:pPr>
              <w:pStyle w:val="19"/>
              <w:rPr>
                <w:rFonts w:hint="eastAsia" w:ascii="仿宋_GB2312" w:hAnsi="仿宋_GB2312" w:eastAsia="仿宋_GB2312" w:cs="仿宋_GB2312"/>
              </w:rPr>
            </w:pPr>
            <w:r>
              <w:rPr>
                <w:rFonts w:hint="eastAsia" w:ascii="仿宋_GB2312" w:hAnsi="仿宋_GB2312" w:eastAsia="仿宋_GB2312" w:cs="仿宋_GB2312"/>
              </w:rPr>
              <w:t>三级指标</w:t>
            </w:r>
          </w:p>
        </w:tc>
        <w:tc>
          <w:tcPr>
            <w:tcW w:w="1461" w:type="pct"/>
            <w:noWrap w:val="0"/>
            <w:vAlign w:val="center"/>
          </w:tcPr>
          <w:p>
            <w:pPr>
              <w:pStyle w:val="19"/>
              <w:rPr>
                <w:rFonts w:hint="eastAsia" w:ascii="仿宋_GB2312" w:hAnsi="仿宋_GB2312" w:eastAsia="仿宋_GB2312" w:cs="仿宋_GB2312"/>
              </w:rPr>
            </w:pPr>
            <w:r>
              <w:rPr>
                <w:rFonts w:hint="eastAsia" w:ascii="仿宋_GB2312" w:hAnsi="仿宋_GB2312" w:eastAsia="仿宋_GB2312" w:cs="仿宋_GB2312"/>
              </w:rPr>
              <w:t>绩效指标描述</w:t>
            </w:r>
          </w:p>
        </w:tc>
        <w:tc>
          <w:tcPr>
            <w:tcW w:w="644" w:type="pct"/>
            <w:noWrap w:val="0"/>
            <w:vAlign w:val="center"/>
          </w:tcPr>
          <w:p>
            <w:pPr>
              <w:pStyle w:val="19"/>
              <w:rPr>
                <w:rFonts w:hint="eastAsia" w:ascii="仿宋_GB2312" w:hAnsi="仿宋_GB2312" w:eastAsia="仿宋_GB2312" w:cs="仿宋_GB2312"/>
              </w:rPr>
            </w:pPr>
            <w:r>
              <w:rPr>
                <w:rFonts w:hint="eastAsia" w:ascii="仿宋_GB2312" w:hAnsi="仿宋_GB2312" w:eastAsia="仿宋_GB2312" w:cs="仿宋_GB2312"/>
              </w:rPr>
              <w:t>指标值</w:t>
            </w:r>
          </w:p>
        </w:tc>
        <w:tc>
          <w:tcPr>
            <w:tcW w:w="931" w:type="pct"/>
            <w:noWrap w:val="0"/>
            <w:vAlign w:val="center"/>
          </w:tcPr>
          <w:p>
            <w:pPr>
              <w:pStyle w:val="19"/>
              <w:rPr>
                <w:rFonts w:hint="eastAsia" w:ascii="仿宋_GB2312" w:hAnsi="仿宋_GB2312" w:eastAsia="仿宋_GB2312" w:cs="仿宋_GB2312"/>
              </w:rPr>
            </w:pPr>
            <w:r>
              <w:rPr>
                <w:rFonts w:hint="eastAsia" w:ascii="仿宋_GB2312" w:hAnsi="仿宋_GB2312" w:eastAsia="仿宋_GB2312" w:cs="仿宋_GB2312"/>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restart"/>
            <w:noWrap w:val="0"/>
            <w:vAlign w:val="center"/>
          </w:tcPr>
          <w:p>
            <w:pPr>
              <w:pStyle w:val="13"/>
              <w:rPr>
                <w:rFonts w:hint="eastAsia" w:ascii="仿宋_GB2312" w:hAnsi="仿宋_GB2312" w:eastAsia="仿宋_GB2312" w:cs="仿宋_GB2312"/>
              </w:rPr>
            </w:pPr>
            <w:r>
              <w:rPr>
                <w:rFonts w:hint="eastAsia" w:ascii="仿宋_GB2312" w:hAnsi="仿宋_GB2312" w:eastAsia="仿宋_GB2312" w:cs="仿宋_GB2312"/>
              </w:rPr>
              <w:t>产出指标</w:t>
            </w:r>
          </w:p>
        </w:tc>
        <w:tc>
          <w:tcPr>
            <w:tcW w:w="644" w:type="pct"/>
            <w:noWrap w:val="0"/>
            <w:vAlign w:val="center"/>
          </w:tcPr>
          <w:p>
            <w:pPr>
              <w:pStyle w:val="17"/>
              <w:rPr>
                <w:rFonts w:hint="eastAsia" w:ascii="仿宋_GB2312" w:hAnsi="仿宋_GB2312" w:eastAsia="仿宋_GB2312" w:cs="仿宋_GB2312"/>
              </w:rPr>
            </w:pPr>
            <w:r>
              <w:rPr>
                <w:rFonts w:hint="eastAsia" w:ascii="仿宋_GB2312" w:hAnsi="仿宋_GB2312" w:eastAsia="仿宋_GB2312" w:cs="仿宋_GB2312"/>
              </w:rPr>
              <w:t>数量指标</w:t>
            </w:r>
          </w:p>
        </w:tc>
        <w:tc>
          <w:tcPr>
            <w:tcW w:w="673" w:type="pct"/>
            <w:noWrap w:val="0"/>
            <w:vAlign w:val="center"/>
          </w:tcPr>
          <w:p>
            <w:pPr>
              <w:pStyle w:val="17"/>
              <w:rPr>
                <w:rFonts w:hint="eastAsia" w:ascii="仿宋_GB2312" w:hAnsi="仿宋_GB2312" w:eastAsia="仿宋_GB2312" w:cs="仿宋_GB2312"/>
              </w:rPr>
            </w:pPr>
            <w:r>
              <w:rPr>
                <w:rFonts w:hint="eastAsia" w:ascii="仿宋_GB2312" w:hAnsi="仿宋_GB2312" w:eastAsia="仿宋_GB2312" w:cs="仿宋_GB2312"/>
              </w:rPr>
              <w:t>保12个月教学正常运转</w:t>
            </w:r>
          </w:p>
        </w:tc>
        <w:tc>
          <w:tcPr>
            <w:tcW w:w="1461" w:type="pct"/>
            <w:noWrap w:val="0"/>
            <w:vAlign w:val="center"/>
          </w:tcPr>
          <w:p>
            <w:pPr>
              <w:pStyle w:val="17"/>
              <w:rPr>
                <w:rFonts w:hint="eastAsia" w:ascii="仿宋_GB2312" w:hAnsi="仿宋_GB2312" w:eastAsia="仿宋_GB2312" w:cs="仿宋_GB2312"/>
              </w:rPr>
            </w:pPr>
            <w:r>
              <w:rPr>
                <w:rFonts w:hint="eastAsia" w:ascii="仿宋_GB2312" w:hAnsi="仿宋_GB2312" w:eastAsia="仿宋_GB2312" w:cs="仿宋_GB2312"/>
              </w:rPr>
              <w:t>保障教学正常运转时长</w:t>
            </w:r>
          </w:p>
        </w:tc>
        <w:tc>
          <w:tcPr>
            <w:tcW w:w="644" w:type="pct"/>
            <w:noWrap w:val="0"/>
            <w:vAlign w:val="center"/>
          </w:tcPr>
          <w:p>
            <w:pPr>
              <w:pStyle w:val="17"/>
              <w:rPr>
                <w:rFonts w:hint="eastAsia" w:ascii="仿宋_GB2312" w:hAnsi="仿宋_GB2312" w:eastAsia="仿宋_GB2312" w:cs="仿宋_GB2312"/>
              </w:rPr>
            </w:pPr>
            <w:r>
              <w:rPr>
                <w:rFonts w:hint="eastAsia" w:ascii="仿宋_GB2312" w:hAnsi="仿宋_GB2312" w:eastAsia="仿宋_GB2312" w:cs="仿宋_GB2312"/>
              </w:rPr>
              <w:t>12月</w:t>
            </w:r>
          </w:p>
        </w:tc>
        <w:tc>
          <w:tcPr>
            <w:tcW w:w="931" w:type="pct"/>
            <w:noWrap w:val="0"/>
            <w:vAlign w:val="center"/>
          </w:tcPr>
          <w:p>
            <w:pPr>
              <w:pStyle w:val="17"/>
              <w:rPr>
                <w:rFonts w:hint="eastAsia" w:ascii="仿宋_GB2312" w:hAnsi="仿宋_GB2312" w:eastAsia="仿宋_GB2312" w:cs="仿宋_GB2312"/>
              </w:rPr>
            </w:pPr>
            <w:r>
              <w:rPr>
                <w:rFonts w:hint="eastAsia" w:ascii="仿宋_GB2312" w:hAnsi="仿宋_GB2312" w:eastAsia="仿宋_GB2312" w:cs="仿宋_GB2312"/>
              </w:rPr>
              <w:t>实际教学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continue"/>
            <w:noWrap w:val="0"/>
            <w:vAlign w:val="center"/>
          </w:tcPr>
          <w:p>
            <w:pPr>
              <w:rPr>
                <w:rFonts w:hint="eastAsia" w:ascii="仿宋_GB2312" w:hAnsi="仿宋_GB2312" w:eastAsia="仿宋_GB2312" w:cs="仿宋_GB2312"/>
              </w:rPr>
            </w:pPr>
          </w:p>
        </w:tc>
        <w:tc>
          <w:tcPr>
            <w:tcW w:w="644" w:type="pct"/>
            <w:noWrap w:val="0"/>
            <w:vAlign w:val="center"/>
          </w:tcPr>
          <w:p>
            <w:pPr>
              <w:pStyle w:val="17"/>
              <w:rPr>
                <w:rFonts w:hint="eastAsia" w:ascii="仿宋_GB2312" w:hAnsi="仿宋_GB2312" w:eastAsia="仿宋_GB2312" w:cs="仿宋_GB2312"/>
              </w:rPr>
            </w:pPr>
            <w:r>
              <w:rPr>
                <w:rFonts w:hint="eastAsia" w:ascii="仿宋_GB2312" w:hAnsi="仿宋_GB2312" w:eastAsia="仿宋_GB2312" w:cs="仿宋_GB2312"/>
              </w:rPr>
              <w:t>质量指标</w:t>
            </w:r>
          </w:p>
        </w:tc>
        <w:tc>
          <w:tcPr>
            <w:tcW w:w="673" w:type="pct"/>
            <w:noWrap w:val="0"/>
            <w:vAlign w:val="center"/>
          </w:tcPr>
          <w:p>
            <w:pPr>
              <w:pStyle w:val="17"/>
              <w:rPr>
                <w:rFonts w:hint="eastAsia" w:ascii="仿宋_GB2312" w:hAnsi="仿宋_GB2312" w:eastAsia="仿宋_GB2312" w:cs="仿宋_GB2312"/>
              </w:rPr>
            </w:pPr>
            <w:r>
              <w:rPr>
                <w:rFonts w:hint="eastAsia" w:ascii="仿宋_GB2312" w:hAnsi="仿宋_GB2312" w:eastAsia="仿宋_GB2312" w:cs="仿宋_GB2312"/>
              </w:rPr>
              <w:t>物资采购合格率</w:t>
            </w:r>
          </w:p>
        </w:tc>
        <w:tc>
          <w:tcPr>
            <w:tcW w:w="1461" w:type="pct"/>
            <w:noWrap w:val="0"/>
            <w:vAlign w:val="center"/>
          </w:tcPr>
          <w:p>
            <w:pPr>
              <w:pStyle w:val="17"/>
              <w:rPr>
                <w:rFonts w:hint="eastAsia" w:ascii="仿宋_GB2312" w:hAnsi="仿宋_GB2312" w:eastAsia="仿宋_GB2312" w:cs="仿宋_GB2312"/>
              </w:rPr>
            </w:pPr>
            <w:r>
              <w:rPr>
                <w:rFonts w:hint="eastAsia" w:ascii="仿宋_GB2312" w:hAnsi="仿宋_GB2312" w:eastAsia="仿宋_GB2312" w:cs="仿宋_GB2312"/>
              </w:rPr>
              <w:t>保障日常教学器材及物资充裕</w:t>
            </w:r>
          </w:p>
        </w:tc>
        <w:tc>
          <w:tcPr>
            <w:tcW w:w="644" w:type="pct"/>
            <w:noWrap w:val="0"/>
            <w:vAlign w:val="center"/>
          </w:tcPr>
          <w:p>
            <w:pPr>
              <w:pStyle w:val="17"/>
              <w:rPr>
                <w:rFonts w:hint="eastAsia" w:ascii="仿宋_GB2312" w:hAnsi="仿宋_GB2312" w:eastAsia="仿宋_GB2312" w:cs="仿宋_GB2312"/>
              </w:rPr>
            </w:pPr>
            <w:r>
              <w:rPr>
                <w:rFonts w:hint="eastAsia" w:ascii="仿宋_GB2312" w:hAnsi="仿宋_GB2312" w:eastAsia="仿宋_GB2312" w:cs="仿宋_GB2312"/>
              </w:rPr>
              <w:t>100%</w:t>
            </w:r>
          </w:p>
        </w:tc>
        <w:tc>
          <w:tcPr>
            <w:tcW w:w="931" w:type="pct"/>
            <w:noWrap w:val="0"/>
            <w:vAlign w:val="center"/>
          </w:tcPr>
          <w:p>
            <w:pPr>
              <w:pStyle w:val="17"/>
              <w:rPr>
                <w:rFonts w:hint="eastAsia" w:ascii="仿宋_GB2312" w:hAnsi="仿宋_GB2312" w:eastAsia="仿宋_GB2312" w:cs="仿宋_GB2312"/>
              </w:rPr>
            </w:pPr>
            <w:r>
              <w:rPr>
                <w:rFonts w:hint="eastAsia" w:ascii="仿宋_GB2312" w:hAnsi="仿宋_GB2312" w:eastAsia="仿宋_GB2312" w:cs="仿宋_GB2312"/>
              </w:rPr>
              <w:t>物资质量评价标准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continue"/>
            <w:noWrap w:val="0"/>
            <w:vAlign w:val="center"/>
          </w:tcPr>
          <w:p>
            <w:pPr>
              <w:rPr>
                <w:rFonts w:hint="eastAsia" w:ascii="仿宋_GB2312" w:hAnsi="仿宋_GB2312" w:eastAsia="仿宋_GB2312" w:cs="仿宋_GB2312"/>
              </w:rPr>
            </w:pPr>
          </w:p>
        </w:tc>
        <w:tc>
          <w:tcPr>
            <w:tcW w:w="644" w:type="pct"/>
            <w:noWrap w:val="0"/>
            <w:vAlign w:val="center"/>
          </w:tcPr>
          <w:p>
            <w:pPr>
              <w:pStyle w:val="17"/>
              <w:rPr>
                <w:rFonts w:hint="eastAsia" w:ascii="仿宋_GB2312" w:hAnsi="仿宋_GB2312" w:eastAsia="仿宋_GB2312" w:cs="仿宋_GB2312"/>
              </w:rPr>
            </w:pPr>
            <w:r>
              <w:rPr>
                <w:rFonts w:hint="eastAsia" w:ascii="仿宋_GB2312" w:hAnsi="仿宋_GB2312" w:eastAsia="仿宋_GB2312" w:cs="仿宋_GB2312"/>
              </w:rPr>
              <w:t>质量指标</w:t>
            </w:r>
          </w:p>
        </w:tc>
        <w:tc>
          <w:tcPr>
            <w:tcW w:w="673" w:type="pct"/>
            <w:noWrap w:val="0"/>
            <w:vAlign w:val="center"/>
          </w:tcPr>
          <w:p>
            <w:pPr>
              <w:pStyle w:val="17"/>
              <w:rPr>
                <w:rFonts w:hint="eastAsia" w:ascii="仿宋_GB2312" w:hAnsi="仿宋_GB2312" w:eastAsia="仿宋_GB2312" w:cs="仿宋_GB2312"/>
              </w:rPr>
            </w:pPr>
            <w:r>
              <w:rPr>
                <w:rFonts w:hint="eastAsia" w:ascii="仿宋_GB2312" w:hAnsi="仿宋_GB2312" w:eastAsia="仿宋_GB2312" w:cs="仿宋_GB2312"/>
              </w:rPr>
              <w:t>上级下达学校的各项工作任务完成率</w:t>
            </w:r>
          </w:p>
        </w:tc>
        <w:tc>
          <w:tcPr>
            <w:tcW w:w="1461" w:type="pct"/>
            <w:noWrap w:val="0"/>
            <w:vAlign w:val="center"/>
          </w:tcPr>
          <w:p>
            <w:pPr>
              <w:pStyle w:val="17"/>
              <w:rPr>
                <w:rFonts w:hint="eastAsia" w:ascii="仿宋_GB2312" w:hAnsi="仿宋_GB2312" w:eastAsia="仿宋_GB2312" w:cs="仿宋_GB2312"/>
              </w:rPr>
            </w:pPr>
            <w:r>
              <w:rPr>
                <w:rFonts w:hint="eastAsia" w:ascii="仿宋_GB2312" w:hAnsi="仿宋_GB2312" w:eastAsia="仿宋_GB2312" w:cs="仿宋_GB2312"/>
              </w:rPr>
              <w:t>保证完成上级下达学校的各项工作任务</w:t>
            </w:r>
          </w:p>
        </w:tc>
        <w:tc>
          <w:tcPr>
            <w:tcW w:w="644" w:type="pct"/>
            <w:noWrap w:val="0"/>
            <w:vAlign w:val="center"/>
          </w:tcPr>
          <w:p>
            <w:pPr>
              <w:pStyle w:val="17"/>
              <w:rPr>
                <w:rFonts w:hint="eastAsia" w:ascii="仿宋_GB2312" w:hAnsi="仿宋_GB2312" w:eastAsia="仿宋_GB2312" w:cs="仿宋_GB2312"/>
              </w:rPr>
            </w:pPr>
            <w:r>
              <w:rPr>
                <w:rFonts w:hint="eastAsia" w:ascii="仿宋_GB2312" w:hAnsi="仿宋_GB2312" w:eastAsia="仿宋_GB2312" w:cs="仿宋_GB2312"/>
              </w:rPr>
              <w:t>100%</w:t>
            </w:r>
          </w:p>
        </w:tc>
        <w:tc>
          <w:tcPr>
            <w:tcW w:w="931" w:type="pct"/>
            <w:noWrap w:val="0"/>
            <w:vAlign w:val="center"/>
          </w:tcPr>
          <w:p>
            <w:pPr>
              <w:pStyle w:val="17"/>
              <w:rPr>
                <w:rFonts w:hint="eastAsia" w:ascii="仿宋_GB2312" w:hAnsi="仿宋_GB2312" w:eastAsia="仿宋_GB2312" w:cs="仿宋_GB2312"/>
              </w:rPr>
            </w:pPr>
            <w:r>
              <w:rPr>
                <w:rFonts w:hint="eastAsia" w:ascii="仿宋_GB2312" w:hAnsi="仿宋_GB2312" w:eastAsia="仿宋_GB2312" w:cs="仿宋_GB2312"/>
              </w:rPr>
              <w:t>年初工作计划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continue"/>
            <w:noWrap w:val="0"/>
            <w:vAlign w:val="center"/>
          </w:tcPr>
          <w:p>
            <w:pPr>
              <w:rPr>
                <w:rFonts w:hint="eastAsia" w:ascii="仿宋_GB2312" w:hAnsi="仿宋_GB2312" w:eastAsia="仿宋_GB2312" w:cs="仿宋_GB2312"/>
              </w:rPr>
            </w:pPr>
          </w:p>
        </w:tc>
        <w:tc>
          <w:tcPr>
            <w:tcW w:w="644" w:type="pct"/>
            <w:noWrap w:val="0"/>
            <w:vAlign w:val="center"/>
          </w:tcPr>
          <w:p>
            <w:pPr>
              <w:pStyle w:val="17"/>
              <w:rPr>
                <w:rFonts w:hint="eastAsia" w:ascii="仿宋_GB2312" w:hAnsi="仿宋_GB2312" w:eastAsia="仿宋_GB2312" w:cs="仿宋_GB2312"/>
              </w:rPr>
            </w:pPr>
            <w:r>
              <w:rPr>
                <w:rFonts w:hint="eastAsia" w:ascii="仿宋_GB2312" w:hAnsi="仿宋_GB2312" w:eastAsia="仿宋_GB2312" w:cs="仿宋_GB2312"/>
              </w:rPr>
              <w:t>时效指标</w:t>
            </w:r>
          </w:p>
        </w:tc>
        <w:tc>
          <w:tcPr>
            <w:tcW w:w="673" w:type="pct"/>
            <w:noWrap w:val="0"/>
            <w:vAlign w:val="center"/>
          </w:tcPr>
          <w:p>
            <w:pPr>
              <w:pStyle w:val="17"/>
              <w:rPr>
                <w:rFonts w:hint="eastAsia" w:ascii="仿宋_GB2312" w:hAnsi="仿宋_GB2312" w:eastAsia="仿宋_GB2312" w:cs="仿宋_GB2312"/>
              </w:rPr>
            </w:pPr>
            <w:r>
              <w:rPr>
                <w:rFonts w:hint="eastAsia" w:ascii="仿宋_GB2312" w:hAnsi="仿宋_GB2312" w:eastAsia="仿宋_GB2312" w:cs="仿宋_GB2312"/>
              </w:rPr>
              <w:t>用于保障学校正常运转项目完成及时率</w:t>
            </w:r>
          </w:p>
        </w:tc>
        <w:tc>
          <w:tcPr>
            <w:tcW w:w="1461" w:type="pct"/>
            <w:noWrap w:val="0"/>
            <w:vAlign w:val="center"/>
          </w:tcPr>
          <w:p>
            <w:pPr>
              <w:pStyle w:val="17"/>
              <w:rPr>
                <w:rFonts w:hint="eastAsia" w:ascii="仿宋_GB2312" w:hAnsi="仿宋_GB2312" w:eastAsia="仿宋_GB2312" w:cs="仿宋_GB2312"/>
              </w:rPr>
            </w:pPr>
            <w:r>
              <w:rPr>
                <w:rFonts w:hint="eastAsia" w:ascii="仿宋_GB2312" w:hAnsi="仿宋_GB2312" w:eastAsia="仿宋_GB2312" w:cs="仿宋_GB2312"/>
              </w:rPr>
              <w:t>及时提供的教学用品、保障教学设施、设备正常运行</w:t>
            </w:r>
          </w:p>
        </w:tc>
        <w:tc>
          <w:tcPr>
            <w:tcW w:w="644" w:type="pct"/>
            <w:noWrap w:val="0"/>
            <w:vAlign w:val="center"/>
          </w:tcPr>
          <w:p>
            <w:pPr>
              <w:pStyle w:val="17"/>
              <w:rPr>
                <w:rFonts w:hint="eastAsia" w:ascii="仿宋_GB2312" w:hAnsi="仿宋_GB2312" w:eastAsia="仿宋_GB2312" w:cs="仿宋_GB2312"/>
              </w:rPr>
            </w:pPr>
            <w:r>
              <w:rPr>
                <w:rFonts w:hint="eastAsia" w:ascii="仿宋_GB2312" w:hAnsi="仿宋_GB2312" w:eastAsia="仿宋_GB2312" w:cs="仿宋_GB2312"/>
              </w:rPr>
              <w:t>100%</w:t>
            </w:r>
          </w:p>
        </w:tc>
        <w:tc>
          <w:tcPr>
            <w:tcW w:w="931" w:type="pct"/>
            <w:noWrap w:val="0"/>
            <w:vAlign w:val="center"/>
          </w:tcPr>
          <w:p>
            <w:pPr>
              <w:pStyle w:val="17"/>
              <w:rPr>
                <w:rFonts w:hint="eastAsia" w:ascii="仿宋_GB2312" w:hAnsi="仿宋_GB2312" w:eastAsia="仿宋_GB2312" w:cs="仿宋_GB2312"/>
              </w:rPr>
            </w:pPr>
            <w:r>
              <w:rPr>
                <w:rFonts w:hint="eastAsia" w:ascii="仿宋_GB2312" w:hAnsi="仿宋_GB2312" w:eastAsia="仿宋_GB2312" w:cs="仿宋_GB2312"/>
              </w:rPr>
              <w:t>年初工作计划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continue"/>
            <w:noWrap w:val="0"/>
            <w:vAlign w:val="center"/>
          </w:tcPr>
          <w:p>
            <w:pPr>
              <w:rPr>
                <w:rFonts w:hint="eastAsia" w:ascii="仿宋_GB2312" w:hAnsi="仿宋_GB2312" w:eastAsia="仿宋_GB2312" w:cs="仿宋_GB2312"/>
              </w:rPr>
            </w:pPr>
          </w:p>
        </w:tc>
        <w:tc>
          <w:tcPr>
            <w:tcW w:w="644" w:type="pct"/>
            <w:noWrap w:val="0"/>
            <w:vAlign w:val="center"/>
          </w:tcPr>
          <w:p>
            <w:pPr>
              <w:pStyle w:val="17"/>
              <w:rPr>
                <w:rFonts w:hint="eastAsia" w:ascii="仿宋_GB2312" w:hAnsi="仿宋_GB2312" w:eastAsia="仿宋_GB2312" w:cs="仿宋_GB2312"/>
              </w:rPr>
            </w:pPr>
            <w:r>
              <w:rPr>
                <w:rFonts w:hint="eastAsia" w:ascii="仿宋_GB2312" w:hAnsi="仿宋_GB2312" w:eastAsia="仿宋_GB2312" w:cs="仿宋_GB2312"/>
              </w:rPr>
              <w:t>成本指标</w:t>
            </w:r>
          </w:p>
        </w:tc>
        <w:tc>
          <w:tcPr>
            <w:tcW w:w="673" w:type="pct"/>
            <w:noWrap w:val="0"/>
            <w:vAlign w:val="center"/>
          </w:tcPr>
          <w:p>
            <w:pPr>
              <w:pStyle w:val="17"/>
              <w:rPr>
                <w:rFonts w:hint="eastAsia" w:ascii="仿宋_GB2312" w:hAnsi="仿宋_GB2312" w:eastAsia="仿宋_GB2312" w:cs="仿宋_GB2312"/>
              </w:rPr>
            </w:pPr>
            <w:r>
              <w:rPr>
                <w:rFonts w:hint="eastAsia" w:ascii="仿宋_GB2312" w:hAnsi="仿宋_GB2312" w:eastAsia="仿宋_GB2312" w:cs="仿宋_GB2312"/>
              </w:rPr>
              <w:t>经费支出成本</w:t>
            </w:r>
          </w:p>
        </w:tc>
        <w:tc>
          <w:tcPr>
            <w:tcW w:w="1461" w:type="pct"/>
            <w:noWrap w:val="0"/>
            <w:vAlign w:val="center"/>
          </w:tcPr>
          <w:p>
            <w:pPr>
              <w:pStyle w:val="17"/>
              <w:rPr>
                <w:rFonts w:hint="eastAsia" w:ascii="仿宋_GB2312" w:hAnsi="仿宋_GB2312" w:eastAsia="仿宋_GB2312" w:cs="仿宋_GB2312"/>
              </w:rPr>
            </w:pPr>
            <w:r>
              <w:rPr>
                <w:rFonts w:hint="eastAsia" w:ascii="仿宋_GB2312" w:hAnsi="仿宋_GB2312" w:eastAsia="仿宋_GB2312" w:cs="仿宋_GB2312"/>
              </w:rPr>
              <w:t>经费各项支出不高于项目资金总额</w:t>
            </w:r>
          </w:p>
        </w:tc>
        <w:tc>
          <w:tcPr>
            <w:tcW w:w="644" w:type="pct"/>
            <w:noWrap w:val="0"/>
            <w:vAlign w:val="center"/>
          </w:tcPr>
          <w:p>
            <w:pPr>
              <w:pStyle w:val="17"/>
              <w:rPr>
                <w:rFonts w:hint="eastAsia" w:ascii="仿宋_GB2312" w:hAnsi="仿宋_GB2312" w:eastAsia="仿宋_GB2312" w:cs="仿宋_GB2312"/>
              </w:rPr>
            </w:pPr>
            <w:r>
              <w:rPr>
                <w:rFonts w:hint="eastAsia" w:ascii="仿宋_GB2312" w:hAnsi="仿宋_GB2312" w:eastAsia="仿宋_GB2312" w:cs="仿宋_GB2312"/>
              </w:rPr>
              <w:t>≤</w:t>
            </w:r>
            <w:r>
              <w:rPr>
                <w:rFonts w:hint="eastAsia" w:ascii="仿宋_GB2312" w:hAnsi="仿宋_GB2312" w:eastAsia="仿宋_GB2312" w:cs="仿宋_GB2312"/>
                <w:lang w:eastAsia="zh-CN"/>
              </w:rPr>
              <w:t>0.85</w:t>
            </w:r>
            <w:r>
              <w:rPr>
                <w:rFonts w:hint="eastAsia" w:ascii="仿宋_GB2312" w:hAnsi="仿宋_GB2312" w:eastAsia="仿宋_GB2312" w:cs="仿宋_GB2312"/>
              </w:rPr>
              <w:t>万元</w:t>
            </w:r>
          </w:p>
        </w:tc>
        <w:tc>
          <w:tcPr>
            <w:tcW w:w="931" w:type="pct"/>
            <w:noWrap w:val="0"/>
            <w:vAlign w:val="center"/>
          </w:tcPr>
          <w:p>
            <w:pPr>
              <w:pStyle w:val="17"/>
              <w:rPr>
                <w:rFonts w:hint="eastAsia" w:ascii="仿宋_GB2312" w:hAnsi="仿宋_GB2312" w:eastAsia="仿宋_GB2312" w:cs="仿宋_GB2312"/>
              </w:rPr>
            </w:pPr>
            <w:r>
              <w:rPr>
                <w:rFonts w:hint="eastAsia" w:ascii="仿宋_GB2312" w:hAnsi="仿宋_GB2312" w:eastAsia="仿宋_GB2312" w:cs="仿宋_GB2312"/>
              </w:rPr>
              <w:t>资金分配表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noWrap w:val="0"/>
            <w:vAlign w:val="center"/>
          </w:tcPr>
          <w:p>
            <w:pPr>
              <w:pStyle w:val="13"/>
              <w:rPr>
                <w:rFonts w:hint="eastAsia" w:ascii="仿宋_GB2312" w:hAnsi="仿宋_GB2312" w:eastAsia="仿宋_GB2312" w:cs="仿宋_GB2312"/>
              </w:rPr>
            </w:pPr>
            <w:r>
              <w:rPr>
                <w:rFonts w:hint="eastAsia" w:ascii="仿宋_GB2312" w:hAnsi="仿宋_GB2312" w:eastAsia="仿宋_GB2312" w:cs="仿宋_GB2312"/>
              </w:rPr>
              <w:t>效益指标</w:t>
            </w:r>
          </w:p>
        </w:tc>
        <w:tc>
          <w:tcPr>
            <w:tcW w:w="644" w:type="pct"/>
            <w:noWrap w:val="0"/>
            <w:vAlign w:val="center"/>
          </w:tcPr>
          <w:p>
            <w:pPr>
              <w:pStyle w:val="17"/>
              <w:rPr>
                <w:rFonts w:hint="eastAsia" w:ascii="仿宋_GB2312" w:hAnsi="仿宋_GB2312" w:eastAsia="仿宋_GB2312" w:cs="仿宋_GB2312"/>
              </w:rPr>
            </w:pPr>
            <w:r>
              <w:rPr>
                <w:rFonts w:hint="eastAsia" w:ascii="仿宋_GB2312" w:hAnsi="仿宋_GB2312" w:eastAsia="仿宋_GB2312" w:cs="仿宋_GB2312"/>
              </w:rPr>
              <w:t>社会效益指标</w:t>
            </w:r>
          </w:p>
        </w:tc>
        <w:tc>
          <w:tcPr>
            <w:tcW w:w="673" w:type="pct"/>
            <w:noWrap w:val="0"/>
            <w:vAlign w:val="center"/>
          </w:tcPr>
          <w:p>
            <w:pPr>
              <w:pStyle w:val="17"/>
              <w:rPr>
                <w:rFonts w:hint="eastAsia" w:ascii="仿宋_GB2312" w:hAnsi="仿宋_GB2312" w:eastAsia="仿宋_GB2312" w:cs="仿宋_GB2312"/>
              </w:rPr>
            </w:pPr>
            <w:r>
              <w:rPr>
                <w:rFonts w:hint="eastAsia" w:ascii="仿宋_GB2312" w:hAnsi="仿宋_GB2312" w:eastAsia="仿宋_GB2312" w:cs="仿宋_GB2312"/>
              </w:rPr>
              <w:t>义务教育高质量发展</w:t>
            </w:r>
          </w:p>
        </w:tc>
        <w:tc>
          <w:tcPr>
            <w:tcW w:w="1461" w:type="pct"/>
            <w:noWrap w:val="0"/>
            <w:vAlign w:val="center"/>
          </w:tcPr>
          <w:p>
            <w:pPr>
              <w:pStyle w:val="17"/>
              <w:rPr>
                <w:rFonts w:hint="eastAsia" w:ascii="仿宋_GB2312" w:hAnsi="仿宋_GB2312" w:eastAsia="仿宋_GB2312" w:cs="仿宋_GB2312"/>
              </w:rPr>
            </w:pPr>
            <w:r>
              <w:rPr>
                <w:rFonts w:hint="eastAsia" w:ascii="仿宋_GB2312" w:hAnsi="仿宋_GB2312" w:eastAsia="仿宋_GB2312" w:cs="仿宋_GB2312"/>
              </w:rPr>
              <w:t>推动义务教育从数量扩张向质量提高转变</w:t>
            </w:r>
          </w:p>
        </w:tc>
        <w:tc>
          <w:tcPr>
            <w:tcW w:w="644" w:type="pct"/>
            <w:noWrap w:val="0"/>
            <w:vAlign w:val="center"/>
          </w:tcPr>
          <w:p>
            <w:pPr>
              <w:pStyle w:val="17"/>
              <w:rPr>
                <w:rFonts w:hint="eastAsia" w:ascii="仿宋_GB2312" w:hAnsi="仿宋_GB2312" w:eastAsia="仿宋_GB2312" w:cs="仿宋_GB2312"/>
              </w:rPr>
            </w:pPr>
            <w:r>
              <w:rPr>
                <w:rFonts w:hint="eastAsia" w:ascii="仿宋_GB2312" w:hAnsi="仿宋_GB2312" w:eastAsia="仿宋_GB2312" w:cs="仿宋_GB2312"/>
              </w:rPr>
              <w:t>提高</w:t>
            </w:r>
          </w:p>
        </w:tc>
        <w:tc>
          <w:tcPr>
            <w:tcW w:w="931" w:type="pct"/>
            <w:noWrap w:val="0"/>
            <w:vAlign w:val="center"/>
          </w:tcPr>
          <w:p>
            <w:pPr>
              <w:pStyle w:val="17"/>
              <w:rPr>
                <w:rFonts w:hint="eastAsia" w:ascii="仿宋_GB2312" w:hAnsi="仿宋_GB2312" w:eastAsia="仿宋_GB2312" w:cs="仿宋_GB2312"/>
              </w:rPr>
            </w:pPr>
            <w:r>
              <w:rPr>
                <w:rFonts w:hint="eastAsia" w:ascii="仿宋_GB2312" w:hAnsi="仿宋_GB2312" w:eastAsia="仿宋_GB2312" w:cs="仿宋_GB2312"/>
              </w:rPr>
              <w:t>部门职责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restart"/>
            <w:noWrap w:val="0"/>
            <w:vAlign w:val="center"/>
          </w:tcPr>
          <w:p>
            <w:pPr>
              <w:pStyle w:val="13"/>
              <w:rPr>
                <w:rFonts w:hint="eastAsia" w:ascii="仿宋_GB2312" w:hAnsi="仿宋_GB2312" w:eastAsia="仿宋_GB2312" w:cs="仿宋_GB2312"/>
              </w:rPr>
            </w:pPr>
            <w:r>
              <w:rPr>
                <w:rFonts w:hint="eastAsia" w:ascii="仿宋_GB2312" w:hAnsi="仿宋_GB2312" w:eastAsia="仿宋_GB2312" w:cs="仿宋_GB2312"/>
              </w:rPr>
              <w:t>满意度指标</w:t>
            </w:r>
          </w:p>
        </w:tc>
        <w:tc>
          <w:tcPr>
            <w:tcW w:w="644" w:type="pct"/>
            <w:noWrap w:val="0"/>
            <w:vAlign w:val="center"/>
          </w:tcPr>
          <w:p>
            <w:pPr>
              <w:pStyle w:val="17"/>
              <w:rPr>
                <w:rFonts w:hint="eastAsia" w:ascii="仿宋_GB2312" w:hAnsi="仿宋_GB2312" w:eastAsia="仿宋_GB2312" w:cs="仿宋_GB2312"/>
              </w:rPr>
            </w:pPr>
            <w:r>
              <w:rPr>
                <w:rFonts w:hint="eastAsia" w:ascii="仿宋_GB2312" w:hAnsi="仿宋_GB2312" w:eastAsia="仿宋_GB2312" w:cs="仿宋_GB2312"/>
              </w:rPr>
              <w:t>服务对象满意度指标</w:t>
            </w:r>
          </w:p>
        </w:tc>
        <w:tc>
          <w:tcPr>
            <w:tcW w:w="673" w:type="pct"/>
            <w:noWrap w:val="0"/>
            <w:vAlign w:val="center"/>
          </w:tcPr>
          <w:p>
            <w:pPr>
              <w:pStyle w:val="17"/>
              <w:rPr>
                <w:rFonts w:hint="eastAsia" w:ascii="仿宋_GB2312" w:hAnsi="仿宋_GB2312" w:eastAsia="仿宋_GB2312" w:cs="仿宋_GB2312"/>
              </w:rPr>
            </w:pPr>
            <w:r>
              <w:rPr>
                <w:rFonts w:hint="eastAsia" w:ascii="仿宋_GB2312" w:hAnsi="仿宋_GB2312" w:eastAsia="仿宋_GB2312" w:cs="仿宋_GB2312"/>
              </w:rPr>
              <w:t>在校师生的满意程度</w:t>
            </w:r>
          </w:p>
        </w:tc>
        <w:tc>
          <w:tcPr>
            <w:tcW w:w="1461" w:type="pct"/>
            <w:noWrap w:val="0"/>
            <w:vAlign w:val="center"/>
          </w:tcPr>
          <w:p>
            <w:pPr>
              <w:pStyle w:val="17"/>
              <w:rPr>
                <w:rFonts w:hint="eastAsia" w:ascii="仿宋_GB2312" w:hAnsi="仿宋_GB2312" w:eastAsia="仿宋_GB2312" w:cs="仿宋_GB2312"/>
              </w:rPr>
            </w:pPr>
            <w:r>
              <w:rPr>
                <w:rFonts w:hint="eastAsia" w:ascii="仿宋_GB2312" w:hAnsi="仿宋_GB2312" w:eastAsia="仿宋_GB2312" w:cs="仿宋_GB2312"/>
              </w:rPr>
              <w:t>在校师生的满意程度</w:t>
            </w:r>
          </w:p>
        </w:tc>
        <w:tc>
          <w:tcPr>
            <w:tcW w:w="644" w:type="pct"/>
            <w:noWrap w:val="0"/>
            <w:vAlign w:val="center"/>
          </w:tcPr>
          <w:p>
            <w:pPr>
              <w:pStyle w:val="17"/>
              <w:rPr>
                <w:rFonts w:hint="eastAsia" w:ascii="仿宋_GB2312" w:hAnsi="仿宋_GB2312" w:eastAsia="仿宋_GB2312" w:cs="仿宋_GB2312"/>
              </w:rPr>
            </w:pPr>
            <w:r>
              <w:rPr>
                <w:rFonts w:hint="eastAsia" w:ascii="仿宋_GB2312" w:hAnsi="仿宋_GB2312" w:eastAsia="仿宋_GB2312" w:cs="仿宋_GB2312"/>
              </w:rPr>
              <w:t>≥95%</w:t>
            </w:r>
          </w:p>
        </w:tc>
        <w:tc>
          <w:tcPr>
            <w:tcW w:w="931" w:type="pct"/>
            <w:noWrap w:val="0"/>
            <w:vAlign w:val="center"/>
          </w:tcPr>
          <w:p>
            <w:pPr>
              <w:pStyle w:val="17"/>
              <w:rPr>
                <w:rFonts w:hint="eastAsia" w:ascii="仿宋_GB2312" w:hAnsi="仿宋_GB2312" w:eastAsia="仿宋_GB2312" w:cs="仿宋_GB2312"/>
              </w:rPr>
            </w:pPr>
            <w:r>
              <w:rPr>
                <w:rFonts w:hint="eastAsia" w:ascii="仿宋_GB2312" w:hAnsi="仿宋_GB2312" w:eastAsia="仿宋_GB2312" w:cs="仿宋_GB2312"/>
              </w:rP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continue"/>
            <w:noWrap w:val="0"/>
            <w:vAlign w:val="center"/>
          </w:tcPr>
          <w:p>
            <w:pPr>
              <w:rPr>
                <w:rFonts w:hint="eastAsia" w:ascii="仿宋_GB2312" w:hAnsi="仿宋_GB2312" w:eastAsia="仿宋_GB2312" w:cs="仿宋_GB2312"/>
              </w:rPr>
            </w:pPr>
          </w:p>
        </w:tc>
        <w:tc>
          <w:tcPr>
            <w:tcW w:w="644" w:type="pct"/>
            <w:noWrap w:val="0"/>
            <w:vAlign w:val="center"/>
          </w:tcPr>
          <w:p>
            <w:pPr>
              <w:pStyle w:val="17"/>
              <w:rPr>
                <w:rFonts w:hint="eastAsia" w:ascii="仿宋_GB2312" w:hAnsi="仿宋_GB2312" w:eastAsia="仿宋_GB2312" w:cs="仿宋_GB2312"/>
              </w:rPr>
            </w:pPr>
            <w:r>
              <w:rPr>
                <w:rFonts w:hint="eastAsia" w:ascii="仿宋_GB2312" w:hAnsi="仿宋_GB2312" w:eastAsia="仿宋_GB2312" w:cs="仿宋_GB2312"/>
              </w:rPr>
              <w:t>服务对象满意度指标</w:t>
            </w:r>
          </w:p>
        </w:tc>
        <w:tc>
          <w:tcPr>
            <w:tcW w:w="673" w:type="pct"/>
            <w:noWrap w:val="0"/>
            <w:vAlign w:val="center"/>
          </w:tcPr>
          <w:p>
            <w:pPr>
              <w:pStyle w:val="17"/>
              <w:rPr>
                <w:rFonts w:hint="eastAsia" w:ascii="仿宋_GB2312" w:hAnsi="仿宋_GB2312" w:eastAsia="仿宋_GB2312" w:cs="仿宋_GB2312"/>
              </w:rPr>
            </w:pPr>
            <w:r>
              <w:rPr>
                <w:rFonts w:hint="eastAsia" w:ascii="仿宋_GB2312" w:hAnsi="仿宋_GB2312" w:eastAsia="仿宋_GB2312" w:cs="仿宋_GB2312"/>
              </w:rPr>
              <w:t>家长的满意程度</w:t>
            </w:r>
          </w:p>
        </w:tc>
        <w:tc>
          <w:tcPr>
            <w:tcW w:w="1461" w:type="pct"/>
            <w:noWrap w:val="0"/>
            <w:vAlign w:val="center"/>
          </w:tcPr>
          <w:p>
            <w:pPr>
              <w:pStyle w:val="17"/>
              <w:rPr>
                <w:rFonts w:hint="eastAsia" w:ascii="仿宋_GB2312" w:hAnsi="仿宋_GB2312" w:eastAsia="仿宋_GB2312" w:cs="仿宋_GB2312"/>
              </w:rPr>
            </w:pPr>
            <w:r>
              <w:rPr>
                <w:rFonts w:hint="eastAsia" w:ascii="仿宋_GB2312" w:hAnsi="仿宋_GB2312" w:eastAsia="仿宋_GB2312" w:cs="仿宋_GB2312"/>
              </w:rPr>
              <w:t>家长的满意程度</w:t>
            </w:r>
          </w:p>
        </w:tc>
        <w:tc>
          <w:tcPr>
            <w:tcW w:w="644" w:type="pct"/>
            <w:noWrap w:val="0"/>
            <w:vAlign w:val="center"/>
          </w:tcPr>
          <w:p>
            <w:pPr>
              <w:pStyle w:val="17"/>
              <w:rPr>
                <w:rFonts w:hint="eastAsia" w:ascii="仿宋_GB2312" w:hAnsi="仿宋_GB2312" w:eastAsia="仿宋_GB2312" w:cs="仿宋_GB2312"/>
              </w:rPr>
            </w:pPr>
            <w:r>
              <w:rPr>
                <w:rFonts w:hint="eastAsia" w:ascii="仿宋_GB2312" w:hAnsi="仿宋_GB2312" w:eastAsia="仿宋_GB2312" w:cs="仿宋_GB2312"/>
              </w:rPr>
              <w:t>≥95%</w:t>
            </w:r>
          </w:p>
        </w:tc>
        <w:tc>
          <w:tcPr>
            <w:tcW w:w="931" w:type="pct"/>
            <w:noWrap w:val="0"/>
            <w:vAlign w:val="center"/>
          </w:tcPr>
          <w:p>
            <w:pPr>
              <w:pStyle w:val="17"/>
              <w:rPr>
                <w:rFonts w:hint="eastAsia" w:ascii="仿宋_GB2312" w:hAnsi="仿宋_GB2312" w:eastAsia="仿宋_GB2312" w:cs="仿宋_GB2312"/>
              </w:rPr>
            </w:pPr>
            <w:r>
              <w:rPr>
                <w:rFonts w:hint="eastAsia" w:ascii="仿宋_GB2312" w:hAnsi="仿宋_GB2312" w:eastAsia="仿宋_GB2312" w:cs="仿宋_GB2312"/>
              </w:rPr>
              <w:t>调查问卷</w:t>
            </w:r>
          </w:p>
        </w:tc>
      </w:tr>
    </w:tbl>
    <w:p>
      <w:pPr>
        <w:sectPr>
          <w:pgSz w:w="16840" w:h="11900" w:orient="landscape"/>
          <w:pgMar w:top="1304" w:right="1984" w:bottom="1304" w:left="1134" w:header="720" w:footer="720" w:gutter="0"/>
          <w:cols w:space="720" w:num="1"/>
        </w:sect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六、政府采购预算情况</w:t>
      </w:r>
    </w:p>
    <w:p>
      <w:pPr>
        <w:spacing w:line="584" w:lineRule="exact"/>
        <w:ind w:firstLine="640" w:firstLineChars="200"/>
        <w:outlineLvl w:val="0"/>
        <w:rPr>
          <w:rFonts w:ascii="Times New Roman" w:hAnsi="Times New Roman" w:eastAsia="仿宋_GB2312" w:cs="Times New Roman"/>
          <w:sz w:val="32"/>
          <w:szCs w:val="24"/>
        </w:rPr>
      </w:pPr>
      <w:bookmarkStart w:id="3" w:name="_Toc471398468"/>
      <w:r>
        <w:rPr>
          <w:rFonts w:ascii="Times New Roman" w:hAnsi="Times New Roman" w:eastAsia="仿宋_GB2312" w:cs="Times New Roman"/>
          <w:sz w:val="32"/>
          <w:szCs w:val="24"/>
        </w:rPr>
        <w:t>20</w:t>
      </w:r>
      <w:r>
        <w:rPr>
          <w:rFonts w:hint="eastAsia" w:ascii="Times New Roman" w:hAnsi="Times New Roman" w:eastAsia="仿宋_GB2312" w:cs="Times New Roman"/>
          <w:sz w:val="32"/>
          <w:szCs w:val="24"/>
        </w:rPr>
        <w:t>2</w:t>
      </w:r>
      <w:r>
        <w:rPr>
          <w:rFonts w:ascii="Times New Roman" w:hAnsi="Times New Roman" w:eastAsia="仿宋_GB2312" w:cs="Times New Roman"/>
          <w:sz w:val="32"/>
          <w:szCs w:val="24"/>
        </w:rPr>
        <w:t>2年，我部门安排政府采购预算</w:t>
      </w:r>
      <w:r>
        <w:rPr>
          <w:rFonts w:hint="eastAsia" w:ascii="Times New Roman" w:hAnsi="Times New Roman" w:eastAsia="仿宋_GB2312" w:cs="Times New Roman"/>
          <w:sz w:val="32"/>
          <w:szCs w:val="24"/>
        </w:rPr>
        <w:t>0</w:t>
      </w:r>
      <w:r>
        <w:rPr>
          <w:rFonts w:ascii="Times New Roman" w:hAnsi="Times New Roman" w:eastAsia="仿宋_GB2312" w:cs="Times New Roman"/>
          <w:sz w:val="32"/>
          <w:szCs w:val="24"/>
        </w:rPr>
        <w:t>万元。具体内容见下表。</w:t>
      </w:r>
    </w:p>
    <w:bookmarkEnd w:id="3"/>
    <w:p>
      <w:pPr>
        <w:jc w:val="center"/>
        <w:outlineLvl w:val="1"/>
        <w:rPr>
          <w:rFonts w:ascii="方正小标宋_GBK" w:eastAsia="方正小标宋_GBK" w:cs="Times New Roman"/>
          <w:sz w:val="32"/>
        </w:rPr>
      </w:pPr>
      <w:bookmarkStart w:id="4" w:name="_Toc64920910"/>
      <w:r>
        <w:rPr>
          <w:rFonts w:hint="eastAsia" w:ascii="方正小标宋_GBK" w:eastAsia="方正小标宋_GBK" w:cs="Times New Roman"/>
          <w:sz w:val="32"/>
        </w:rPr>
        <w:t>部门政府采购预算</w:t>
      </w:r>
      <w:bookmarkEnd w:id="4"/>
    </w:p>
    <w:p>
      <w:pPr>
        <w:jc w:val="left"/>
        <w:outlineLvl w:val="1"/>
        <w:rPr>
          <w:rFonts w:ascii="方正小标宋_GBK" w:eastAsia="方正小标宋_GBK" w:cs="Times New Roman"/>
          <w:sz w:val="32"/>
        </w:rPr>
      </w:pPr>
      <w:r>
        <w:rPr>
          <w:rFonts w:hint="eastAsia"/>
        </w:rPr>
        <w:t>廊坊市广阳区北旺镇东户屯中心小学</w:t>
      </w:r>
      <w:r>
        <w:t xml:space="preserve">                                                                                       单位：万元</w:t>
      </w:r>
    </w:p>
    <w:tbl>
      <w:tblPr>
        <w:tblStyle w:val="10"/>
        <w:tblW w:w="4997"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006"/>
        <w:gridCol w:w="887"/>
        <w:gridCol w:w="1040"/>
        <w:gridCol w:w="1040"/>
        <w:gridCol w:w="649"/>
        <w:gridCol w:w="780"/>
        <w:gridCol w:w="780"/>
        <w:gridCol w:w="884"/>
        <w:gridCol w:w="884"/>
        <w:gridCol w:w="884"/>
        <w:gridCol w:w="884"/>
        <w:gridCol w:w="884"/>
        <w:gridCol w:w="885"/>
        <w:gridCol w:w="885"/>
        <w:gridCol w:w="908"/>
        <w:gridCol w:w="88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668" w:type="pct"/>
            <w:gridSpan w:val="2"/>
            <w:noWrap w:val="0"/>
            <w:vAlign w:val="center"/>
          </w:tcPr>
          <w:p>
            <w:pPr>
              <w:pStyle w:val="19"/>
              <w:spacing w:line="500" w:lineRule="exact"/>
            </w:pPr>
            <w:r>
              <w:t>政府采购项目来源</w:t>
            </w:r>
          </w:p>
        </w:tc>
        <w:tc>
          <w:tcPr>
            <w:tcW w:w="367" w:type="pct"/>
            <w:vMerge w:val="restart"/>
            <w:noWrap w:val="0"/>
            <w:vAlign w:val="center"/>
          </w:tcPr>
          <w:p>
            <w:pPr>
              <w:pStyle w:val="19"/>
              <w:spacing w:line="500" w:lineRule="exact"/>
            </w:pPr>
            <w:r>
              <w:t>采购物品名称</w:t>
            </w:r>
          </w:p>
        </w:tc>
        <w:tc>
          <w:tcPr>
            <w:tcW w:w="367" w:type="pct"/>
            <w:vMerge w:val="restart"/>
            <w:noWrap w:val="0"/>
            <w:vAlign w:val="center"/>
          </w:tcPr>
          <w:p>
            <w:pPr>
              <w:pStyle w:val="19"/>
              <w:spacing w:line="500" w:lineRule="exact"/>
            </w:pPr>
            <w:r>
              <w:t>政府采购目录序号</w:t>
            </w:r>
          </w:p>
        </w:tc>
        <w:tc>
          <w:tcPr>
            <w:tcW w:w="229" w:type="pct"/>
            <w:vMerge w:val="restart"/>
            <w:noWrap w:val="0"/>
            <w:vAlign w:val="center"/>
          </w:tcPr>
          <w:p>
            <w:pPr>
              <w:pStyle w:val="19"/>
              <w:spacing w:line="500" w:lineRule="exact"/>
            </w:pPr>
            <w:r>
              <w:t>计量  单位</w:t>
            </w:r>
          </w:p>
        </w:tc>
        <w:tc>
          <w:tcPr>
            <w:tcW w:w="275" w:type="pct"/>
            <w:vMerge w:val="restart"/>
            <w:noWrap w:val="0"/>
            <w:vAlign w:val="center"/>
          </w:tcPr>
          <w:p>
            <w:pPr>
              <w:pStyle w:val="19"/>
              <w:spacing w:line="500" w:lineRule="exact"/>
            </w:pPr>
            <w:r>
              <w:t>数量</w:t>
            </w:r>
          </w:p>
        </w:tc>
        <w:tc>
          <w:tcPr>
            <w:tcW w:w="275" w:type="pct"/>
            <w:vMerge w:val="restart"/>
            <w:noWrap w:val="0"/>
            <w:vAlign w:val="center"/>
          </w:tcPr>
          <w:p>
            <w:pPr>
              <w:pStyle w:val="19"/>
              <w:spacing w:line="500" w:lineRule="exact"/>
            </w:pPr>
            <w:r>
              <w:t>单价</w:t>
            </w:r>
          </w:p>
        </w:tc>
        <w:tc>
          <w:tcPr>
            <w:tcW w:w="2504" w:type="pct"/>
            <w:gridSpan w:val="8"/>
            <w:noWrap w:val="0"/>
            <w:vAlign w:val="center"/>
          </w:tcPr>
          <w:p>
            <w:pPr>
              <w:pStyle w:val="19"/>
              <w:spacing w:line="500" w:lineRule="exact"/>
            </w:pPr>
            <w:r>
              <w:t>政府采购金额（当年部门预算安排资金）</w:t>
            </w:r>
          </w:p>
        </w:tc>
        <w:tc>
          <w:tcPr>
            <w:tcW w:w="312" w:type="pct"/>
            <w:vMerge w:val="restart"/>
            <w:noWrap w:val="0"/>
            <w:vAlign w:val="center"/>
          </w:tcPr>
          <w:p>
            <w:pPr>
              <w:pStyle w:val="19"/>
              <w:spacing w:line="500" w:lineRule="exact"/>
            </w:pPr>
            <w:r>
              <w:t>2022年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355" w:type="pct"/>
            <w:noWrap w:val="0"/>
            <w:vAlign w:val="center"/>
          </w:tcPr>
          <w:p>
            <w:pPr>
              <w:pStyle w:val="19"/>
              <w:spacing w:line="500" w:lineRule="exact"/>
            </w:pPr>
            <w:r>
              <w:t>项目名称</w:t>
            </w:r>
          </w:p>
        </w:tc>
        <w:tc>
          <w:tcPr>
            <w:tcW w:w="313" w:type="pct"/>
            <w:noWrap w:val="0"/>
            <w:vAlign w:val="center"/>
          </w:tcPr>
          <w:p>
            <w:pPr>
              <w:pStyle w:val="19"/>
              <w:spacing w:line="500" w:lineRule="exact"/>
            </w:pPr>
            <w:r>
              <w:t>预算    资金</w:t>
            </w:r>
          </w:p>
        </w:tc>
        <w:tc>
          <w:tcPr>
            <w:tcW w:w="367" w:type="pct"/>
            <w:vMerge w:val="continue"/>
            <w:noWrap w:val="0"/>
            <w:vAlign w:val="top"/>
          </w:tcPr>
          <w:p>
            <w:pPr>
              <w:spacing w:line="500" w:lineRule="exact"/>
            </w:pPr>
          </w:p>
        </w:tc>
        <w:tc>
          <w:tcPr>
            <w:tcW w:w="367" w:type="pct"/>
            <w:vMerge w:val="continue"/>
            <w:noWrap w:val="0"/>
            <w:vAlign w:val="top"/>
          </w:tcPr>
          <w:p>
            <w:pPr>
              <w:spacing w:line="500" w:lineRule="exact"/>
            </w:pPr>
          </w:p>
        </w:tc>
        <w:tc>
          <w:tcPr>
            <w:tcW w:w="229" w:type="pct"/>
            <w:vMerge w:val="continue"/>
            <w:noWrap w:val="0"/>
            <w:vAlign w:val="top"/>
          </w:tcPr>
          <w:p>
            <w:pPr>
              <w:spacing w:line="500" w:lineRule="exact"/>
            </w:pPr>
          </w:p>
        </w:tc>
        <w:tc>
          <w:tcPr>
            <w:tcW w:w="275" w:type="pct"/>
            <w:vMerge w:val="continue"/>
            <w:noWrap w:val="0"/>
            <w:vAlign w:val="top"/>
          </w:tcPr>
          <w:p>
            <w:pPr>
              <w:spacing w:line="500" w:lineRule="exact"/>
            </w:pPr>
          </w:p>
        </w:tc>
        <w:tc>
          <w:tcPr>
            <w:tcW w:w="275" w:type="pct"/>
            <w:vMerge w:val="continue"/>
            <w:noWrap w:val="0"/>
            <w:vAlign w:val="top"/>
          </w:tcPr>
          <w:p>
            <w:pPr>
              <w:spacing w:line="500" w:lineRule="exact"/>
            </w:pPr>
          </w:p>
        </w:tc>
        <w:tc>
          <w:tcPr>
            <w:tcW w:w="312" w:type="pct"/>
            <w:noWrap w:val="0"/>
            <w:vAlign w:val="center"/>
          </w:tcPr>
          <w:p>
            <w:pPr>
              <w:pStyle w:val="19"/>
              <w:spacing w:line="500" w:lineRule="exact"/>
            </w:pPr>
            <w:r>
              <w:t>合计</w:t>
            </w:r>
          </w:p>
        </w:tc>
        <w:tc>
          <w:tcPr>
            <w:tcW w:w="312" w:type="pct"/>
            <w:noWrap w:val="0"/>
            <w:vAlign w:val="center"/>
          </w:tcPr>
          <w:p>
            <w:pPr>
              <w:pStyle w:val="19"/>
              <w:spacing w:line="500" w:lineRule="exact"/>
            </w:pPr>
            <w:r>
              <w:t>一般公共预算拨款</w:t>
            </w:r>
          </w:p>
        </w:tc>
        <w:tc>
          <w:tcPr>
            <w:tcW w:w="312" w:type="pct"/>
            <w:noWrap w:val="0"/>
            <w:vAlign w:val="center"/>
          </w:tcPr>
          <w:p>
            <w:pPr>
              <w:pStyle w:val="19"/>
              <w:spacing w:line="500" w:lineRule="exact"/>
            </w:pPr>
            <w:r>
              <w:t>基金预算拨款</w:t>
            </w:r>
          </w:p>
        </w:tc>
        <w:tc>
          <w:tcPr>
            <w:tcW w:w="312" w:type="pct"/>
            <w:noWrap w:val="0"/>
            <w:vAlign w:val="center"/>
          </w:tcPr>
          <w:p>
            <w:pPr>
              <w:pStyle w:val="19"/>
              <w:spacing w:line="500" w:lineRule="exact"/>
            </w:pPr>
            <w:r>
              <w:t>国有资本经营预算拨款</w:t>
            </w:r>
          </w:p>
        </w:tc>
        <w:tc>
          <w:tcPr>
            <w:tcW w:w="312" w:type="pct"/>
            <w:noWrap w:val="0"/>
            <w:vAlign w:val="center"/>
          </w:tcPr>
          <w:p>
            <w:pPr>
              <w:pStyle w:val="19"/>
              <w:spacing w:line="500" w:lineRule="exact"/>
            </w:pPr>
            <w:r>
              <w:t>财政专户核拨</w:t>
            </w:r>
          </w:p>
        </w:tc>
        <w:tc>
          <w:tcPr>
            <w:tcW w:w="312" w:type="pct"/>
            <w:noWrap w:val="0"/>
            <w:vAlign w:val="center"/>
          </w:tcPr>
          <w:p>
            <w:pPr>
              <w:pStyle w:val="19"/>
              <w:spacing w:line="500" w:lineRule="exact"/>
            </w:pPr>
            <w:r>
              <w:t>单位    资金</w:t>
            </w:r>
          </w:p>
        </w:tc>
        <w:tc>
          <w:tcPr>
            <w:tcW w:w="312" w:type="pct"/>
            <w:noWrap w:val="0"/>
            <w:vAlign w:val="center"/>
          </w:tcPr>
          <w:p>
            <w:pPr>
              <w:pStyle w:val="19"/>
              <w:spacing w:line="500" w:lineRule="exact"/>
            </w:pPr>
            <w:r>
              <w:t>财政拨    款结转</w:t>
            </w:r>
          </w:p>
        </w:tc>
        <w:tc>
          <w:tcPr>
            <w:tcW w:w="318" w:type="pct"/>
            <w:noWrap w:val="0"/>
            <w:vAlign w:val="center"/>
          </w:tcPr>
          <w:p>
            <w:pPr>
              <w:pStyle w:val="19"/>
              <w:spacing w:line="500" w:lineRule="exact"/>
            </w:pPr>
            <w:r>
              <w:t>非财政    拨款结    转结余</w:t>
            </w:r>
          </w:p>
        </w:tc>
        <w:tc>
          <w:tcPr>
            <w:tcW w:w="312" w:type="pct"/>
            <w:vMerge w:val="continue"/>
            <w:noWrap w:val="0"/>
            <w:vAlign w:val="top"/>
          </w:tcPr>
          <w:p>
            <w:pPr>
              <w:spacing w:line="500" w:lineRule="exac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355" w:type="pct"/>
            <w:noWrap w:val="0"/>
            <w:vAlign w:val="center"/>
          </w:tcPr>
          <w:p>
            <w:pPr>
              <w:pStyle w:val="21"/>
              <w:spacing w:line="500" w:lineRule="exact"/>
            </w:pPr>
            <w:r>
              <w:t>合  计</w:t>
            </w:r>
          </w:p>
        </w:tc>
        <w:tc>
          <w:tcPr>
            <w:tcW w:w="313" w:type="pct"/>
            <w:noWrap w:val="0"/>
            <w:vAlign w:val="center"/>
          </w:tcPr>
          <w:p>
            <w:pPr>
              <w:pStyle w:val="16"/>
              <w:spacing w:line="500" w:lineRule="exact"/>
              <w:rPr>
                <w:rFonts w:hint="eastAsia"/>
                <w:lang w:eastAsia="zh-CN"/>
              </w:rPr>
            </w:pPr>
          </w:p>
        </w:tc>
        <w:tc>
          <w:tcPr>
            <w:tcW w:w="367" w:type="pct"/>
            <w:noWrap w:val="0"/>
            <w:vAlign w:val="center"/>
          </w:tcPr>
          <w:p>
            <w:pPr>
              <w:pStyle w:val="22"/>
              <w:spacing w:line="500" w:lineRule="exact"/>
              <w:rPr>
                <w:rFonts w:hint="eastAsia"/>
                <w:lang w:eastAsia="zh-CN"/>
              </w:rPr>
            </w:pPr>
          </w:p>
        </w:tc>
        <w:tc>
          <w:tcPr>
            <w:tcW w:w="367" w:type="pct"/>
            <w:noWrap w:val="0"/>
            <w:vAlign w:val="center"/>
          </w:tcPr>
          <w:p>
            <w:pPr>
              <w:pStyle w:val="22"/>
              <w:spacing w:line="500" w:lineRule="exact"/>
              <w:rPr>
                <w:rFonts w:hint="eastAsia"/>
                <w:lang w:eastAsia="zh-CN"/>
              </w:rPr>
            </w:pPr>
          </w:p>
        </w:tc>
        <w:tc>
          <w:tcPr>
            <w:tcW w:w="229" w:type="pct"/>
            <w:noWrap w:val="0"/>
            <w:vAlign w:val="center"/>
          </w:tcPr>
          <w:p>
            <w:pPr>
              <w:pStyle w:val="21"/>
              <w:spacing w:line="500" w:lineRule="exact"/>
              <w:rPr>
                <w:rFonts w:hint="eastAsia"/>
                <w:lang w:eastAsia="zh-CN"/>
              </w:rPr>
            </w:pPr>
          </w:p>
        </w:tc>
        <w:tc>
          <w:tcPr>
            <w:tcW w:w="275" w:type="pct"/>
            <w:noWrap w:val="0"/>
            <w:vAlign w:val="center"/>
          </w:tcPr>
          <w:p>
            <w:pPr>
              <w:pStyle w:val="16"/>
              <w:spacing w:line="500" w:lineRule="exact"/>
              <w:rPr>
                <w:rFonts w:hint="eastAsia"/>
                <w:lang w:eastAsia="zh-CN"/>
              </w:rPr>
            </w:pPr>
          </w:p>
        </w:tc>
        <w:tc>
          <w:tcPr>
            <w:tcW w:w="275" w:type="pct"/>
            <w:noWrap w:val="0"/>
            <w:vAlign w:val="center"/>
          </w:tcPr>
          <w:p>
            <w:pPr>
              <w:pStyle w:val="16"/>
              <w:spacing w:line="500" w:lineRule="exact"/>
              <w:rPr>
                <w:rFonts w:hint="eastAsia"/>
                <w:lang w:eastAsia="zh-CN"/>
              </w:rPr>
            </w:pPr>
          </w:p>
        </w:tc>
        <w:tc>
          <w:tcPr>
            <w:tcW w:w="312" w:type="pct"/>
            <w:noWrap w:val="0"/>
            <w:vAlign w:val="center"/>
          </w:tcPr>
          <w:p>
            <w:pPr>
              <w:pStyle w:val="16"/>
              <w:spacing w:line="500" w:lineRule="exact"/>
              <w:rPr>
                <w:rFonts w:hint="eastAsia"/>
                <w:lang w:eastAsia="zh-CN"/>
              </w:rPr>
            </w:pPr>
          </w:p>
        </w:tc>
        <w:tc>
          <w:tcPr>
            <w:tcW w:w="312" w:type="pct"/>
            <w:noWrap w:val="0"/>
            <w:vAlign w:val="center"/>
          </w:tcPr>
          <w:p>
            <w:pPr>
              <w:pStyle w:val="16"/>
              <w:spacing w:line="500" w:lineRule="exact"/>
              <w:rPr>
                <w:rFonts w:hint="eastAsia"/>
                <w:lang w:eastAsia="zh-CN"/>
              </w:rPr>
            </w:pPr>
          </w:p>
        </w:tc>
        <w:tc>
          <w:tcPr>
            <w:tcW w:w="312" w:type="pct"/>
            <w:noWrap w:val="0"/>
            <w:vAlign w:val="center"/>
          </w:tcPr>
          <w:p>
            <w:pPr>
              <w:pStyle w:val="16"/>
              <w:spacing w:line="500" w:lineRule="exact"/>
              <w:rPr>
                <w:rFonts w:hint="eastAsia"/>
                <w:lang w:eastAsia="zh-CN"/>
              </w:rPr>
            </w:pPr>
          </w:p>
        </w:tc>
        <w:tc>
          <w:tcPr>
            <w:tcW w:w="312" w:type="pct"/>
            <w:noWrap w:val="0"/>
            <w:vAlign w:val="center"/>
          </w:tcPr>
          <w:p>
            <w:pPr>
              <w:pStyle w:val="16"/>
              <w:spacing w:line="500" w:lineRule="exact"/>
              <w:rPr>
                <w:rFonts w:hint="eastAsia"/>
                <w:lang w:eastAsia="zh-CN"/>
              </w:rPr>
            </w:pPr>
          </w:p>
        </w:tc>
        <w:tc>
          <w:tcPr>
            <w:tcW w:w="312" w:type="pct"/>
            <w:noWrap w:val="0"/>
            <w:vAlign w:val="center"/>
          </w:tcPr>
          <w:p>
            <w:pPr>
              <w:pStyle w:val="16"/>
              <w:spacing w:line="500" w:lineRule="exact"/>
              <w:rPr>
                <w:rFonts w:hint="eastAsia"/>
                <w:lang w:eastAsia="zh-CN"/>
              </w:rPr>
            </w:pPr>
          </w:p>
        </w:tc>
        <w:tc>
          <w:tcPr>
            <w:tcW w:w="312" w:type="pct"/>
            <w:noWrap w:val="0"/>
            <w:vAlign w:val="center"/>
          </w:tcPr>
          <w:p>
            <w:pPr>
              <w:pStyle w:val="16"/>
              <w:spacing w:line="500" w:lineRule="exact"/>
              <w:rPr>
                <w:rFonts w:hint="eastAsia"/>
                <w:lang w:eastAsia="zh-CN"/>
              </w:rPr>
            </w:pPr>
          </w:p>
        </w:tc>
        <w:tc>
          <w:tcPr>
            <w:tcW w:w="312" w:type="pct"/>
            <w:noWrap w:val="0"/>
            <w:vAlign w:val="center"/>
          </w:tcPr>
          <w:p>
            <w:pPr>
              <w:pStyle w:val="16"/>
              <w:spacing w:line="500" w:lineRule="exact"/>
              <w:rPr>
                <w:rFonts w:hint="eastAsia"/>
                <w:lang w:eastAsia="zh-CN"/>
              </w:rPr>
            </w:pPr>
          </w:p>
        </w:tc>
        <w:tc>
          <w:tcPr>
            <w:tcW w:w="318" w:type="pct"/>
            <w:noWrap w:val="0"/>
            <w:vAlign w:val="center"/>
          </w:tcPr>
          <w:p>
            <w:pPr>
              <w:pStyle w:val="16"/>
              <w:spacing w:line="500" w:lineRule="exact"/>
              <w:rPr>
                <w:rFonts w:hint="eastAsia"/>
                <w:lang w:eastAsia="zh-CN"/>
              </w:rPr>
            </w:pPr>
          </w:p>
        </w:tc>
        <w:tc>
          <w:tcPr>
            <w:tcW w:w="312" w:type="pct"/>
            <w:noWrap w:val="0"/>
            <w:vAlign w:val="center"/>
          </w:tcPr>
          <w:p>
            <w:pPr>
              <w:pStyle w:val="16"/>
              <w:spacing w:line="500" w:lineRule="exact"/>
              <w:rPr>
                <w:rFonts w:hint="eastAsia"/>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355" w:type="pct"/>
            <w:noWrap w:val="0"/>
            <w:vAlign w:val="center"/>
          </w:tcPr>
          <w:p>
            <w:pPr>
              <w:pStyle w:val="21"/>
              <w:spacing w:line="500" w:lineRule="exact"/>
              <w:rPr>
                <w:rFonts w:hint="eastAsia"/>
                <w:lang w:eastAsia="zh-CN"/>
              </w:rPr>
            </w:pPr>
          </w:p>
        </w:tc>
        <w:tc>
          <w:tcPr>
            <w:tcW w:w="313" w:type="pct"/>
            <w:noWrap w:val="0"/>
            <w:vAlign w:val="center"/>
          </w:tcPr>
          <w:p>
            <w:pPr>
              <w:pStyle w:val="16"/>
              <w:spacing w:line="500" w:lineRule="exact"/>
              <w:rPr>
                <w:rFonts w:hint="eastAsia"/>
                <w:lang w:eastAsia="zh-CN"/>
              </w:rPr>
            </w:pPr>
          </w:p>
        </w:tc>
        <w:tc>
          <w:tcPr>
            <w:tcW w:w="367" w:type="pct"/>
            <w:noWrap w:val="0"/>
            <w:vAlign w:val="center"/>
          </w:tcPr>
          <w:p>
            <w:pPr>
              <w:pStyle w:val="22"/>
              <w:spacing w:line="500" w:lineRule="exact"/>
              <w:rPr>
                <w:rFonts w:hint="eastAsia"/>
                <w:lang w:eastAsia="zh-CN"/>
              </w:rPr>
            </w:pPr>
          </w:p>
        </w:tc>
        <w:tc>
          <w:tcPr>
            <w:tcW w:w="367" w:type="pct"/>
            <w:noWrap w:val="0"/>
            <w:vAlign w:val="center"/>
          </w:tcPr>
          <w:p>
            <w:pPr>
              <w:pStyle w:val="22"/>
              <w:spacing w:line="500" w:lineRule="exact"/>
              <w:rPr>
                <w:rFonts w:hint="eastAsia"/>
                <w:lang w:eastAsia="zh-CN"/>
              </w:rPr>
            </w:pPr>
          </w:p>
        </w:tc>
        <w:tc>
          <w:tcPr>
            <w:tcW w:w="229" w:type="pct"/>
            <w:noWrap w:val="0"/>
            <w:vAlign w:val="center"/>
          </w:tcPr>
          <w:p>
            <w:pPr>
              <w:pStyle w:val="21"/>
              <w:spacing w:line="500" w:lineRule="exact"/>
              <w:rPr>
                <w:rFonts w:hint="eastAsia"/>
                <w:lang w:eastAsia="zh-CN"/>
              </w:rPr>
            </w:pPr>
          </w:p>
        </w:tc>
        <w:tc>
          <w:tcPr>
            <w:tcW w:w="275" w:type="pct"/>
            <w:noWrap w:val="0"/>
            <w:vAlign w:val="center"/>
          </w:tcPr>
          <w:p>
            <w:pPr>
              <w:pStyle w:val="16"/>
              <w:spacing w:line="500" w:lineRule="exact"/>
              <w:rPr>
                <w:rFonts w:hint="eastAsia"/>
                <w:lang w:eastAsia="zh-CN"/>
              </w:rPr>
            </w:pPr>
          </w:p>
        </w:tc>
        <w:tc>
          <w:tcPr>
            <w:tcW w:w="275" w:type="pct"/>
            <w:noWrap w:val="0"/>
            <w:vAlign w:val="center"/>
          </w:tcPr>
          <w:p>
            <w:pPr>
              <w:pStyle w:val="16"/>
              <w:spacing w:line="500" w:lineRule="exact"/>
              <w:rPr>
                <w:rFonts w:hint="eastAsia"/>
                <w:lang w:eastAsia="zh-CN"/>
              </w:rPr>
            </w:pPr>
          </w:p>
        </w:tc>
        <w:tc>
          <w:tcPr>
            <w:tcW w:w="312" w:type="pct"/>
            <w:noWrap w:val="0"/>
            <w:vAlign w:val="center"/>
          </w:tcPr>
          <w:p>
            <w:pPr>
              <w:pStyle w:val="16"/>
              <w:spacing w:line="500" w:lineRule="exact"/>
              <w:rPr>
                <w:rFonts w:hint="eastAsia"/>
                <w:lang w:eastAsia="zh-CN"/>
              </w:rPr>
            </w:pPr>
          </w:p>
        </w:tc>
        <w:tc>
          <w:tcPr>
            <w:tcW w:w="312" w:type="pct"/>
            <w:noWrap w:val="0"/>
            <w:vAlign w:val="center"/>
          </w:tcPr>
          <w:p>
            <w:pPr>
              <w:pStyle w:val="16"/>
              <w:spacing w:line="500" w:lineRule="exact"/>
              <w:rPr>
                <w:rFonts w:hint="eastAsia"/>
                <w:lang w:eastAsia="zh-CN"/>
              </w:rPr>
            </w:pPr>
          </w:p>
        </w:tc>
        <w:tc>
          <w:tcPr>
            <w:tcW w:w="312" w:type="pct"/>
            <w:noWrap w:val="0"/>
            <w:vAlign w:val="center"/>
          </w:tcPr>
          <w:p>
            <w:pPr>
              <w:pStyle w:val="16"/>
              <w:spacing w:line="500" w:lineRule="exact"/>
              <w:rPr>
                <w:rFonts w:hint="eastAsia"/>
                <w:lang w:eastAsia="zh-CN"/>
              </w:rPr>
            </w:pPr>
          </w:p>
        </w:tc>
        <w:tc>
          <w:tcPr>
            <w:tcW w:w="312" w:type="pct"/>
            <w:noWrap w:val="0"/>
            <w:vAlign w:val="center"/>
          </w:tcPr>
          <w:p>
            <w:pPr>
              <w:pStyle w:val="16"/>
              <w:spacing w:line="500" w:lineRule="exact"/>
              <w:rPr>
                <w:rFonts w:hint="eastAsia"/>
                <w:lang w:eastAsia="zh-CN"/>
              </w:rPr>
            </w:pPr>
          </w:p>
        </w:tc>
        <w:tc>
          <w:tcPr>
            <w:tcW w:w="312" w:type="pct"/>
            <w:noWrap w:val="0"/>
            <w:vAlign w:val="center"/>
          </w:tcPr>
          <w:p>
            <w:pPr>
              <w:pStyle w:val="16"/>
              <w:spacing w:line="500" w:lineRule="exact"/>
              <w:rPr>
                <w:rFonts w:hint="eastAsia"/>
                <w:lang w:eastAsia="zh-CN"/>
              </w:rPr>
            </w:pPr>
          </w:p>
        </w:tc>
        <w:tc>
          <w:tcPr>
            <w:tcW w:w="312" w:type="pct"/>
            <w:noWrap w:val="0"/>
            <w:vAlign w:val="center"/>
          </w:tcPr>
          <w:p>
            <w:pPr>
              <w:pStyle w:val="16"/>
              <w:spacing w:line="500" w:lineRule="exact"/>
              <w:rPr>
                <w:rFonts w:hint="eastAsia"/>
                <w:lang w:eastAsia="zh-CN"/>
              </w:rPr>
            </w:pPr>
          </w:p>
        </w:tc>
        <w:tc>
          <w:tcPr>
            <w:tcW w:w="312" w:type="pct"/>
            <w:noWrap w:val="0"/>
            <w:vAlign w:val="center"/>
          </w:tcPr>
          <w:p>
            <w:pPr>
              <w:pStyle w:val="16"/>
              <w:spacing w:line="500" w:lineRule="exact"/>
              <w:rPr>
                <w:rFonts w:hint="eastAsia"/>
                <w:lang w:eastAsia="zh-CN"/>
              </w:rPr>
            </w:pPr>
          </w:p>
        </w:tc>
        <w:tc>
          <w:tcPr>
            <w:tcW w:w="318" w:type="pct"/>
            <w:noWrap w:val="0"/>
            <w:vAlign w:val="center"/>
          </w:tcPr>
          <w:p>
            <w:pPr>
              <w:pStyle w:val="16"/>
              <w:spacing w:line="500" w:lineRule="exact"/>
              <w:rPr>
                <w:rFonts w:hint="eastAsia"/>
                <w:lang w:eastAsia="zh-CN"/>
              </w:rPr>
            </w:pPr>
          </w:p>
        </w:tc>
        <w:tc>
          <w:tcPr>
            <w:tcW w:w="312" w:type="pct"/>
            <w:noWrap w:val="0"/>
            <w:vAlign w:val="center"/>
          </w:tcPr>
          <w:p>
            <w:pPr>
              <w:pStyle w:val="16"/>
              <w:spacing w:line="500" w:lineRule="exact"/>
              <w:rPr>
                <w:rFonts w:hint="eastAsia"/>
                <w:lang w:eastAsia="zh-CN"/>
              </w:rPr>
            </w:pPr>
          </w:p>
        </w:tc>
      </w:tr>
    </w:tbl>
    <w:p>
      <w:pPr>
        <w:spacing w:line="500" w:lineRule="exact"/>
        <w:ind w:firstLine="420"/>
        <w:rPr>
          <w:rFonts w:ascii="方正仿宋_GBK" w:hAnsi="方正仿宋_GBK" w:eastAsia="方正仿宋_GBK" w:cs="方正仿宋_GBK"/>
          <w:color w:val="000000"/>
        </w:rPr>
      </w:pPr>
      <w:r>
        <w:rPr>
          <w:rFonts w:ascii="方正仿宋_GBK" w:hAnsi="方正仿宋_GBK" w:eastAsia="方正仿宋_GBK" w:cs="方正仿宋_GBK"/>
          <w:color w:val="000000"/>
        </w:rPr>
        <w:t>注：同一采购目录序号的物品，其单价会因配置规格不同而变动，均符合资产配置标准。涉密采购事项按照相关规定执行。</w:t>
      </w:r>
    </w:p>
    <w:p>
      <w:pPr>
        <w:spacing w:line="500" w:lineRule="exact"/>
        <w:ind w:firstLine="420"/>
        <w:rPr>
          <w:rFonts w:ascii="方正仿宋_GBK" w:hAnsi="方正仿宋_GBK" w:eastAsia="方正仿宋_GBK" w:cs="方正仿宋_GBK"/>
          <w:color w:val="000000"/>
        </w:rPr>
      </w:pPr>
    </w:p>
    <w:p>
      <w:pPr>
        <w:spacing w:line="500" w:lineRule="exact"/>
        <w:ind w:firstLine="420"/>
        <w:rPr>
          <w:rFonts w:ascii="Times New Roman" w:hAnsi="Times New Roman" w:eastAsia="黑体" w:cs="Times New Roman"/>
          <w:sz w:val="32"/>
          <w:szCs w:val="32"/>
        </w:rPr>
      </w:pPr>
    </w:p>
    <w:p>
      <w:pPr>
        <w:spacing w:line="500" w:lineRule="exact"/>
        <w:ind w:firstLine="420"/>
        <w:rPr>
          <w:rFonts w:ascii="Times New Roman" w:hAnsi="Times New Roman" w:eastAsia="黑体" w:cs="Times New Roman"/>
          <w:sz w:val="32"/>
          <w:szCs w:val="32"/>
        </w:rPr>
      </w:pPr>
    </w:p>
    <w:p>
      <w:pPr>
        <w:spacing w:line="500" w:lineRule="exact"/>
        <w:ind w:firstLine="420"/>
        <w:rPr>
          <w:rFonts w:ascii="Times New Roman" w:hAnsi="Times New Roman" w:eastAsia="黑体" w:cs="Times New Roman"/>
          <w:sz w:val="32"/>
          <w:szCs w:val="32"/>
        </w:rPr>
      </w:pPr>
      <w:r>
        <w:rPr>
          <w:rFonts w:ascii="Times New Roman" w:hAnsi="Times New Roman" w:eastAsia="黑体" w:cs="Times New Roman"/>
          <w:sz w:val="32"/>
          <w:szCs w:val="32"/>
        </w:rPr>
        <w:t>七、国有资产信息</w:t>
      </w:r>
    </w:p>
    <w:p>
      <w:pPr>
        <w:spacing w:line="584" w:lineRule="exact"/>
        <w:ind w:firstLine="660"/>
        <w:rPr>
          <w:rFonts w:ascii="Times New Roman" w:hAnsi="Times New Roman" w:eastAsia="仿宋_GB2312" w:cs="Times New Roman"/>
          <w:sz w:val="32"/>
          <w:szCs w:val="32"/>
          <w:highlight w:val="none"/>
        </w:rPr>
      </w:pPr>
      <w:r>
        <w:rPr>
          <w:rFonts w:ascii="Times New Roman" w:hAnsi="Times New Roman" w:eastAsia="仿宋_GB2312" w:cs="Times New Roman"/>
          <w:sz w:val="32"/>
          <w:szCs w:val="32"/>
        </w:rPr>
        <w:t>廊坊市</w:t>
      </w:r>
      <w:r>
        <w:rPr>
          <w:rFonts w:hint="eastAsia" w:ascii="Times New Roman" w:hAnsi="Times New Roman" w:eastAsia="仿宋_GB2312" w:cs="Times New Roman"/>
          <w:sz w:val="32"/>
          <w:szCs w:val="32"/>
        </w:rPr>
        <w:t>广阳区北旺镇东户屯中心小学</w:t>
      </w:r>
      <w:r>
        <w:rPr>
          <w:rFonts w:ascii="Times New Roman" w:hAnsi="Times New Roman" w:eastAsia="仿宋_GB2312" w:cs="Times New Roman"/>
          <w:sz w:val="32"/>
          <w:szCs w:val="32"/>
        </w:rPr>
        <w:t>上年末固定</w:t>
      </w:r>
      <w:r>
        <w:rPr>
          <w:rFonts w:ascii="Times New Roman" w:hAnsi="Times New Roman" w:eastAsia="仿宋_GB2312" w:cs="Times New Roman"/>
          <w:sz w:val="32"/>
          <w:szCs w:val="32"/>
          <w:highlight w:val="none"/>
        </w:rPr>
        <w:t>资产金额为</w:t>
      </w:r>
      <w:r>
        <w:rPr>
          <w:rFonts w:hint="eastAsia" w:ascii="Times New Roman" w:hAnsi="Times New Roman" w:eastAsia="仿宋_GB2312" w:cs="Times New Roman"/>
          <w:sz w:val="32"/>
          <w:szCs w:val="32"/>
          <w:highlight w:val="none"/>
        </w:rPr>
        <w:t>199.9</w:t>
      </w:r>
      <w:r>
        <w:rPr>
          <w:rFonts w:ascii="Times New Roman" w:hAnsi="Times New Roman" w:eastAsia="仿宋_GB2312" w:cs="Times New Roman"/>
          <w:sz w:val="32"/>
          <w:szCs w:val="32"/>
          <w:highlight w:val="none"/>
        </w:rPr>
        <w:t>万元</w:t>
      </w:r>
      <w:r>
        <w:rPr>
          <w:rFonts w:hint="eastAsia" w:ascii="Times New Roman" w:hAnsi="Times New Roman" w:eastAsia="仿宋_GB2312" w:cs="Times New Roman"/>
          <w:sz w:val="32"/>
          <w:szCs w:val="32"/>
          <w:highlight w:val="none"/>
        </w:rPr>
        <w:t>（详见下表）</w:t>
      </w:r>
      <w:r>
        <w:rPr>
          <w:rFonts w:ascii="Times New Roman" w:hAnsi="Times New Roman" w:eastAsia="仿宋_GB2312" w:cs="Times New Roman"/>
          <w:sz w:val="32"/>
          <w:szCs w:val="32"/>
          <w:highlight w:val="none"/>
        </w:rPr>
        <w:t>，本年度我部门拟购置固定资产</w:t>
      </w:r>
      <w:r>
        <w:rPr>
          <w:rFonts w:hint="eastAsia" w:ascii="Times New Roman" w:hAnsi="Times New Roman" w:eastAsia="仿宋_GB2312" w:cs="Times New Roman"/>
          <w:sz w:val="32"/>
          <w:szCs w:val="32"/>
          <w:highlight w:val="none"/>
        </w:rPr>
        <w:t>总额为0万元</w:t>
      </w:r>
      <w:r>
        <w:rPr>
          <w:rFonts w:ascii="Times New Roman" w:hAnsi="Times New Roman" w:eastAsia="仿宋_GB2312" w:cs="Times New Roman"/>
          <w:sz w:val="32"/>
          <w:szCs w:val="32"/>
          <w:highlight w:val="none"/>
        </w:rPr>
        <w:t>。</w:t>
      </w:r>
    </w:p>
    <w:p>
      <w:pPr>
        <w:spacing w:line="584" w:lineRule="exact"/>
        <w:ind w:firstLine="640"/>
        <w:rPr>
          <w:rFonts w:ascii="Times New Roman" w:hAnsi="Times New Roman" w:eastAsia="仿宋_GB2312" w:cs="Times New Roman"/>
          <w:sz w:val="32"/>
          <w:szCs w:val="32"/>
          <w:highlight w:val="none"/>
        </w:rPr>
      </w:pPr>
    </w:p>
    <w:tbl>
      <w:tblPr>
        <w:tblStyle w:val="10"/>
        <w:tblW w:w="13325" w:type="dxa"/>
        <w:tblInd w:w="93" w:type="dxa"/>
        <w:tblLayout w:type="autofit"/>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noWrap/>
            <w:vAlign w:val="center"/>
          </w:tcPr>
          <w:p>
            <w:pPr>
              <w:widowControl/>
              <w:spacing w:line="584" w:lineRule="exact"/>
              <w:jc w:val="center"/>
              <w:rPr>
                <w:rFonts w:ascii="Times New Roman" w:hAnsi="Times New Roman" w:eastAsia="仿宋_GB2312" w:cs="Times New Roman"/>
                <w:b/>
                <w:bCs/>
                <w:kern w:val="0"/>
                <w:sz w:val="32"/>
                <w:szCs w:val="32"/>
                <w:highlight w:val="none"/>
              </w:rPr>
            </w:pPr>
            <w:r>
              <w:rPr>
                <w:rFonts w:ascii="Times New Roman" w:hAnsi="Times New Roman" w:eastAsia="仿宋_GB2312" w:cs="Times New Roman"/>
                <w:b/>
                <w:bCs/>
                <w:kern w:val="0"/>
                <w:sz w:val="32"/>
                <w:szCs w:val="32"/>
                <w:highlight w:val="none"/>
              </w:rPr>
              <w:t>廊坊市</w:t>
            </w:r>
            <w:r>
              <w:rPr>
                <w:rFonts w:hint="eastAsia" w:ascii="Times New Roman" w:hAnsi="Times New Roman" w:eastAsia="仿宋_GB2312" w:cs="Times New Roman"/>
                <w:b/>
                <w:bCs/>
                <w:kern w:val="0"/>
                <w:sz w:val="32"/>
                <w:szCs w:val="32"/>
                <w:highlight w:val="none"/>
              </w:rPr>
              <w:t>广阳区区</w:t>
            </w:r>
            <w:r>
              <w:rPr>
                <w:rFonts w:ascii="Times New Roman" w:hAnsi="Times New Roman" w:eastAsia="仿宋_GB2312" w:cs="Times New Roman"/>
                <w:b/>
                <w:bCs/>
                <w:kern w:val="0"/>
                <w:sz w:val="32"/>
                <w:szCs w:val="32"/>
                <w:highlight w:val="none"/>
              </w:rPr>
              <w:t>直部门固定资产占用情况表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noWrap/>
            <w:vAlign w:val="center"/>
          </w:tcPr>
          <w:p>
            <w:pPr>
              <w:spacing w:line="584" w:lineRule="exact"/>
              <w:ind w:firstLine="660"/>
              <w:rPr>
                <w:rFonts w:hint="eastAsia" w:ascii="Times New Roman" w:hAnsi="Times New Roman" w:eastAsia="仿宋_GB2312" w:cs="Times New Roman"/>
                <w:kern w:val="0"/>
                <w:sz w:val="22"/>
                <w:highlight w:val="none"/>
              </w:rPr>
            </w:pPr>
            <w:r>
              <w:rPr>
                <w:rFonts w:ascii="Times New Roman" w:hAnsi="Times New Roman" w:eastAsia="仿宋_GB2312" w:cs="Times New Roman"/>
                <w:kern w:val="0"/>
                <w:sz w:val="22"/>
                <w:highlight w:val="none"/>
              </w:rPr>
              <w:t>编制部门：廊坊市</w:t>
            </w:r>
            <w:r>
              <w:rPr>
                <w:rFonts w:hint="eastAsia" w:ascii="Times New Roman" w:hAnsi="Times New Roman" w:eastAsia="仿宋_GB2312" w:cs="Times New Roman"/>
                <w:kern w:val="0"/>
                <w:sz w:val="22"/>
                <w:highlight w:val="none"/>
              </w:rPr>
              <w:t>广阳区北旺镇东户屯中心小学</w:t>
            </w:r>
          </w:p>
          <w:p>
            <w:pPr>
              <w:widowControl/>
              <w:spacing w:line="584" w:lineRule="exact"/>
              <w:jc w:val="left"/>
              <w:rPr>
                <w:rFonts w:ascii="Times New Roman" w:hAnsi="Times New Roman" w:eastAsia="仿宋_GB2312" w:cs="Times New Roman"/>
                <w:kern w:val="0"/>
                <w:sz w:val="22"/>
                <w:highlight w:val="none"/>
              </w:rPr>
            </w:pPr>
          </w:p>
        </w:tc>
        <w:tc>
          <w:tcPr>
            <w:tcW w:w="5103" w:type="dxa"/>
            <w:tcBorders>
              <w:top w:val="nil"/>
              <w:left w:val="nil"/>
              <w:bottom w:val="nil"/>
              <w:right w:val="nil"/>
            </w:tcBorders>
            <w:noWrap/>
            <w:vAlign w:val="center"/>
          </w:tcPr>
          <w:p>
            <w:pPr>
              <w:widowControl/>
              <w:spacing w:line="584" w:lineRule="exact"/>
              <w:jc w:val="left"/>
              <w:rPr>
                <w:rFonts w:ascii="Times New Roman" w:hAnsi="Times New Roman" w:eastAsia="仿宋_GB2312" w:cs="Times New Roman"/>
                <w:kern w:val="0"/>
                <w:sz w:val="22"/>
                <w:highlight w:val="none"/>
              </w:rPr>
            </w:pPr>
            <w:r>
              <w:rPr>
                <w:rFonts w:ascii="Times New Roman" w:hAnsi="Times New Roman" w:eastAsia="仿宋_GB2312" w:cs="Times New Roman"/>
                <w:kern w:val="0"/>
                <w:sz w:val="22"/>
                <w:highlight w:val="none"/>
              </w:rPr>
              <w:t>截止时间：20</w:t>
            </w:r>
            <w:r>
              <w:rPr>
                <w:rFonts w:hint="eastAsia" w:ascii="Times New Roman" w:hAnsi="Times New Roman" w:eastAsia="仿宋_GB2312" w:cs="Times New Roman"/>
                <w:kern w:val="0"/>
                <w:sz w:val="22"/>
                <w:highlight w:val="none"/>
              </w:rPr>
              <w:t>2</w:t>
            </w:r>
            <w:r>
              <w:rPr>
                <w:rFonts w:ascii="Times New Roman" w:hAnsi="Times New Roman" w:eastAsia="仿宋_GB2312" w:cs="Times New Roman"/>
                <w:kern w:val="0"/>
                <w:sz w:val="22"/>
                <w:highlight w:val="none"/>
              </w:rPr>
              <w:t xml:space="preserve">1年12月31日  </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noWrap/>
            <w:vAlign w:val="center"/>
          </w:tcPr>
          <w:p>
            <w:pPr>
              <w:widowControl/>
              <w:spacing w:line="584" w:lineRule="exact"/>
              <w:jc w:val="center"/>
              <w:rPr>
                <w:rFonts w:ascii="Times New Roman" w:hAnsi="Times New Roman" w:eastAsia="仿宋_GB2312" w:cs="Times New Roman"/>
                <w:b/>
                <w:bCs/>
                <w:kern w:val="0"/>
                <w:sz w:val="22"/>
                <w:highlight w:val="none"/>
              </w:rPr>
            </w:pPr>
            <w:r>
              <w:rPr>
                <w:rFonts w:ascii="Times New Roman" w:hAnsi="Times New Roman" w:eastAsia="仿宋_GB2312" w:cs="Times New Roman"/>
                <w:b/>
                <w:bCs/>
                <w:kern w:val="0"/>
                <w:sz w:val="22"/>
                <w:highlight w:val="none"/>
              </w:rPr>
              <w:t>项   目</w:t>
            </w:r>
          </w:p>
        </w:tc>
        <w:tc>
          <w:tcPr>
            <w:tcW w:w="3155" w:type="dxa"/>
            <w:tcBorders>
              <w:top w:val="single" w:color="auto" w:sz="4" w:space="0"/>
              <w:left w:val="nil"/>
              <w:bottom w:val="single" w:color="auto" w:sz="4" w:space="0"/>
              <w:right w:val="single" w:color="auto" w:sz="4" w:space="0"/>
            </w:tcBorders>
            <w:noWrap/>
            <w:vAlign w:val="center"/>
          </w:tcPr>
          <w:p>
            <w:pPr>
              <w:widowControl/>
              <w:spacing w:line="584" w:lineRule="exact"/>
              <w:jc w:val="center"/>
              <w:rPr>
                <w:rFonts w:ascii="Times New Roman" w:hAnsi="Times New Roman" w:eastAsia="仿宋_GB2312" w:cs="Times New Roman"/>
                <w:b/>
                <w:bCs/>
                <w:kern w:val="0"/>
                <w:sz w:val="22"/>
                <w:highlight w:val="none"/>
              </w:rPr>
            </w:pPr>
            <w:r>
              <w:rPr>
                <w:rFonts w:ascii="Times New Roman" w:hAnsi="Times New Roman" w:eastAsia="仿宋_GB2312" w:cs="Times New Roman"/>
                <w:b/>
                <w:bCs/>
                <w:kern w:val="0"/>
                <w:sz w:val="22"/>
                <w:highlight w:val="none"/>
              </w:rPr>
              <w:t>数量</w:t>
            </w:r>
          </w:p>
        </w:tc>
        <w:tc>
          <w:tcPr>
            <w:tcW w:w="5103" w:type="dxa"/>
            <w:tcBorders>
              <w:top w:val="single" w:color="auto" w:sz="4" w:space="0"/>
              <w:left w:val="nil"/>
              <w:bottom w:val="single" w:color="auto" w:sz="4" w:space="0"/>
              <w:right w:val="single" w:color="auto" w:sz="4" w:space="0"/>
            </w:tcBorders>
            <w:noWrap/>
            <w:vAlign w:val="center"/>
          </w:tcPr>
          <w:p>
            <w:pPr>
              <w:widowControl/>
              <w:spacing w:line="584" w:lineRule="exact"/>
              <w:jc w:val="center"/>
              <w:rPr>
                <w:rFonts w:ascii="Times New Roman" w:hAnsi="Times New Roman" w:eastAsia="仿宋_GB2312" w:cs="Times New Roman"/>
                <w:b/>
                <w:bCs/>
                <w:kern w:val="0"/>
                <w:sz w:val="22"/>
                <w:highlight w:val="none"/>
              </w:rPr>
            </w:pPr>
            <w:r>
              <w:rPr>
                <w:rFonts w:ascii="Times New Roman" w:hAnsi="Times New Roman" w:eastAsia="仿宋_GB2312" w:cs="Times New Roman"/>
                <w:b/>
                <w:bCs/>
                <w:kern w:val="0"/>
                <w:sz w:val="22"/>
                <w:highlight w:val="none"/>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noWrap/>
            <w:vAlign w:val="center"/>
          </w:tcPr>
          <w:p>
            <w:pPr>
              <w:widowControl/>
              <w:spacing w:line="584" w:lineRule="exact"/>
              <w:jc w:val="center"/>
              <w:rPr>
                <w:rFonts w:ascii="Times New Roman" w:hAnsi="Times New Roman" w:eastAsia="仿宋_GB2312" w:cs="Times New Roman"/>
                <w:kern w:val="0"/>
                <w:sz w:val="22"/>
                <w:highlight w:val="none"/>
              </w:rPr>
            </w:pPr>
            <w:r>
              <w:rPr>
                <w:rFonts w:ascii="Times New Roman" w:hAnsi="Times New Roman" w:eastAsia="仿宋_GB2312" w:cs="Times New Roman"/>
                <w:kern w:val="0"/>
                <w:sz w:val="22"/>
                <w:highlight w:val="none"/>
              </w:rPr>
              <w:t>资产总额</w:t>
            </w:r>
          </w:p>
        </w:tc>
        <w:tc>
          <w:tcPr>
            <w:tcW w:w="3155" w:type="dxa"/>
            <w:tcBorders>
              <w:top w:val="nil"/>
              <w:left w:val="nil"/>
              <w:bottom w:val="single" w:color="auto" w:sz="4" w:space="0"/>
              <w:right w:val="single" w:color="auto" w:sz="4" w:space="0"/>
            </w:tcBorders>
            <w:noWrap/>
            <w:vAlign w:val="center"/>
          </w:tcPr>
          <w:p>
            <w:pPr>
              <w:spacing w:line="584" w:lineRule="exact"/>
              <w:jc w:val="center"/>
              <w:rPr>
                <w:rFonts w:ascii="Times New Roman" w:hAnsi="Times New Roman" w:eastAsia="仿宋_GB2312" w:cs="Times New Roman"/>
                <w:sz w:val="22"/>
                <w:highlight w:val="none"/>
              </w:rPr>
            </w:pPr>
            <w:r>
              <w:rPr>
                <w:rFonts w:ascii="Times New Roman" w:hAnsi="Times New Roman" w:eastAsia="仿宋_GB2312" w:cs="Times New Roman"/>
                <w:sz w:val="22"/>
                <w:highlight w:val="none"/>
              </w:rPr>
              <w:t>——</w:t>
            </w:r>
          </w:p>
        </w:tc>
        <w:tc>
          <w:tcPr>
            <w:tcW w:w="5103" w:type="dxa"/>
            <w:tcBorders>
              <w:top w:val="nil"/>
              <w:left w:val="nil"/>
              <w:bottom w:val="single" w:color="auto" w:sz="4" w:space="0"/>
              <w:right w:val="single" w:color="auto" w:sz="4" w:space="0"/>
            </w:tcBorders>
            <w:noWrap/>
            <w:vAlign w:val="center"/>
          </w:tcPr>
          <w:p>
            <w:pPr>
              <w:spacing w:line="584" w:lineRule="exact"/>
              <w:jc w:val="center"/>
              <w:rPr>
                <w:rFonts w:ascii="Times New Roman" w:hAnsi="Times New Roman" w:eastAsia="仿宋_GB2312" w:cs="Times New Roman"/>
                <w:sz w:val="22"/>
                <w:highlight w:val="none"/>
              </w:rPr>
            </w:pPr>
            <w:r>
              <w:rPr>
                <w:rFonts w:hint="eastAsia" w:ascii="Times New Roman" w:hAnsi="Times New Roman" w:eastAsia="仿宋_GB2312" w:cs="Times New Roman"/>
                <w:sz w:val="22"/>
                <w:highlight w:val="none"/>
              </w:rPr>
              <w:t>199.9</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noWrap/>
            <w:vAlign w:val="center"/>
          </w:tcPr>
          <w:p>
            <w:pPr>
              <w:widowControl/>
              <w:spacing w:line="584" w:lineRule="exact"/>
              <w:jc w:val="center"/>
              <w:rPr>
                <w:rFonts w:ascii="Times New Roman" w:hAnsi="Times New Roman" w:eastAsia="仿宋_GB2312" w:cs="Times New Roman"/>
                <w:kern w:val="0"/>
                <w:sz w:val="22"/>
                <w:highlight w:val="none"/>
              </w:rPr>
            </w:pPr>
            <w:r>
              <w:rPr>
                <w:rFonts w:ascii="Times New Roman" w:hAnsi="Times New Roman" w:eastAsia="仿宋_GB2312" w:cs="Times New Roman"/>
                <w:kern w:val="0"/>
                <w:sz w:val="22"/>
                <w:highlight w:val="none"/>
              </w:rPr>
              <w:t>1、房屋（平方米）</w:t>
            </w:r>
          </w:p>
        </w:tc>
        <w:tc>
          <w:tcPr>
            <w:tcW w:w="3155" w:type="dxa"/>
            <w:tcBorders>
              <w:top w:val="nil"/>
              <w:left w:val="nil"/>
              <w:bottom w:val="single" w:color="auto" w:sz="4" w:space="0"/>
              <w:right w:val="single" w:color="auto" w:sz="4" w:space="0"/>
            </w:tcBorders>
            <w:noWrap/>
            <w:vAlign w:val="center"/>
          </w:tcPr>
          <w:p>
            <w:pPr>
              <w:spacing w:line="584" w:lineRule="exact"/>
              <w:jc w:val="center"/>
              <w:rPr>
                <w:rFonts w:ascii="Times New Roman" w:hAnsi="Times New Roman" w:eastAsia="仿宋_GB2312" w:cs="Times New Roman"/>
                <w:sz w:val="22"/>
                <w:highlight w:val="none"/>
              </w:rPr>
            </w:pPr>
            <w:r>
              <w:rPr>
                <w:rFonts w:hint="eastAsia" w:ascii="Times New Roman" w:hAnsi="Times New Roman" w:eastAsia="仿宋_GB2312" w:cs="Times New Roman"/>
                <w:sz w:val="22"/>
                <w:highlight w:val="none"/>
              </w:rPr>
              <w:t>1735</w:t>
            </w:r>
          </w:p>
        </w:tc>
        <w:tc>
          <w:tcPr>
            <w:tcW w:w="5103" w:type="dxa"/>
            <w:tcBorders>
              <w:top w:val="nil"/>
              <w:left w:val="nil"/>
              <w:bottom w:val="single" w:color="auto" w:sz="4" w:space="0"/>
              <w:right w:val="single" w:color="auto" w:sz="4" w:space="0"/>
            </w:tcBorders>
            <w:noWrap/>
            <w:vAlign w:val="center"/>
          </w:tcPr>
          <w:p>
            <w:pPr>
              <w:spacing w:line="584" w:lineRule="exact"/>
              <w:jc w:val="center"/>
              <w:rPr>
                <w:rFonts w:ascii="Times New Roman" w:hAnsi="Times New Roman" w:eastAsia="仿宋_GB2312" w:cs="Times New Roman"/>
                <w:sz w:val="22"/>
                <w:highlight w:val="none"/>
              </w:rPr>
            </w:pPr>
            <w:r>
              <w:rPr>
                <w:rFonts w:hint="eastAsia" w:ascii="Times New Roman" w:hAnsi="Times New Roman" w:eastAsia="仿宋_GB2312" w:cs="Times New Roman"/>
                <w:sz w:val="22"/>
                <w:highlight w:val="none"/>
              </w:rPr>
              <w:t>169.9</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215</w:t>
            </w:r>
          </w:p>
        </w:tc>
        <w:tc>
          <w:tcPr>
            <w:tcW w:w="5103" w:type="dxa"/>
            <w:tcBorders>
              <w:top w:val="nil"/>
              <w:left w:val="nil"/>
              <w:bottom w:val="single" w:color="auto" w:sz="4" w:space="0"/>
              <w:right w:val="single" w:color="auto" w:sz="4" w:space="0"/>
            </w:tcBorders>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20</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0</w:t>
            </w:r>
          </w:p>
        </w:tc>
        <w:tc>
          <w:tcPr>
            <w:tcW w:w="5103" w:type="dxa"/>
            <w:tcBorders>
              <w:top w:val="nil"/>
              <w:left w:val="nil"/>
              <w:bottom w:val="single" w:color="auto" w:sz="4" w:space="0"/>
              <w:right w:val="single" w:color="auto" w:sz="4" w:space="0"/>
            </w:tcBorders>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noWrap w:val="0"/>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0</w:t>
            </w:r>
          </w:p>
        </w:tc>
        <w:tc>
          <w:tcPr>
            <w:tcW w:w="5103" w:type="dxa"/>
            <w:tcBorders>
              <w:top w:val="nil"/>
              <w:left w:val="nil"/>
              <w:bottom w:val="single" w:color="auto" w:sz="4" w:space="0"/>
              <w:right w:val="single" w:color="auto" w:sz="4" w:space="0"/>
            </w:tcBorders>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图书7650册等</w:t>
            </w:r>
          </w:p>
        </w:tc>
        <w:tc>
          <w:tcPr>
            <w:tcW w:w="5103" w:type="dxa"/>
            <w:tcBorders>
              <w:top w:val="nil"/>
              <w:left w:val="nil"/>
              <w:bottom w:val="single" w:color="auto" w:sz="4" w:space="0"/>
              <w:right w:val="single" w:color="auto" w:sz="4" w:space="0"/>
            </w:tcBorders>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30.9</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w:t>
      </w:r>
      <w:r>
        <w:rPr>
          <w:rFonts w:hint="eastAsia" w:ascii="Times New Roman" w:hAnsi="Times New Roman" w:eastAsia="仿宋_GB2312" w:cs="Times New Roman"/>
          <w:sz w:val="32"/>
          <w:szCs w:val="32"/>
          <w:lang w:eastAsia="zh-CN"/>
        </w:rPr>
        <w:t>区</w:t>
      </w:r>
      <w:r>
        <w:rPr>
          <w:rFonts w:ascii="Times New Roman" w:hAnsi="Times New Roman" w:eastAsia="仿宋_GB2312" w:cs="Times New Roman"/>
          <w:sz w:val="32"/>
          <w:szCs w:val="32"/>
        </w:rPr>
        <w:t>级财政当年拨付的资金。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w:t>
      </w:r>
      <w:r>
        <w:rPr>
          <w:rFonts w:hint="eastAsia" w:ascii="Times New Roman" w:hAnsi="Times New Roman" w:eastAsia="仿宋_GB2312" w:cs="Times New Roman"/>
          <w:sz w:val="32"/>
          <w:szCs w:val="32"/>
          <w:lang w:eastAsia="zh-CN"/>
        </w:rPr>
        <w:t>区</w:t>
      </w:r>
      <w:r>
        <w:rPr>
          <w:rFonts w:ascii="Times New Roman" w:hAnsi="Times New Roman" w:eastAsia="仿宋_GB2312" w:cs="Times New Roman"/>
          <w:sz w:val="32"/>
          <w:szCs w:val="32"/>
        </w:rPr>
        <w:t>级财政预算管理的“三公”经费，是指</w:t>
      </w:r>
      <w:r>
        <w:rPr>
          <w:rFonts w:hint="eastAsia" w:ascii="Times New Roman" w:hAnsi="Times New Roman" w:eastAsia="仿宋_GB2312" w:cs="Times New Roman"/>
          <w:sz w:val="32"/>
          <w:szCs w:val="32"/>
          <w:lang w:eastAsia="zh-CN"/>
        </w:rPr>
        <w:t>区</w:t>
      </w:r>
      <w:r>
        <w:rPr>
          <w:rFonts w:ascii="Times New Roman" w:hAnsi="Times New Roman" w:eastAsia="仿宋_GB2312" w:cs="Times New Roman"/>
          <w:sz w:val="32"/>
          <w:szCs w:val="32"/>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我部门无其他需要说明的事项。</w:t>
      </w:r>
    </w:p>
    <w:sectPr>
      <w:footerReference r:id="rId3" w:type="default"/>
      <w:pgSz w:w="16838" w:h="11906" w:orient="landscape"/>
      <w:pgMar w:top="1800" w:right="1440" w:bottom="1800" w:left="144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书宋_GBK">
    <w:altName w:val="微软雅黑"/>
    <w:panose1 w:val="00000000000000000000"/>
    <w:charset w:val="86"/>
    <w:family w:val="roman"/>
    <w:pitch w:val="default"/>
    <w:sig w:usb0="00000000" w:usb1="00000000" w:usb2="00000000" w:usb3="00000000" w:csb0="00040001" w:csb1="00000000"/>
  </w:font>
  <w:font w:name="微软雅黑">
    <w:panose1 w:val="020B0503020204020204"/>
    <w:charset w:val="86"/>
    <w:family w:val="auto"/>
    <w:pitch w:val="default"/>
    <w:sig w:usb0="80000287" w:usb1="280F3C52" w:usb2="00000016" w:usb3="00000000" w:csb0="0004001F" w:csb1="00000000"/>
  </w:font>
  <w:font w:name="方正仿宋_GBK">
    <w:altName w:val="微软雅黑"/>
    <w:panose1 w:val="00000000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_GBK">
    <w:altName w:val="微软雅黑"/>
    <w:panose1 w:val="00000000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rPr>
        <w:rFonts w:hint="eastAsia"/>
      </w:rPr>
      <w:t>-</w:t>
    </w:r>
    <w:r>
      <w:fldChar w:fldCharType="begin"/>
    </w:r>
    <w:r>
      <w:instrText xml:space="preserve">PAGE   \* MERGEFORMAT</w:instrText>
    </w:r>
    <w:r>
      <w:fldChar w:fldCharType="separate"/>
    </w:r>
    <w:r>
      <w:rPr>
        <w:lang w:val="zh-CN"/>
      </w:rPr>
      <w:t>10</w:t>
    </w:r>
    <w:r>
      <w:rPr>
        <w:lang w:val="zh-CN"/>
      </w:rPr>
      <w:fldChar w:fldCharType="end"/>
    </w:r>
    <w:r>
      <w:rPr>
        <w:rFonts w:hint="eastAsia"/>
      </w:rPr>
      <w:t>-</w:t>
    </w:r>
  </w:p>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hyphenationZone w:val="36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7CC"/>
    <w:rsid w:val="00011010"/>
    <w:rsid w:val="000230E6"/>
    <w:rsid w:val="00082562"/>
    <w:rsid w:val="000F6018"/>
    <w:rsid w:val="001E5175"/>
    <w:rsid w:val="0025632D"/>
    <w:rsid w:val="002E7C46"/>
    <w:rsid w:val="003044A3"/>
    <w:rsid w:val="003059E0"/>
    <w:rsid w:val="003E298F"/>
    <w:rsid w:val="004A54AA"/>
    <w:rsid w:val="004D7053"/>
    <w:rsid w:val="004D70A0"/>
    <w:rsid w:val="0055580E"/>
    <w:rsid w:val="00603529"/>
    <w:rsid w:val="0061224B"/>
    <w:rsid w:val="00716539"/>
    <w:rsid w:val="007B68CD"/>
    <w:rsid w:val="008F08C6"/>
    <w:rsid w:val="00944233"/>
    <w:rsid w:val="0096300F"/>
    <w:rsid w:val="009929A3"/>
    <w:rsid w:val="00B40732"/>
    <w:rsid w:val="00B80935"/>
    <w:rsid w:val="00D347CC"/>
    <w:rsid w:val="00D61210"/>
    <w:rsid w:val="00D93A98"/>
    <w:rsid w:val="00DA539A"/>
    <w:rsid w:val="00DC72B4"/>
    <w:rsid w:val="00DE60A5"/>
    <w:rsid w:val="00DF529F"/>
    <w:rsid w:val="00EF0628"/>
    <w:rsid w:val="00EF6700"/>
    <w:rsid w:val="00F170FC"/>
    <w:rsid w:val="0431045E"/>
    <w:rsid w:val="0CEC1180"/>
    <w:rsid w:val="15D63982"/>
    <w:rsid w:val="41AE296A"/>
    <w:rsid w:val="49395019"/>
    <w:rsid w:val="556A3C4E"/>
    <w:rsid w:val="5CD41ECD"/>
    <w:rsid w:val="6EB9408C"/>
    <w:rsid w:val="73693C55"/>
    <w:rsid w:val="77586C37"/>
    <w:rsid w:val="780D7F56"/>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Arial"/>
      <w:kern w:val="2"/>
      <w:sz w:val="21"/>
      <w:szCs w:val="22"/>
      <w:lang w:val="en-US" w:eastAsia="zh-CN" w:bidi="ar-SA"/>
    </w:rPr>
  </w:style>
  <w:style w:type="character" w:default="1" w:styleId="11">
    <w:name w:val="Default Paragraph Font"/>
    <w:unhideWhenUsed/>
    <w:qFormat/>
    <w:uiPriority w:val="1"/>
  </w:style>
  <w:style w:type="table" w:default="1" w:styleId="10">
    <w:name w:val="Normal Table"/>
    <w:unhideWhenUsed/>
    <w:qFormat/>
    <w:uiPriority w:val="99"/>
    <w:tblPr>
      <w:tblCellMar>
        <w:top w:w="0" w:type="dxa"/>
        <w:left w:w="108" w:type="dxa"/>
        <w:bottom w:w="0" w:type="dxa"/>
        <w:right w:w="108" w:type="dxa"/>
      </w:tblCellMar>
    </w:tblPr>
  </w:style>
  <w:style w:type="paragraph" w:styleId="2">
    <w:name w:val="Body Text First Indent"/>
    <w:basedOn w:val="3"/>
    <w:qFormat/>
    <w:uiPriority w:val="0"/>
    <w:pPr>
      <w:ind w:firstLine="420" w:firstLineChars="100"/>
    </w:pPr>
  </w:style>
  <w:style w:type="paragraph" w:styleId="3">
    <w:name w:val="Body Text"/>
    <w:basedOn w:val="1"/>
    <w:qFormat/>
    <w:uiPriority w:val="0"/>
    <w:pPr>
      <w:spacing w:after="120"/>
    </w:pPr>
  </w:style>
  <w:style w:type="paragraph" w:styleId="4">
    <w:name w:val="Balloon Text"/>
    <w:basedOn w:val="1"/>
    <w:qFormat/>
    <w:uiPriority w:val="0"/>
    <w:rPr>
      <w:sz w:val="18"/>
      <w:szCs w:val="18"/>
    </w:rPr>
  </w:style>
  <w:style w:type="paragraph" w:styleId="5">
    <w:name w:val="footer"/>
    <w:basedOn w:val="1"/>
    <w:qFormat/>
    <w:uiPriority w:val="0"/>
    <w:pPr>
      <w:tabs>
        <w:tab w:val="center" w:pos="4153"/>
        <w:tab w:val="right" w:pos="8306"/>
      </w:tabs>
      <w:snapToGrid w:val="0"/>
      <w:jc w:val="left"/>
    </w:pPr>
    <w:rPr>
      <w:rFonts w:ascii="Times New Roman" w:hAnsi="Times New Roman" w:cs="Times New Roman"/>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rFonts w:ascii="Times New Roman" w:hAnsi="Times New Roman" w:cs="Times New Roman"/>
      <w:sz w:val="18"/>
      <w:szCs w:val="18"/>
    </w:rPr>
  </w:style>
  <w:style w:type="paragraph" w:styleId="7">
    <w:name w:val="toc 1"/>
    <w:basedOn w:val="1"/>
    <w:next w:val="1"/>
    <w:qFormat/>
    <w:uiPriority w:val="0"/>
    <w:rPr>
      <w:rFonts w:ascii="Times New Roman" w:hAnsi="Times New Roman" w:cs="Times New Roman"/>
      <w:szCs w:val="24"/>
    </w:rPr>
  </w:style>
  <w:style w:type="paragraph" w:styleId="8">
    <w:name w:val="footnote text"/>
    <w:basedOn w:val="1"/>
    <w:qFormat/>
    <w:uiPriority w:val="0"/>
    <w:pPr>
      <w:snapToGrid w:val="0"/>
      <w:jc w:val="left"/>
    </w:pPr>
    <w:rPr>
      <w:rFonts w:cs="Times New Roman"/>
      <w:sz w:val="18"/>
      <w:szCs w:val="18"/>
    </w:rPr>
  </w:style>
  <w:style w:type="paragraph" w:styleId="9">
    <w:name w:val="toc 2"/>
    <w:basedOn w:val="1"/>
    <w:next w:val="1"/>
    <w:qFormat/>
    <w:uiPriority w:val="0"/>
    <w:pPr>
      <w:ind w:left="200" w:leftChars="200"/>
    </w:pPr>
    <w:rPr>
      <w:rFonts w:ascii="Times New Roman" w:hAnsi="Times New Roman" w:cs="Times New Roman"/>
      <w:szCs w:val="24"/>
    </w:rPr>
  </w:style>
  <w:style w:type="character" w:styleId="12">
    <w:name w:val="footnote reference"/>
    <w:qFormat/>
    <w:uiPriority w:val="0"/>
    <w:rPr>
      <w:vertAlign w:val="superscript"/>
    </w:rPr>
  </w:style>
  <w:style w:type="paragraph" w:customStyle="1" w:styleId="13">
    <w:name w:val="单元格样式3"/>
    <w:basedOn w:val="1"/>
    <w:qFormat/>
    <w:uiPriority w:val="0"/>
    <w:pPr>
      <w:widowControl/>
      <w:jc w:val="center"/>
    </w:pPr>
    <w:rPr>
      <w:rFonts w:ascii="方正书宋_GBK" w:hAnsi="方正书宋_GBK" w:eastAsia="方正书宋_GBK" w:cs="方正书宋_GBK"/>
      <w:kern w:val="0"/>
      <w:szCs w:val="24"/>
      <w:lang w:eastAsia="uk-UA"/>
    </w:rPr>
  </w:style>
  <w:style w:type="paragraph" w:customStyle="1" w:styleId="14">
    <w:name w:val="插入文本样式-插入实现年度发展规划目标的保障措施文件"/>
    <w:basedOn w:val="1"/>
    <w:qFormat/>
    <w:uiPriority w:val="0"/>
    <w:pPr>
      <w:widowControl/>
      <w:spacing w:line="500" w:lineRule="exact"/>
      <w:ind w:firstLine="560"/>
      <w:jc w:val="left"/>
    </w:pPr>
    <w:rPr>
      <w:rFonts w:ascii="Times New Roman" w:hAnsi="Times New Roman" w:eastAsia="方正仿宋_GBK" w:cs="Times New Roman"/>
      <w:kern w:val="0"/>
      <w:sz w:val="28"/>
      <w:szCs w:val="24"/>
      <w:lang w:eastAsia="uk-UA"/>
    </w:rPr>
  </w:style>
  <w:style w:type="paragraph" w:customStyle="1" w:styleId="15">
    <w:name w:val="插入文本样式-插入总体目标文件"/>
    <w:basedOn w:val="1"/>
    <w:qFormat/>
    <w:uiPriority w:val="0"/>
    <w:pPr>
      <w:widowControl/>
      <w:spacing w:line="500" w:lineRule="exact"/>
      <w:ind w:firstLine="560"/>
      <w:jc w:val="left"/>
    </w:pPr>
    <w:rPr>
      <w:rFonts w:ascii="Times New Roman" w:hAnsi="Times New Roman" w:eastAsia="方正仿宋_GBK" w:cs="Times New Roman"/>
      <w:kern w:val="0"/>
      <w:sz w:val="28"/>
      <w:szCs w:val="24"/>
      <w:lang w:eastAsia="uk-UA"/>
    </w:rPr>
  </w:style>
  <w:style w:type="paragraph" w:customStyle="1" w:styleId="16">
    <w:name w:val="单元格样式7"/>
    <w:basedOn w:val="1"/>
    <w:qFormat/>
    <w:uiPriority w:val="0"/>
    <w:pPr>
      <w:widowControl/>
      <w:jc w:val="right"/>
    </w:pPr>
    <w:rPr>
      <w:rFonts w:ascii="方正书宋_GBK" w:hAnsi="方正书宋_GBK" w:eastAsia="方正书宋_GBK" w:cs="方正书宋_GBK"/>
      <w:b/>
      <w:kern w:val="0"/>
      <w:szCs w:val="24"/>
      <w:lang w:eastAsia="uk-UA"/>
    </w:rPr>
  </w:style>
  <w:style w:type="paragraph" w:customStyle="1" w:styleId="17">
    <w:name w:val="单元格样式2"/>
    <w:basedOn w:val="1"/>
    <w:qFormat/>
    <w:uiPriority w:val="0"/>
    <w:pPr>
      <w:widowControl/>
      <w:jc w:val="left"/>
    </w:pPr>
    <w:rPr>
      <w:rFonts w:ascii="方正书宋_GBK" w:hAnsi="方正书宋_GBK" w:eastAsia="方正书宋_GBK" w:cs="方正书宋_GBK"/>
      <w:kern w:val="0"/>
      <w:szCs w:val="24"/>
      <w:lang w:eastAsia="uk-UA"/>
    </w:rPr>
  </w:style>
  <w:style w:type="paragraph" w:customStyle="1" w:styleId="18">
    <w:name w:val="单元格样式4"/>
    <w:basedOn w:val="1"/>
    <w:qFormat/>
    <w:uiPriority w:val="0"/>
    <w:pPr>
      <w:widowControl/>
      <w:jc w:val="right"/>
    </w:pPr>
    <w:rPr>
      <w:rFonts w:ascii="方正书宋_GBK" w:hAnsi="方正书宋_GBK" w:eastAsia="方正书宋_GBK" w:cs="方正书宋_GBK"/>
      <w:kern w:val="0"/>
      <w:szCs w:val="24"/>
      <w:lang w:eastAsia="uk-UA"/>
    </w:rPr>
  </w:style>
  <w:style w:type="paragraph" w:customStyle="1" w:styleId="19">
    <w:name w:val="单元格样式1"/>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20">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21">
    <w:name w:val="单元格样式6"/>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22">
    <w:name w:val="单元格样式5"/>
    <w:basedOn w:val="1"/>
    <w:qFormat/>
    <w:uiPriority w:val="0"/>
    <w:pPr>
      <w:widowControl/>
      <w:jc w:val="left"/>
    </w:pPr>
    <w:rPr>
      <w:rFonts w:ascii="方正书宋_GBK" w:hAnsi="方正书宋_GBK" w:eastAsia="方正书宋_GBK" w:cs="方正书宋_GBK"/>
      <w:b/>
      <w:kern w:val="0"/>
      <w:szCs w:val="24"/>
      <w:lang w:eastAsia="uk-U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12</Pages>
  <Words>825</Words>
  <Characters>4706</Characters>
  <Lines>39</Lines>
  <Paragraphs>11</Paragraphs>
  <TotalTime>3</TotalTime>
  <ScaleCrop>false</ScaleCrop>
  <LinksUpToDate>false</LinksUpToDate>
  <CharactersWithSpaces>5520</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2022-03-08T07:00:00Z</dcterms:created>
  <dc:creator>guest</dc:creator>
  <cp:lastModifiedBy>111</cp:lastModifiedBy>
  <cp:lastPrinted>2018-01-30T06:12:00Z</cp:lastPrinted>
  <dcterms:modified xsi:type="dcterms:W3CDTF">2024-05-16T06:54:42Z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093BA5D1009C43EFB79CF4164B67FB15</vt:lpwstr>
  </property>
</Properties>
</file>