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2" w:name="_GoBack"/>
      <w:bookmarkEnd w:id="2"/>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r>
        <w:rPr>
          <w:rFonts w:hint="eastAsia" w:ascii="Times New Roman" w:hAnsi="Times New Roman" w:eastAsia="方正小标宋简体" w:cs="Times New Roman"/>
          <w:sz w:val="44"/>
          <w:szCs w:val="44"/>
          <w:lang w:val="en-US" w:eastAsia="zh-CN"/>
        </w:rPr>
        <w:t>卫生监督所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val="en-US" w:eastAsia="zh-CN"/>
        </w:rPr>
        <w:t>卫生监督所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楷体_GB2312" w:cs="Times New Roman"/>
          <w:b/>
          <w:sz w:val="32"/>
          <w:szCs w:val="32"/>
        </w:rPr>
      </w:pPr>
      <w:r>
        <w:rPr>
          <w:rFonts w:hint="eastAsia" w:ascii="仿宋" w:hAnsi="仿宋" w:eastAsia="仿宋"/>
          <w:sz w:val="32"/>
          <w:szCs w:val="32"/>
        </w:rPr>
        <w:t>承担卫生行政许可、执业许可、资格认证的申请受理对管理相对人进行经常性卫生监督，承担现场卫生监督采样等工作对危害公共卫生的污染、中毒事故、传染病疫情、重大灾害等突发公共卫生事件进行调查取证、采取应急控制措施。</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廊坊市广阳区卫生监督所</w:t>
            </w:r>
          </w:p>
        </w:tc>
        <w:tc>
          <w:tcPr>
            <w:tcW w:w="1134" w:type="dxa"/>
            <w:shd w:val="clear" w:color="auto" w:fill="auto"/>
            <w:vAlign w:val="center"/>
          </w:tcPr>
          <w:p>
            <w:pPr>
              <w:spacing w:line="584"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全额事业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股级</w:t>
            </w:r>
          </w:p>
        </w:tc>
        <w:tc>
          <w:tcPr>
            <w:tcW w:w="2902" w:type="dxa"/>
            <w:shd w:val="clear" w:color="auto" w:fill="auto"/>
            <w:vAlign w:val="center"/>
          </w:tcPr>
          <w:p>
            <w:pPr>
              <w:spacing w:line="584"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lang w:val="en-US" w:eastAsia="zh-CN"/>
        </w:rPr>
        <w:t>廊坊市广阳区卫生监督所的收支包含在部门预算中。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262.08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262.08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val="en-US" w:eastAsia="zh-CN"/>
        </w:rPr>
        <w:t>疾病预防控制中心2021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262.08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262.08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258.53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3.55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262.08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减少0.43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减少0.43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公用经费</w:t>
      </w:r>
      <w:r>
        <w:rPr>
          <w:rFonts w:ascii="Times New Roman" w:hAnsi="Times New Roman" w:eastAsia="仿宋_GB2312" w:cs="Times New Roman"/>
          <w:sz w:val="32"/>
          <w:szCs w:val="32"/>
        </w:rPr>
        <w:t>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lang w:val="en-US" w:eastAsia="zh-CN"/>
        </w:rPr>
        <w:t>3.55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廊坊市广阳区卫生监督所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仿宋_GB2312" w:cs="Times New Roman"/>
          <w:b/>
          <w:sz w:val="32"/>
          <w:szCs w:val="32"/>
        </w:rPr>
      </w:pPr>
      <w:r>
        <w:rPr>
          <w:rFonts w:hint="eastAsia" w:ascii="黑体" w:hAnsi="黑体" w:eastAsia="黑体" w:cs="黑体"/>
          <w:b w:val="0"/>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万元（其中：公务用车购置费为0万元，公务用车运维费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公务接待费0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五、绩效预算信息</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30" w:firstLineChars="196"/>
        <w:jc w:val="left"/>
        <w:textAlignment w:val="auto"/>
        <w:rPr>
          <w:rFonts w:hint="eastAsia" w:ascii="楷体_GB2312" w:eastAsia="楷体_GB2312" w:cs="Times New Roman"/>
          <w:b/>
          <w:sz w:val="32"/>
          <w:szCs w:val="32"/>
          <w:lang w:eastAsia="zh-CN"/>
        </w:rPr>
      </w:pPr>
      <w:r>
        <w:rPr>
          <w:rFonts w:hint="eastAsia" w:ascii="楷体_GB2312" w:eastAsia="楷体_GB2312" w:cs="Times New Roman"/>
          <w:b/>
          <w:sz w:val="32"/>
          <w:szCs w:val="32"/>
          <w:lang w:val="en-US" w:eastAsia="zh-CN"/>
        </w:rPr>
        <w:t>（一）</w:t>
      </w:r>
      <w:r>
        <w:rPr>
          <w:rFonts w:hint="eastAsia" w:ascii="楷体_GB2312" w:eastAsia="楷体_GB2312" w:cs="Times New Roman"/>
          <w:b/>
          <w:sz w:val="32"/>
          <w:szCs w:val="32"/>
          <w:lang w:eastAsia="zh-CN"/>
        </w:rPr>
        <w:t>总体绩效目标</w:t>
      </w:r>
    </w:p>
    <w:p>
      <w:pPr>
        <w:keepNext w:val="0"/>
        <w:keepLines w:val="0"/>
        <w:pageBreakBefore w:val="0"/>
        <w:widowControl w:val="0"/>
        <w:numPr>
          <w:ilvl w:val="0"/>
          <w:numId w:val="0"/>
        </w:numPr>
        <w:kinsoku/>
        <w:wordWrap/>
        <w:topLinePunct w:val="0"/>
        <w:autoSpaceDE/>
        <w:autoSpaceDN/>
        <w:bidi w:val="0"/>
        <w:spacing w:line="579" w:lineRule="exact"/>
        <w:ind w:firstLine="640"/>
        <w:textAlignment w:val="auto"/>
        <w:rPr>
          <w:rFonts w:hint="eastAsia" w:ascii="仿宋_GB2312" w:hAnsi="仿宋_GB2312" w:eastAsia="仿宋_GB2312" w:cs="仿宋_GB2312"/>
          <w:kern w:val="2"/>
          <w:sz w:val="32"/>
          <w:szCs w:val="32"/>
          <w:lang w:val="en-US" w:eastAsia="zh-CN" w:bidi="ar"/>
        </w:rPr>
      </w:pPr>
      <w:r>
        <w:rPr>
          <w:rFonts w:hint="eastAsia" w:ascii="仿宋_GB2312" w:eastAsia="仿宋_GB2312"/>
          <w:sz w:val="32"/>
          <w:szCs w:val="32"/>
        </w:rPr>
        <w:t>广阳区卫生监督所在区委区政府和区卫健局的坚强领导下，在上级业务主管部门的重视帮助下，全面贯彻落实习近平新时代中国特色社会主义思想，逐步完善突发公共卫生事件应急处理机制及突发公共卫生事件应急预案，</w:t>
      </w:r>
      <w:r>
        <w:rPr>
          <w:rFonts w:hint="eastAsia" w:ascii="仿宋_GB2312" w:hAnsi="仿宋_GB2312" w:eastAsia="仿宋_GB2312" w:cs="仿宋_GB2312"/>
          <w:kern w:val="2"/>
          <w:sz w:val="32"/>
          <w:szCs w:val="32"/>
          <w:lang w:val="en-US" w:eastAsia="zh-CN" w:bidi="ar"/>
        </w:rPr>
        <w:t>全年目标如下：</w:t>
      </w:r>
    </w:p>
    <w:p>
      <w:pPr>
        <w:keepNext w:val="0"/>
        <w:keepLines w:val="0"/>
        <w:pageBreakBefore w:val="0"/>
        <w:widowControl w:val="0"/>
        <w:kinsoku/>
        <w:wordWrap/>
        <w:topLinePunct w:val="0"/>
        <w:autoSpaceDE/>
        <w:autoSpaceDN/>
        <w:bidi w:val="0"/>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圆满完成国家双随机监督抽检工作</w:t>
      </w:r>
    </w:p>
    <w:p>
      <w:pPr>
        <w:keepNext w:val="0"/>
        <w:keepLines w:val="0"/>
        <w:pageBreakBefore w:val="0"/>
        <w:widowControl w:val="0"/>
        <w:kinsoku/>
        <w:wordWrap/>
        <w:topLinePunct w:val="0"/>
        <w:autoSpaceDE/>
        <w:autoSpaceDN/>
        <w:bidi w:val="0"/>
        <w:spacing w:line="579" w:lineRule="exact"/>
        <w:ind w:firstLine="627" w:firstLineChars="196"/>
        <w:jc w:val="left"/>
        <w:textAlignment w:val="auto"/>
        <w:rPr>
          <w:rFonts w:ascii="仿宋_GB2312" w:hAnsi="仿宋_GB2312" w:eastAsia="仿宋_GB2312" w:cs="仿宋_GB2312"/>
          <w:sz w:val="32"/>
          <w:szCs w:val="32"/>
        </w:rPr>
      </w:pPr>
      <w:r>
        <w:rPr>
          <w:rFonts w:hint="eastAsia" w:ascii="仿宋_GB2312" w:eastAsia="仿宋_GB2312"/>
          <w:sz w:val="32"/>
          <w:szCs w:val="32"/>
        </w:rPr>
        <w:t>4月至10月，</w:t>
      </w:r>
      <w:r>
        <w:rPr>
          <w:rFonts w:hint="eastAsia" w:ascii="仿宋_GB2312" w:hAnsi="Calibri" w:eastAsia="仿宋_GB2312" w:cs="Times New Roman"/>
          <w:sz w:val="32"/>
          <w:szCs w:val="32"/>
        </w:rPr>
        <w:t>我</w:t>
      </w:r>
      <w:r>
        <w:rPr>
          <w:rFonts w:hint="eastAsia" w:ascii="仿宋_GB2312" w:eastAsia="仿宋_GB2312"/>
          <w:sz w:val="32"/>
          <w:szCs w:val="32"/>
        </w:rPr>
        <w:t>单位对“双随机”下发的辖区内154家“双随机”单位进行监督检查。对“双随机”监督检查结果和行政处罚情况及时在广阳区人民政府公示平台予以公示，便于群众查询。</w:t>
      </w:r>
    </w:p>
    <w:p>
      <w:pPr>
        <w:keepNext w:val="0"/>
        <w:keepLines w:val="0"/>
        <w:pageBreakBefore w:val="0"/>
        <w:widowControl w:val="0"/>
        <w:kinsoku/>
        <w:wordWrap/>
        <w:topLinePunct w:val="0"/>
        <w:autoSpaceDE/>
        <w:autoSpaceDN/>
        <w:bidi w:val="0"/>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公共场所监督</w:t>
      </w:r>
    </w:p>
    <w:p>
      <w:pPr>
        <w:keepNext w:val="0"/>
        <w:keepLines w:val="0"/>
        <w:pageBreakBefore w:val="0"/>
        <w:widowControl w:val="0"/>
        <w:kinsoku/>
        <w:wordWrap/>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区共有公共场所从业单位771家，我站出动卫生监督员，对从业单位的卫生许可，公共场所内卫生设施是否完备，设施设备运转情况；卫生管理制度、工作记录是否建立健全；是否建立了卫生组织，并设立专（兼）职卫生管理人员；控制吸烟措施；违规经营活动等内容进行监督检查。</w:t>
      </w:r>
    </w:p>
    <w:p>
      <w:pPr>
        <w:keepNext w:val="0"/>
        <w:keepLines w:val="0"/>
        <w:pageBreakBefore w:val="0"/>
        <w:widowControl w:val="0"/>
        <w:kinsoku/>
        <w:wordWrap/>
        <w:topLinePunct w:val="0"/>
        <w:autoSpaceDE/>
        <w:autoSpaceDN/>
        <w:bidi w:val="0"/>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传染病监督</w:t>
      </w:r>
    </w:p>
    <w:p>
      <w:pPr>
        <w:keepNext w:val="0"/>
        <w:keepLines w:val="0"/>
        <w:pageBreakBefore w:val="0"/>
        <w:widowControl w:val="0"/>
        <w:kinsoku/>
        <w:wordWrap/>
        <w:topLinePunct w:val="0"/>
        <w:autoSpaceDE/>
        <w:autoSpaceDN/>
        <w:bidi w:val="0"/>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开展接种门诊监督检查。对辖区内接种门诊、首针医院的疫苗公示情况，接种人员培训合格证，疫苗冷链运输登记，接种前的告知签字等情况的落实以及接种后所产生的医疗废物分类情况进行监督检查，监督覆盖率100%。</w:t>
      </w:r>
    </w:p>
    <w:p>
      <w:pPr>
        <w:keepNext w:val="0"/>
        <w:keepLines w:val="0"/>
        <w:pageBreakBefore w:val="0"/>
        <w:widowControl w:val="0"/>
        <w:kinsoku/>
        <w:wordWrap/>
        <w:topLinePunct w:val="0"/>
        <w:autoSpaceDE/>
        <w:autoSpaceDN/>
        <w:bidi w:val="0"/>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学校卫生工作</w:t>
      </w:r>
    </w:p>
    <w:p>
      <w:pPr>
        <w:keepNext w:val="0"/>
        <w:keepLines w:val="0"/>
        <w:pageBreakBefore w:val="0"/>
        <w:widowControl w:val="0"/>
        <w:kinsoku/>
        <w:wordWrap/>
        <w:topLinePunct w:val="0"/>
        <w:autoSpaceDE/>
        <w:autoSpaceDN/>
        <w:bidi w:val="0"/>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辖区39所学校的卫生设施、饮用水、卫生监督综合评价、传染病疫情报告制度、因病缺课病因追查与登记制度、晨检制度、接种证查验制度、传染病防控知识宣传教育情况等方面监督检查工作。完成7所学校的双随机检查工作。</w:t>
      </w:r>
    </w:p>
    <w:p>
      <w:pPr>
        <w:keepNext w:val="0"/>
        <w:keepLines w:val="0"/>
        <w:pageBreakBefore w:val="0"/>
        <w:widowControl w:val="0"/>
        <w:kinsoku/>
        <w:wordWrap/>
        <w:topLinePunct w:val="0"/>
        <w:autoSpaceDE/>
        <w:autoSpaceDN/>
        <w:bidi w:val="0"/>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生活饮用水卫生工作</w:t>
      </w:r>
    </w:p>
    <w:p>
      <w:pPr>
        <w:keepNext w:val="0"/>
        <w:keepLines w:val="0"/>
        <w:pageBreakBefore w:val="0"/>
        <w:widowControl w:val="0"/>
        <w:kinsoku/>
        <w:wordWrap/>
        <w:topLinePunct w:val="0"/>
        <w:autoSpaceDE/>
        <w:autoSpaceDN/>
        <w:bidi w:val="0"/>
        <w:spacing w:line="579"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按照《廊坊市生活饮用水专项监督检查工作方案》的要求，制定《广阳区生活饮用水专项监督检查工作方案》，进一步加强常态化疫情防控期间生活饮用水监督管理工作，切实保障人民群众用水安全。</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30" w:firstLineChars="196"/>
        <w:jc w:val="left"/>
        <w:textAlignment w:val="auto"/>
        <w:rPr>
          <w:rFonts w:hint="default" w:ascii="楷体_GB2312" w:eastAsia="楷体_GB2312" w:cs="Times New Roman"/>
          <w:b/>
          <w:sz w:val="32"/>
          <w:szCs w:val="32"/>
          <w:lang w:val="en-US" w:eastAsia="zh-CN"/>
        </w:rPr>
      </w:pPr>
      <w:r>
        <w:rPr>
          <w:rFonts w:hint="eastAsia" w:ascii="楷体_GB2312" w:eastAsia="楷体_GB2312" w:cs="Times New Roman"/>
          <w:b/>
          <w:sz w:val="32"/>
          <w:szCs w:val="32"/>
          <w:lang w:eastAsia="zh-CN"/>
        </w:rPr>
        <w:t>（</w:t>
      </w:r>
      <w:r>
        <w:rPr>
          <w:rFonts w:hint="eastAsia" w:ascii="楷体_GB2312" w:eastAsia="楷体_GB2312" w:cs="Times New Roman"/>
          <w:b/>
          <w:sz w:val="32"/>
          <w:szCs w:val="32"/>
          <w:lang w:val="en-US" w:eastAsia="zh-CN"/>
        </w:rPr>
        <w:t>二</w:t>
      </w:r>
      <w:r>
        <w:rPr>
          <w:rFonts w:hint="eastAsia" w:ascii="楷体_GB2312" w:eastAsia="楷体_GB2312" w:cs="Times New Roman"/>
          <w:b/>
          <w:sz w:val="32"/>
          <w:szCs w:val="32"/>
          <w:lang w:eastAsia="zh-CN"/>
        </w:rPr>
        <w:t>）</w:t>
      </w:r>
      <w:r>
        <w:rPr>
          <w:rFonts w:hint="eastAsia" w:ascii="楷体_GB2312" w:eastAsia="楷体_GB2312" w:cs="Times New Roman"/>
          <w:b/>
          <w:sz w:val="32"/>
          <w:szCs w:val="32"/>
          <w:lang w:val="en-US" w:eastAsia="zh-CN"/>
        </w:rPr>
        <w:t>分项绩效目标</w:t>
      </w:r>
    </w:p>
    <w:p>
      <w:pPr>
        <w:keepNext w:val="0"/>
        <w:keepLines w:val="0"/>
        <w:pageBreakBefore w:val="0"/>
        <w:widowControl w:val="0"/>
        <w:kinsoku/>
        <w:wordWrap/>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开展传染病疫情报告、疫情控制情况检查。对辖区17家一级医院、2家二级医疗机构、1家疾病预防控制机构的传染病防治工作情况进行监督检查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各医疗卫生机构能够按照相关法律法规开展传染病防治工作,均设立预检分诊处（桌），有比较健全的管理制度,有专兼职人员进行传染病的上报与自查工作,网络直报运行正常,都设有疫情登记本.医疗机构都能按规定执行首诊负责制,使用门诊日志、疫情报告登记本和统一的传染病报告卡,按要求保存传染病报告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autoSpaceDE/>
        <w:autoSpaceDN/>
        <w:bidi w:val="0"/>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开展消毒产品监督。对辖区60余家其他医疗机构的消毒产品进行监督检查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一级医院基本上有定期开展消毒与灭菌效果检测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大部分医疗机构设置消毒产品的进货验收制度,明确责任验收科室,有消毒产品生产企业和经营企业许可证。</w:t>
      </w:r>
    </w:p>
    <w:p>
      <w:pPr>
        <w:keepNext w:val="0"/>
        <w:keepLines w:val="0"/>
        <w:pageBreakBefore w:val="0"/>
        <w:widowControl w:val="0"/>
        <w:kinsoku/>
        <w:wordWrap/>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针对检查中发现有违规行为的医疗机构进行立案查处。</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30" w:firstLineChars="196"/>
        <w:jc w:val="left"/>
        <w:textAlignment w:val="auto"/>
        <w:rPr>
          <w:rFonts w:hint="default" w:ascii="楷体_GB2312" w:eastAsia="楷体_GB2312" w:cs="Times New Roman"/>
          <w:b/>
          <w:sz w:val="32"/>
          <w:szCs w:val="32"/>
          <w:lang w:val="en-US" w:eastAsia="zh-CN"/>
        </w:rPr>
      </w:pPr>
      <w:r>
        <w:rPr>
          <w:rFonts w:hint="eastAsia" w:ascii="楷体_GB2312" w:eastAsia="楷体_GB2312" w:cs="Times New Roman"/>
          <w:b/>
          <w:sz w:val="32"/>
          <w:szCs w:val="32"/>
          <w:lang w:eastAsia="zh-CN"/>
        </w:rPr>
        <w:t>（</w:t>
      </w:r>
      <w:r>
        <w:rPr>
          <w:rFonts w:hint="eastAsia" w:ascii="楷体_GB2312" w:eastAsia="楷体_GB2312" w:cs="Times New Roman"/>
          <w:b/>
          <w:sz w:val="32"/>
          <w:szCs w:val="32"/>
          <w:lang w:val="en-US" w:eastAsia="zh-CN"/>
        </w:rPr>
        <w:t>三</w:t>
      </w:r>
      <w:r>
        <w:rPr>
          <w:rFonts w:hint="eastAsia" w:ascii="楷体_GB2312" w:eastAsia="楷体_GB2312" w:cs="Times New Roman"/>
          <w:b/>
          <w:sz w:val="32"/>
          <w:szCs w:val="32"/>
          <w:lang w:eastAsia="zh-CN"/>
        </w:rPr>
        <w:t>）</w:t>
      </w:r>
      <w:r>
        <w:rPr>
          <w:rFonts w:hint="eastAsia" w:ascii="楷体_GB2312" w:eastAsia="楷体_GB2312" w:cs="Times New Roman"/>
          <w:b/>
          <w:sz w:val="32"/>
          <w:szCs w:val="32"/>
          <w:lang w:val="en-US" w:eastAsia="zh-CN"/>
        </w:rPr>
        <w:t>工作保障措施</w:t>
      </w:r>
    </w:p>
    <w:p>
      <w:pPr>
        <w:keepNext w:val="0"/>
        <w:keepLines w:val="0"/>
        <w:pageBreakBefore w:val="0"/>
        <w:widowControl w:val="0"/>
        <w:kinsoku/>
        <w:wordWrap/>
        <w:topLinePunct w:val="0"/>
        <w:autoSpaceDE/>
        <w:autoSpaceDN/>
        <w:bidi w:val="0"/>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联合广阳区</w:t>
      </w:r>
      <w:r>
        <w:rPr>
          <w:rFonts w:hint="eastAsia" w:ascii="仿宋_GB2312" w:hAnsi="仿宋_GB2312" w:eastAsia="仿宋_GB2312" w:cs="仿宋_GB2312"/>
          <w:sz w:val="32"/>
          <w:szCs w:val="32"/>
          <w:lang w:eastAsia="zh-CN"/>
        </w:rPr>
        <w:t>住房和城乡建设局</w:t>
      </w:r>
      <w:r>
        <w:rPr>
          <w:rFonts w:hint="eastAsia" w:ascii="仿宋_GB2312" w:hAnsi="仿宋_GB2312" w:eastAsia="仿宋_GB2312" w:cs="仿宋_GB2312"/>
          <w:sz w:val="32"/>
          <w:szCs w:val="32"/>
        </w:rPr>
        <w:t>、广阳区水利局、广阳区生态环境局，对我辖区内6家农村生活饮用水安全工程水厂进行监督检查。针对检查中存在的问题，卫生监督员现场给予指导并下达卫生监督意见书，要求限期整改到位。对全部水厂进行双随机检查工作。</w:t>
      </w:r>
    </w:p>
    <w:p>
      <w:pPr>
        <w:keepNext w:val="0"/>
        <w:keepLines w:val="0"/>
        <w:pageBreakBefore w:val="0"/>
        <w:widowControl w:val="0"/>
        <w:kinsoku/>
        <w:wordWrap/>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放射卫生监督检查</w:t>
      </w:r>
      <w:r>
        <w:rPr>
          <w:rFonts w:hint="eastAsia" w:ascii="仿宋_GB2312" w:hAnsi="仿宋_GB2312" w:eastAsia="仿宋_GB2312" w:cs="仿宋_GB2312"/>
          <w:sz w:val="32"/>
          <w:szCs w:val="32"/>
        </w:rPr>
        <w:t>工作，对辖区内放射诊疗单位情况进行全面的监督检查工作，对全部开展放射治疗的医疗机构督促其进行放射治疗设备放射防护监测。对开展放射诊疗的医疗机构进行基本情况调查和放射诊疗频度调查，及时上报各项调查表。</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lang w:eastAsia="zh-CN"/>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lang w:eastAsia="zh-CN"/>
        </w:rPr>
        <w:t>）</w:t>
      </w:r>
      <w:r>
        <w:rPr>
          <w:rFonts w:hint="eastAsia" w:ascii="楷体_GB2312" w:eastAsia="楷体_GB2312" w:cs="Times New Roman"/>
          <w:b/>
          <w:sz w:val="32"/>
          <w:szCs w:val="32"/>
        </w:rPr>
        <w:t>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一级指标</w:t>
            </w:r>
          </w:p>
        </w:tc>
        <w:tc>
          <w:tcPr>
            <w:tcW w:w="825"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二级</w:t>
            </w:r>
          </w:p>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指标</w:t>
            </w:r>
          </w:p>
        </w:tc>
        <w:tc>
          <w:tcPr>
            <w:tcW w:w="897"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三级</w:t>
            </w:r>
          </w:p>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指标</w:t>
            </w:r>
          </w:p>
        </w:tc>
        <w:tc>
          <w:tcPr>
            <w:tcW w:w="2172"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评（扣）分标准</w:t>
            </w:r>
          </w:p>
        </w:tc>
        <w:tc>
          <w:tcPr>
            <w:tcW w:w="1483"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绩效指标</w:t>
            </w:r>
          </w:p>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描述</w:t>
            </w:r>
          </w:p>
        </w:tc>
        <w:tc>
          <w:tcPr>
            <w:tcW w:w="1604"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指标值</w:t>
            </w:r>
          </w:p>
        </w:tc>
        <w:tc>
          <w:tcPr>
            <w:tcW w:w="1277"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指标值</w:t>
            </w:r>
          </w:p>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825"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897"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2172"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483"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54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黑体" w:hAnsi="黑体" w:eastAsia="黑体" w:cs="黑体"/>
                <w:b w:val="0"/>
                <w:bCs/>
              </w:rPr>
            </w:pPr>
            <w:r>
              <w:rPr>
                <w:rFonts w:hint="default" w:ascii="黑体" w:hAnsi="黑体" w:eastAsia="黑体" w:cs="黑体"/>
                <w:b w:val="0"/>
                <w:bCs/>
              </w:rPr>
              <w:t>符号</w:t>
            </w: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黑体" w:hAnsi="黑体" w:eastAsia="黑体" w:cs="黑体"/>
                <w:b w:val="0"/>
                <w:bCs/>
              </w:rPr>
            </w:pPr>
            <w:r>
              <w:rPr>
                <w:rFonts w:hint="default" w:ascii="黑体" w:hAnsi="黑体" w:eastAsia="黑体" w:cs="黑体"/>
                <w:b w:val="0"/>
                <w:bCs/>
              </w:rPr>
              <w:t>值</w:t>
            </w: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黑体" w:hAnsi="黑体" w:eastAsia="黑体" w:cs="黑体"/>
                <w:b w:val="0"/>
                <w:bCs/>
              </w:rPr>
            </w:pPr>
            <w:r>
              <w:rPr>
                <w:rFonts w:hint="default" w:ascii="黑体" w:hAnsi="黑体" w:eastAsia="黑体" w:cs="黑体"/>
                <w:b w:val="0"/>
                <w:bCs/>
              </w:rPr>
              <w:t>单位</w:t>
            </w:r>
          </w:p>
        </w:tc>
        <w:tc>
          <w:tcPr>
            <w:tcW w:w="1277"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部门产出</w:t>
            </w:r>
          </w:p>
        </w:tc>
        <w:tc>
          <w:tcPr>
            <w:tcW w:w="82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89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绩效数量</w:t>
            </w:r>
          </w:p>
        </w:tc>
        <w:tc>
          <w:tcPr>
            <w:tcW w:w="2172"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4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广阳区卫健局绩效数量</w:t>
            </w:r>
          </w:p>
        </w:tc>
        <w:tc>
          <w:tcPr>
            <w:tcW w:w="543" w:type="dxa"/>
            <w:tcBorders>
              <w:tl2br w:val="nil"/>
              <w:tr2bl w:val="nil"/>
            </w:tcBorders>
            <w:vAlign w:val="center"/>
          </w:tcPr>
          <w:p>
            <w:pPr>
              <w:keepNext w:val="0"/>
              <w:keepLines w:val="0"/>
              <w:widowControl/>
              <w:suppressLineNumbers w:val="0"/>
              <w:tabs>
                <w:tab w:val="left" w:pos="419"/>
              </w:tabs>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p>
            <w:pPr>
              <w:keepNext w:val="0"/>
              <w:keepLines w:val="0"/>
              <w:widowControl/>
              <w:suppressLineNumbers w:val="0"/>
              <w:tabs>
                <w:tab w:val="left" w:pos="419"/>
              </w:tabs>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35</w:t>
            </w: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个</w:t>
            </w:r>
          </w:p>
        </w:tc>
        <w:tc>
          <w:tcPr>
            <w:tcW w:w="127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2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89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发放率</w:t>
            </w:r>
          </w:p>
        </w:tc>
        <w:tc>
          <w:tcPr>
            <w:tcW w:w="2172"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4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发放率</w:t>
            </w:r>
          </w:p>
        </w:tc>
        <w:tc>
          <w:tcPr>
            <w:tcW w:w="54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2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89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kern w:val="2"/>
                <w:sz w:val="21"/>
                <w:szCs w:val="22"/>
                <w:lang w:val="en-US" w:eastAsia="zh-CN" w:bidi="ar"/>
              </w:rPr>
              <w:t>完成时间</w:t>
            </w:r>
          </w:p>
        </w:tc>
        <w:tc>
          <w:tcPr>
            <w:tcW w:w="2172"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4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kern w:val="2"/>
                <w:sz w:val="21"/>
                <w:szCs w:val="22"/>
                <w:lang w:val="en-US" w:eastAsia="zh-CN" w:bidi="ar"/>
              </w:rPr>
              <w:t>完成工作需要的时间</w:t>
            </w:r>
          </w:p>
        </w:tc>
        <w:tc>
          <w:tcPr>
            <w:tcW w:w="54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月</w:t>
            </w:r>
          </w:p>
        </w:tc>
        <w:tc>
          <w:tcPr>
            <w:tcW w:w="127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2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89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rPr>
            </w:pPr>
            <w:r>
              <w:rPr>
                <w:rFonts w:hint="eastAsia" w:ascii="仿宋_GB2312" w:hAnsi="仿宋_GB2312" w:eastAsia="仿宋_GB2312" w:cs="仿宋_GB2312"/>
                <w:lang w:val="en-US" w:eastAsia="zh-CN"/>
              </w:rPr>
              <w:t>绩效费用</w:t>
            </w:r>
          </w:p>
        </w:tc>
        <w:tc>
          <w:tcPr>
            <w:tcW w:w="2172"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4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rPr>
            </w:pPr>
            <w:r>
              <w:rPr>
                <w:rFonts w:hint="eastAsia" w:ascii="仿宋_GB2312" w:hAnsi="仿宋_GB2312" w:eastAsia="仿宋_GB2312" w:cs="仿宋_GB2312"/>
                <w:lang w:val="en-US" w:eastAsia="zh-CN"/>
              </w:rPr>
              <w:t>广阳区卫健局绩效费用</w:t>
            </w:r>
          </w:p>
        </w:tc>
        <w:tc>
          <w:tcPr>
            <w:tcW w:w="54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lang w:val="en-US" w:eastAsia="zh-CN"/>
              </w:rPr>
              <w:t>=</w:t>
            </w: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6797.36</w:t>
            </w: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万元</w:t>
            </w:r>
          </w:p>
        </w:tc>
        <w:tc>
          <w:tcPr>
            <w:tcW w:w="127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部门效果</w:t>
            </w:r>
          </w:p>
        </w:tc>
        <w:tc>
          <w:tcPr>
            <w:tcW w:w="82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社会</w:t>
            </w:r>
          </w:p>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kern w:val="2"/>
                <w:sz w:val="21"/>
                <w:szCs w:val="22"/>
                <w:lang w:val="en-US" w:eastAsia="zh-CN" w:bidi="ar"/>
              </w:rPr>
              <w:t>社会稳定水平</w:t>
            </w:r>
          </w:p>
        </w:tc>
        <w:tc>
          <w:tcPr>
            <w:tcW w:w="2172"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4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kern w:val="2"/>
                <w:sz w:val="21"/>
                <w:szCs w:val="22"/>
                <w:lang w:val="en-US" w:eastAsia="zh-CN" w:bidi="ar"/>
              </w:rPr>
              <w:t>社会稳定水平</w:t>
            </w:r>
          </w:p>
        </w:tc>
        <w:tc>
          <w:tcPr>
            <w:tcW w:w="54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提高</w:t>
            </w:r>
          </w:p>
        </w:tc>
        <w:tc>
          <w:tcPr>
            <w:tcW w:w="127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2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897" w:type="dxa"/>
            <w:tcBorders>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kern w:val="2"/>
                <w:sz w:val="21"/>
                <w:szCs w:val="22"/>
                <w:lang w:val="en-US" w:eastAsia="zh-CN" w:bidi="ar"/>
              </w:rPr>
              <w:t>服务对象满意度指标</w:t>
            </w:r>
          </w:p>
        </w:tc>
        <w:tc>
          <w:tcPr>
            <w:tcW w:w="2172" w:type="dxa"/>
            <w:tcBorders>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1483" w:type="dxa"/>
            <w:tcBorders>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辖区居民满意人数/总人数</w:t>
            </w:r>
          </w:p>
        </w:tc>
        <w:tc>
          <w:tcPr>
            <w:tcW w:w="54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r>
    </w:tbl>
    <w:p>
      <w:pPr>
        <w:autoSpaceDE w:val="0"/>
        <w:autoSpaceDN w:val="0"/>
        <w:adjustRightInd w:val="0"/>
        <w:spacing w:line="584" w:lineRule="exact"/>
        <w:ind w:firstLine="480" w:firstLineChars="200"/>
        <w:jc w:val="left"/>
        <w:rPr>
          <w:rFonts w:ascii="Times New Roman" w:hAnsi="Times New Roman" w:eastAsia="黑体" w:cs="Times New Roman"/>
          <w:sz w:val="24"/>
          <w:szCs w:val="2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w:t>
      </w:r>
      <w:bookmarkEnd w:id="0"/>
    </w:p>
    <w:p>
      <w:pPr>
        <w:jc w:val="center"/>
        <w:outlineLvl w:val="1"/>
        <w:rPr>
          <w:rFonts w:hint="eastAsia" w:ascii="黑体" w:hAnsi="黑体" w:eastAsia="黑体" w:cs="黑体"/>
          <w:sz w:val="32"/>
        </w:rPr>
      </w:pPr>
      <w:bookmarkStart w:id="1" w:name="_Toc64920910"/>
      <w:r>
        <w:rPr>
          <w:rFonts w:hint="eastAsia" w:ascii="方正小标宋简体" w:hAnsi="方正小标宋简体" w:eastAsia="方正小标宋简体" w:cs="方正小标宋简体"/>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黑体" w:hAnsi="黑体" w:eastAsia="黑体" w:cs="黑体"/>
                <w:sz w:val="24"/>
                <w:lang w:val="en-US" w:eastAsia="zh-CN"/>
              </w:rPr>
            </w:pPr>
            <w:r>
              <w:rPr>
                <w:rFonts w:hint="eastAsia" w:ascii="黑体" w:hAnsi="黑体" w:eastAsia="黑体" w:cs="黑体"/>
                <w:sz w:val="24"/>
                <w:lang w:val="en-US" w:eastAsia="zh-CN"/>
              </w:rPr>
              <w:t>[570008]廊坊市广阳区卫生监督所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政府采购项目来源</w:t>
            </w:r>
          </w:p>
        </w:tc>
        <w:tc>
          <w:tcPr>
            <w:tcW w:w="1531"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采购物品名称</w:t>
            </w:r>
          </w:p>
        </w:tc>
        <w:tc>
          <w:tcPr>
            <w:tcW w:w="1531"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政府采购目录序号</w:t>
            </w:r>
          </w:p>
        </w:tc>
        <w:tc>
          <w:tcPr>
            <w:tcW w:w="709"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计量  单位</w:t>
            </w:r>
          </w:p>
        </w:tc>
        <w:tc>
          <w:tcPr>
            <w:tcW w:w="907"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数量</w:t>
            </w:r>
          </w:p>
        </w:tc>
        <w:tc>
          <w:tcPr>
            <w:tcW w:w="907"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单价</w:t>
            </w:r>
          </w:p>
        </w:tc>
        <w:tc>
          <w:tcPr>
            <w:tcW w:w="6804" w:type="dxa"/>
            <w:gridSpan w:val="6"/>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项目名称</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预算资金</w:t>
            </w:r>
          </w:p>
        </w:tc>
        <w:tc>
          <w:tcPr>
            <w:tcW w:w="1531" w:type="dxa"/>
            <w:vMerge w:val="continue"/>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b w:val="0"/>
                <w:bCs/>
              </w:rPr>
            </w:pPr>
          </w:p>
        </w:tc>
        <w:tc>
          <w:tcPr>
            <w:tcW w:w="1531" w:type="dxa"/>
            <w:vMerge w:val="continue"/>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b w:val="0"/>
                <w:bCs/>
              </w:rPr>
            </w:pPr>
          </w:p>
        </w:tc>
        <w:tc>
          <w:tcPr>
            <w:tcW w:w="709" w:type="dxa"/>
            <w:vMerge w:val="continue"/>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b w:val="0"/>
                <w:bCs/>
              </w:rPr>
            </w:pPr>
          </w:p>
        </w:tc>
        <w:tc>
          <w:tcPr>
            <w:tcW w:w="907" w:type="dxa"/>
            <w:vMerge w:val="continue"/>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b w:val="0"/>
                <w:bCs/>
              </w:rPr>
            </w:pPr>
          </w:p>
        </w:tc>
        <w:tc>
          <w:tcPr>
            <w:tcW w:w="907" w:type="dxa"/>
            <w:vMerge w:val="continue"/>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合计</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一般公共预算拨款</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基金预算拨款</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国有资本经营预算拨款</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财政专户核拨</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合  计</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黑体" w:hAnsi="黑体" w:eastAsia="黑体" w:cs="黑体"/>
                <w:b w:val="0"/>
                <w:bCs/>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黑体" w:hAnsi="黑体" w:eastAsia="黑体" w:cs="黑体"/>
                <w:b w:val="0"/>
                <w:bCs/>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lang w:val="en-US" w:eastAsia="zh-C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黑体" w:hAnsi="黑体" w:eastAsia="黑体" w:cs="黑体"/>
                <w:b w:val="0"/>
                <w:bCs/>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黑体" w:hAnsi="黑体" w:eastAsia="黑体" w:cs="黑体"/>
                <w:b w:val="0"/>
                <w:bCs/>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val="en-US" w:eastAsia="zh-CN"/>
        </w:rPr>
        <w:t>卫生监督所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hint="eastAsia" w:ascii="Times New Roman" w:hAnsi="Times New Roman" w:eastAsia="仿宋_GB2312" w:cs="Times New Roman"/>
                <w:b/>
                <w:bCs/>
                <w:kern w:val="0"/>
                <w:sz w:val="32"/>
                <w:szCs w:val="32"/>
                <w:lang w:val="en-US" w:eastAsia="zh-CN"/>
              </w:rPr>
              <w:t>卫生监督所</w:t>
            </w:r>
            <w:r>
              <w:rPr>
                <w:rFonts w:hint="eastAsia" w:ascii="Times New Roman" w:hAnsi="Times New Roman" w:eastAsia="仿宋_GB2312" w:cs="Times New Roman"/>
                <w:b/>
                <w:bCs/>
                <w:kern w:val="0"/>
                <w:sz w:val="32"/>
                <w:szCs w:val="32"/>
              </w:rPr>
              <w:t>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val="en-US" w:eastAsia="zh-CN"/>
              </w:rPr>
              <w:t>广阳区卫生监督所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4A54AA"/>
    <w:rsid w:val="00807A76"/>
    <w:rsid w:val="008F0EB4"/>
    <w:rsid w:val="00A218C6"/>
    <w:rsid w:val="00B17B32"/>
    <w:rsid w:val="00B80935"/>
    <w:rsid w:val="00D347CC"/>
    <w:rsid w:val="00E27CE3"/>
    <w:rsid w:val="072002F5"/>
    <w:rsid w:val="0B111B33"/>
    <w:rsid w:val="17955A4E"/>
    <w:rsid w:val="196F2F36"/>
    <w:rsid w:val="1EC64FD7"/>
    <w:rsid w:val="3B5A2DDE"/>
    <w:rsid w:val="3D8D6724"/>
    <w:rsid w:val="4A84161E"/>
    <w:rsid w:val="594408AB"/>
    <w:rsid w:val="69EE2873"/>
    <w:rsid w:val="6FB169E2"/>
    <w:rsid w:val="72125048"/>
    <w:rsid w:val="724045EE"/>
    <w:rsid w:val="7342575B"/>
    <w:rsid w:val="7F74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491</Words>
  <Characters>2803</Characters>
  <Lines>23</Lines>
  <Paragraphs>6</Paragraphs>
  <TotalTime>0</TotalTime>
  <ScaleCrop>false</ScaleCrop>
  <LinksUpToDate>false</LinksUpToDate>
  <CharactersWithSpaces>3288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2023-06-02T03:20:03Z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9ABADCE702004BFEA8E8BEB830B512C6</vt:lpwstr>
  </property>
</Properties>
</file>