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廊坊市广阳区民族宗教事务局2019年部门预算信息公开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广阳区民</w:t>
      </w:r>
      <w:r>
        <w:rPr>
          <w:rFonts w:ascii="Times New Roman" w:hAnsi="Times New Roman" w:eastAsia="仿宋_GB2312" w:cs="Times New Roman"/>
          <w:sz w:val="32"/>
          <w:szCs w:val="32"/>
        </w:rPr>
        <w:t>族宗教事务局2019年部门预算公开如下：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57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负责贯彻执行党和国家关于民族宗教工作的方针、政策和法律法规；研究制定有关民族地方国民经济和社会发展中长期规划和年度计划；会同组织、统战、人事等部门，做好少数民族干部培养、选拔、使用工作；负责管理全区民族识别和民族成份的审核、批准、鉴定工作；负责组织实施对全区宗教活动场所的登记和年度检查等项工作。负责领导交办的其他事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widowControl/>
              <w:spacing w:line="570" w:lineRule="exact"/>
              <w:jc w:val="center"/>
              <w:rPr>
                <w:rFonts w:ascii="仿宋_GB2312" w:eastAsia="仿宋_GB2312" w:cs="宋体"/>
                <w:kern w:val="0"/>
                <w:szCs w:val="21"/>
              </w:rPr>
            </w:pPr>
            <w:r>
              <w:rPr>
                <w:rFonts w:hint="eastAsia" w:ascii="仿宋_GB2312" w:eastAsia="仿宋_GB2312" w:cs="宋体"/>
                <w:kern w:val="0"/>
                <w:szCs w:val="21"/>
              </w:rPr>
              <w:t>廊坊市广阳区民族宗教事务局</w:t>
            </w:r>
          </w:p>
        </w:tc>
        <w:tc>
          <w:tcPr>
            <w:tcW w:w="1134" w:type="dxa"/>
            <w:shd w:val="clear" w:color="auto" w:fill="auto"/>
            <w:vAlign w:val="center"/>
          </w:tcPr>
          <w:p>
            <w:pPr>
              <w:widowControl/>
              <w:spacing w:line="570" w:lineRule="exact"/>
              <w:jc w:val="center"/>
              <w:rPr>
                <w:rFonts w:ascii="仿宋_GB2312" w:eastAsia="仿宋_GB2312" w:cs="宋体"/>
                <w:kern w:val="0"/>
                <w:szCs w:val="21"/>
              </w:rPr>
            </w:pPr>
            <w:r>
              <w:rPr>
                <w:rFonts w:hint="eastAsia" w:ascii="仿宋_GB2312" w:eastAsia="仿宋_GB2312" w:cs="宋体"/>
                <w:kern w:val="0"/>
                <w:szCs w:val="21"/>
              </w:rPr>
              <w:t>行政单位</w:t>
            </w:r>
          </w:p>
        </w:tc>
        <w:tc>
          <w:tcPr>
            <w:tcW w:w="1276" w:type="dxa"/>
            <w:shd w:val="clear" w:color="auto" w:fill="auto"/>
            <w:vAlign w:val="center"/>
          </w:tcPr>
          <w:p>
            <w:pPr>
              <w:widowControl/>
              <w:spacing w:line="570" w:lineRule="exact"/>
              <w:jc w:val="center"/>
              <w:rPr>
                <w:rFonts w:ascii="仿宋_GB2312" w:eastAsia="仿宋_GB2312" w:cs="宋体"/>
                <w:kern w:val="0"/>
                <w:szCs w:val="21"/>
              </w:rPr>
            </w:pPr>
            <w:r>
              <w:rPr>
                <w:rFonts w:hint="eastAsia" w:ascii="仿宋_GB2312" w:eastAsia="仿宋_GB2312" w:cs="宋体"/>
                <w:kern w:val="0"/>
                <w:szCs w:val="21"/>
              </w:rPr>
              <w:t>正科级</w:t>
            </w:r>
          </w:p>
        </w:tc>
        <w:tc>
          <w:tcPr>
            <w:tcW w:w="2902" w:type="dxa"/>
            <w:shd w:val="clear" w:color="auto" w:fill="auto"/>
            <w:vAlign w:val="center"/>
          </w:tcPr>
          <w:p>
            <w:pPr>
              <w:widowControl/>
              <w:spacing w:line="570" w:lineRule="exact"/>
              <w:jc w:val="center"/>
              <w:rPr>
                <w:rFonts w:ascii="仿宋_GB2312" w:eastAsia="仿宋_GB2312" w:cs="宋体"/>
                <w:kern w:val="0"/>
                <w:szCs w:val="21"/>
              </w:rPr>
            </w:pPr>
            <w:r>
              <w:rPr>
                <w:rFonts w:hint="eastAsia" w:ascii="仿宋_GB2312" w:eastAsia="仿宋_GB2312" w:cs="宋体"/>
                <w:kern w:val="0"/>
                <w:szCs w:val="21"/>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广阳区民</w:t>
      </w:r>
      <w:r>
        <w:rPr>
          <w:rFonts w:ascii="Times New Roman" w:hAnsi="Times New Roman" w:eastAsia="仿宋_GB2312" w:cs="Times New Roman"/>
          <w:sz w:val="32"/>
          <w:szCs w:val="32"/>
        </w:rPr>
        <w:t>族宗教事务局机关及所属事业单位的收支包含在部门预算中。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64.96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64.96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广阳区民</w:t>
      </w:r>
      <w:r>
        <w:rPr>
          <w:rFonts w:ascii="Times New Roman" w:hAnsi="Times New Roman" w:eastAsia="仿宋_GB2312" w:cs="Times New Roman"/>
          <w:sz w:val="32"/>
          <w:szCs w:val="32"/>
        </w:rPr>
        <w:t>族宗教事务局年度部门预算中支出预算的总体情况。201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64.96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64.96</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58.09</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6.87</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64.96</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18.21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7.79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员经费支出；项目支出减少</w:t>
      </w:r>
      <w:r>
        <w:rPr>
          <w:rFonts w:hint="eastAsia" w:ascii="Times New Roman" w:hAnsi="Times New Roman" w:eastAsia="仿宋_GB2312" w:cs="Times New Roman"/>
          <w:sz w:val="32"/>
          <w:szCs w:val="32"/>
        </w:rPr>
        <w:t>26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少数</w:t>
      </w:r>
      <w:r>
        <w:rPr>
          <w:rFonts w:ascii="Times New Roman" w:hAnsi="Times New Roman" w:eastAsia="仿宋_GB2312" w:cs="Times New Roman"/>
          <w:sz w:val="32"/>
          <w:szCs w:val="32"/>
        </w:rPr>
        <w:t>民族发展资金项目支出。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0.12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少0.11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减少0.11</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减少0.11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减少0万元，</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年相比持平，无增减变化。</w:t>
      </w:r>
    </w:p>
    <w:p>
      <w:pPr>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00" w:lineRule="exact"/>
        <w:ind w:firstLine="560"/>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一是加强民族团结宣传教育。通过各种媒体进一步加大民族政策、宗教法规的宣传力度，以正确的舆论引导、动员、激励各族人民和各教信众更加紧密地团结在党委、政府周围，积极营造民族团结、宗教和谐的社会氛围。二是依法开展民族事务管理。以推进民族政策落实为切入点，依法保障少数民族群众合法权益，推进民族村街基础设施完善和公益事业发展。三是依法加强宗教事务管理。以维护社会稳定为立足点，进一步加强宗教事务管理，加大宗教矛盾隐患排查整治力度，积极化解重点难点问题，全力推动宗教事务法律化、规范化、制度化管理。四是认真完成市民宗局和区委、区政府交办的工作任务，进一步完善和健全各项规章制度，强化团结协作，提升干部素质，加强工作纪律，着力打造学习型、创新型、廉洁型、和谐型机关。同时加强业务知识培训，努力培养一支思想素质高、专业造诣深、工作作风硬、处事能力强的民宗干部队伍。</w:t>
      </w:r>
    </w:p>
    <w:p>
      <w:pPr>
        <w:spacing w:line="500" w:lineRule="exact"/>
        <w:ind w:firstLine="560"/>
        <w:rPr>
          <w:rFonts w:ascii="楷体_GB2312" w:eastAsia="楷体_GB2312"/>
          <w:sz w:val="32"/>
          <w:szCs w:val="32"/>
        </w:rPr>
      </w:pPr>
      <w:r>
        <w:rPr>
          <w:rFonts w:hint="eastAsia" w:ascii="楷体_GB2312" w:eastAsia="楷体_GB2312"/>
          <w:b/>
          <w:sz w:val="32"/>
          <w:szCs w:val="32"/>
        </w:rPr>
        <w:t>职责分类绩效目标：</w:t>
      </w:r>
    </w:p>
    <w:p>
      <w:pPr>
        <w:spacing w:line="500" w:lineRule="exact"/>
        <w:ind w:firstLine="560"/>
        <w:rPr>
          <w:rFonts w:ascii="楷体_GB2312" w:eastAsia="楷体_GB2312"/>
          <w:sz w:val="32"/>
          <w:szCs w:val="32"/>
        </w:rPr>
      </w:pPr>
      <w:r>
        <w:rPr>
          <w:rFonts w:hint="eastAsia" w:ascii="仿宋_GB2312" w:eastAsia="仿宋_GB2312"/>
          <w:sz w:val="32"/>
          <w:szCs w:val="32"/>
        </w:rPr>
        <w:t>1、民族事务管理：贯彻执行国家、省、市和区关于少数民族工作的方针政策及有关法律法规；协调处理涉及民族关系的有关事宜，监督办理少数民族权益保障事宜；帮扶民族地方经济发展；研究解决少数民族文化、教育、体育、科技等方面的特殊困难和问题，开展相关保护开发活动，开展民族团结进步宣传教育活动。</w:t>
      </w:r>
    </w:p>
    <w:p>
      <w:pPr>
        <w:spacing w:line="500" w:lineRule="exact"/>
        <w:ind w:firstLine="560"/>
        <w:rPr>
          <w:rFonts w:ascii="仿宋_GB2312" w:eastAsia="仿宋_GB2312"/>
          <w:sz w:val="32"/>
          <w:szCs w:val="32"/>
        </w:rPr>
      </w:pPr>
      <w:r>
        <w:rPr>
          <w:rFonts w:hint="eastAsia" w:ascii="仿宋_GB2312" w:eastAsia="仿宋_GB2312"/>
          <w:sz w:val="32"/>
          <w:szCs w:val="32"/>
        </w:rPr>
        <w:t>2、宗教事务管理：贯彻执行宣传国家关于宗教工作的方针政策，监督检查宗教活动场所，创建和谐寺观教堂，培训宗教工作干部，对困难宗教教职人员进行补助，监控、制止宗教非法活动，协同管理宗教界人员对外交流等涉外事宜，帮助宗教团体解决办公用房，推进区宗教团体业务用房建设。</w:t>
      </w:r>
    </w:p>
    <w:p>
      <w:pPr>
        <w:spacing w:line="500" w:lineRule="exact"/>
        <w:ind w:firstLine="560"/>
        <w:rPr>
          <w:rFonts w:ascii="仿宋_GB2312" w:eastAsia="仿宋_GB2312"/>
          <w:sz w:val="32"/>
          <w:szCs w:val="32"/>
        </w:rPr>
      </w:pPr>
      <w:r>
        <w:rPr>
          <w:rFonts w:hint="eastAsia" w:ascii="仿宋_GB2312" w:eastAsia="仿宋_GB2312"/>
          <w:sz w:val="32"/>
          <w:szCs w:val="32"/>
        </w:rPr>
        <w:t>3、民宗政务管理：开展民族宗教政策和法制宣传教育工作，协助处理民族宗教方面</w:t>
      </w:r>
      <w:r>
        <w:rPr>
          <w:rFonts w:hint="eastAsia" w:ascii="仿宋_GB2312" w:eastAsia="仿宋_GB2312"/>
          <w:sz w:val="32"/>
          <w:szCs w:val="32"/>
          <w:lang w:eastAsia="zh-CN"/>
        </w:rPr>
        <w:t>的</w:t>
      </w:r>
      <w:r>
        <w:rPr>
          <w:rFonts w:hint="eastAsia" w:ascii="仿宋_GB2312" w:eastAsia="仿宋_GB2312"/>
          <w:sz w:val="32"/>
          <w:szCs w:val="32"/>
        </w:rPr>
        <w:t>维稳问题促进民族宗教团结、稳定，帮助宗教团体解决办公用房，推进市宗教团体业务用房建设，妥善处置宗教突发事件、维护宗教界和谐稳定。</w:t>
      </w: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bookmarkEnd w:id="0"/>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249廊坊市广阳区民族宗教事务局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一、民族事务管理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执行国家、省、市和区关于少数民族工作的方针政策及有关法律法规；协调处理涉及民族关系的有关事宜，监督办理少数民族权益保障事宜；帮扶民族地方经济发展；研究解决少数民族文化、教育、体育、科技等方面的特殊困难和问题，开展相关保护开发活动，开展民族团结进步宣传教育活动。</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加强民族事务管理工作</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1、民族基本事务管理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贯彻执行国家、省、市和区关于少数民族工作的方针政策和法律法规，研究草拟有关民族问题的具体政策并组织实施和监督，协调处理涉及民族关系的有关事宜,监督办理少数民族权益保障事宜。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较好地完成少数民族基本事务管理工作，顺利完成各项民族政策法规的调研、制定任务。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立法宣传完成率(%)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落后村街调研率(%)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突出问题解决率(%)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2、促进少数民族地区经济发展</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助拟定民族地方改革开放、经济发展规划,研究提出民族地方经济发展的特殊政策和措施;组织协调民族地方科技发展、对口支援、经济技术协作、民族贸易和民族特需用品生产;配合承办少数民族和民族地方扶贫事宜;承办民族统计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帮扶少数民族地区经济发展，改善贫困地区生产生活条件，促进少数民族地方经济发展。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开展民族统计工作次数(次)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特殊困难解决率(%)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帮扶比率(%)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3、少数民族文体艺术保护与开发</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研究少数民族文化、艺术、体育等方面的特殊问题，并承办相应事务,开展相关保护开发活动。</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组织参加省、市区少数民族文艺汇（调）演、书画展、运动会等活动，完成各项文化开发保护工作。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参加民族文艺汇（调）演人数（人）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参加民运会人数（人）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全省市区民运会获奖牌数（枚）</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≥3枚</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≥2枚</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≥1枚</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4、民族团结进步创建</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组织开展民族团结进步宣传教育和“六进”（进机关、进企业、进乡镇、进社区、进学校、进寺庙）活动；培树民族团结进步先进典型。</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通过开展民族团结进步宣传月和文化、科技、卫生“三下乡”活动，增强各族干部群众的民族团结意识，提高广大少数民族农民的致富能力和健康水平。</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培树先进典型个数（个）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开展政策法规宣传次数（次）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宣传教育覆盖率(%)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二、宗教事务管理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执行宣传国家关于宗教工作的方针政策，监督检查宗教活动场所，创建和谐寺观教堂，培训宗教工作干部，对困难宗教教职人员进行补助，监控、制止宗教非法活动，协同管理宗教界人员对外交流等涉外事宜，帮助宗教团体解决办公用房，推进区宗教团体业务用房建设。</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加强宗教事务管理工作</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1、宗教基本事务管理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贯彻执行国家、省、市和区关于宗教工作的方针政策和法律法规；监督检查宗教活动场所，对困难教职人员进行补助；协调指导各宗教的基本事务管理工作。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完成宗教基本事务，加大全区宗教活动场所检查力度，及时解决各类宗教问题。</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重点宗教活动场所检查覆盖率（%）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重点宗教活动场所检查次数（次）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帮扶困难教职人员数量（人次）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2、宗教团体建设</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加强区伊协、佛协、道协、天主教爱国会、基督教“两会”筹备组的组织建设、制度建设，完善工作机制，提高工作效率。帮助宗教团体解决办公用房。</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各团体能充分发挥积极作用</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问题解决率（%）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群众满意度（%）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作用发挥率（%）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3、培训教育</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教育、培训各宗教教职人员和信教群众，培养各宗教爱国爱教人士，促进社会和谐稳定。</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提高培训效果，确保人员数量和质量</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受训人员满意度（%）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人员培训覆盖面（%）</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培训班次数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三、民宗政务管理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开展民族宗教政策和法制宣传教育工作，协助处理民族宗教方面</w:t>
            </w:r>
            <w:r>
              <w:rPr>
                <w:rFonts w:hint="eastAsia" w:ascii="仿宋_GB2312" w:eastAsia="仿宋_GB2312"/>
                <w:szCs w:val="21"/>
                <w:lang w:eastAsia="zh-CN"/>
              </w:rPr>
              <w:t>的</w:t>
            </w:r>
            <w:r>
              <w:rPr>
                <w:rFonts w:hint="eastAsia" w:ascii="仿宋_GB2312" w:eastAsia="仿宋_GB2312"/>
                <w:szCs w:val="21"/>
              </w:rPr>
              <w:t>维稳问题促进民族宗教团结、稳定，帮助宗教团体解决办公用房，推进市宗教团体业务用房建设，妥善处置宗教突发事件、维护宗教界和谐稳定。</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加强其他民族宗教综合性事务管理工作</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民族宗教方面的法制宣传和团结教育，团结和动员广大信教群众为改革开放和经济建设服务。妥善处理民族宗教方面的维稳问题。进行清真食品检查、认证；开展民族宗教干部培训和宗教政策法规宣传月活动；建立法律顾问制度。处理其他不可预见的民族宗教问题。</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提升干部队伍综合素质，提高民族宗教法律政策宣传覆盖率，加大宣传教育力度；妥善协助解决矛盾隐患和突发事件。提高清真食品监管和服务水平</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维稳问题解决率（%）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清真食品监管服务满意度（%）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教育培训成效（人次）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＜20人次</w:t>
            </w: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249廊坊市广阳区民族宗教事务局</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9"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广阳区民</w:t>
      </w:r>
      <w:r>
        <w:rPr>
          <w:rFonts w:ascii="Times New Roman" w:hAnsi="Times New Roman" w:eastAsia="仿宋_GB2312" w:cs="Times New Roman"/>
          <w:sz w:val="32"/>
          <w:szCs w:val="32"/>
        </w:rPr>
        <w:t>族宗教事务局（含所属单位）上年末固定资产金额为</w:t>
      </w:r>
      <w:r>
        <w:rPr>
          <w:rFonts w:hint="eastAsia" w:ascii="Times New Roman" w:hAnsi="Times New Roman" w:eastAsia="仿宋_GB2312" w:cs="Times New Roman"/>
          <w:sz w:val="32"/>
          <w:szCs w:val="32"/>
        </w:rPr>
        <w:t>13.83</w:t>
      </w:r>
      <w:r>
        <w:rPr>
          <w:rFonts w:ascii="Times New Roman" w:hAnsi="Times New Roman" w:eastAsia="仿宋_GB2312" w:cs="Times New Roman"/>
          <w:sz w:val="32"/>
          <w:szCs w:val="32"/>
        </w:rPr>
        <w:t>万元，本年度我部门无拟购置固定资产。详见下表。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249</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广阳区民</w:t>
            </w:r>
            <w:r>
              <w:rPr>
                <w:rFonts w:ascii="Times New Roman" w:hAnsi="Times New Roman" w:eastAsia="仿宋_GB2312" w:cs="Times New Roman"/>
                <w:kern w:val="0"/>
                <w:sz w:val="22"/>
              </w:rPr>
              <w:t>族宗教事务局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Times New Roman" w:eastAsia="仿宋_GB2312" w:cs="Times New Roman"/>
                <w:kern w:val="0"/>
                <w:sz w:val="22"/>
              </w:rPr>
            </w:pPr>
            <w:r>
              <w:rPr>
                <w:rFonts w:hint="eastAsia" w:ascii="仿宋_GB2312"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Times New Roman" w:eastAsia="仿宋_GB2312" w:cs="Times New Roman"/>
                <w:sz w:val="22"/>
              </w:rPr>
            </w:pPr>
            <w:r>
              <w:rPr>
                <w:rFonts w:hint="eastAsia" w:ascii="仿宋_GB2312"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Times New Roman" w:eastAsia="仿宋_GB2312" w:cs="Times New Roman"/>
                <w:sz w:val="22"/>
              </w:rPr>
            </w:pPr>
            <w:r>
              <w:rPr>
                <w:rFonts w:hint="eastAsia" w:ascii="仿宋_GB2312" w:eastAsia="仿宋_GB2312" w:cs="宋体"/>
                <w:kern w:val="0"/>
                <w:sz w:val="28"/>
                <w:szCs w:val="28"/>
              </w:rPr>
              <w:t>13.83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hint="eastAsia" w:ascii="仿宋_GB2312" w:hAnsi="Times New Roman" w:eastAsia="仿宋_GB2312" w:cs="Times New Roman"/>
                <w:kern w:val="0"/>
                <w:sz w:val="22"/>
              </w:rPr>
            </w:pPr>
            <w:r>
              <w:rPr>
                <w:rFonts w:hint="eastAsia" w:ascii="仿宋_GB2312"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hint="eastAsia" w:ascii="仿宋_GB2312" w:hAnsi="Times New Roman" w:eastAsia="仿宋_GB2312" w:cs="Times New Roman"/>
                <w:kern w:val="0"/>
                <w:sz w:val="22"/>
              </w:rPr>
            </w:pPr>
            <w:r>
              <w:rPr>
                <w:rFonts w:hint="eastAsia" w:ascii="仿宋_GB2312"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hint="eastAsia" w:ascii="仿宋_GB2312" w:hAnsi="Times New Roman" w:eastAsia="仿宋_GB2312" w:cs="Times New Roman"/>
                <w:kern w:val="0"/>
                <w:sz w:val="22"/>
              </w:rPr>
            </w:pPr>
            <w:r>
              <w:rPr>
                <w:rFonts w:hint="eastAsia" w:ascii="仿宋_GB2312"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Times New Roman" w:eastAsia="仿宋_GB2312" w:cs="Times New Roman"/>
                <w:sz w:val="22"/>
              </w:rPr>
            </w:pPr>
            <w:r>
              <w:rPr>
                <w:rFonts w:hint="eastAsia" w:ascii="仿宋_GB2312"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Times New Roman" w:eastAsia="仿宋_GB2312" w:cs="Times New Roman"/>
                <w:sz w:val="22"/>
              </w:rPr>
            </w:pPr>
            <w:r>
              <w:rPr>
                <w:rFonts w:hint="eastAsia" w:ascii="仿宋_GB2312" w:hAnsi="Times New Roman" w:eastAsia="仿宋_GB2312" w:cs="Times New Roman"/>
                <w:sz w:val="22"/>
              </w:rPr>
              <w:t>10.08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Times New Roman" w:eastAsia="仿宋_GB2312" w:cs="Times New Roman"/>
                <w:kern w:val="0"/>
                <w:sz w:val="22"/>
              </w:rPr>
            </w:pPr>
            <w:r>
              <w:rPr>
                <w:rFonts w:hint="eastAsia" w:ascii="仿宋_GB2312"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hint="eastAsia" w:ascii="仿宋_GB2312" w:hAnsi="Times New Roman" w:eastAsia="仿宋_GB2312" w:cs="Times New Roman"/>
                <w:kern w:val="0"/>
                <w:sz w:val="22"/>
              </w:rPr>
            </w:pPr>
            <w:r>
              <w:rPr>
                <w:rFonts w:hint="eastAsia" w:ascii="仿宋_GB2312"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Times New Roman" w:eastAsia="仿宋_GB2312" w:cs="Times New Roman"/>
                <w:sz w:val="22"/>
              </w:rPr>
            </w:pPr>
            <w:r>
              <w:rPr>
                <w:rFonts w:hint="eastAsia" w:ascii="仿宋_GB2312" w:eastAsia="仿宋_GB2312" w:cs="宋体"/>
                <w:kern w:val="0"/>
                <w:sz w:val="28"/>
                <w:szCs w:val="28"/>
              </w:rPr>
              <w:t>3.75</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10B32"/>
    <w:rsid w:val="00037AF6"/>
    <w:rsid w:val="000410F2"/>
    <w:rsid w:val="0004565F"/>
    <w:rsid w:val="00072187"/>
    <w:rsid w:val="00075D5F"/>
    <w:rsid w:val="0008180F"/>
    <w:rsid w:val="000843C1"/>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A2C4E"/>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51590"/>
    <w:rsid w:val="00451871"/>
    <w:rsid w:val="004706DE"/>
    <w:rsid w:val="00472923"/>
    <w:rsid w:val="00486DCD"/>
    <w:rsid w:val="0049120C"/>
    <w:rsid w:val="004B0C3A"/>
    <w:rsid w:val="004C03C6"/>
    <w:rsid w:val="004C49A8"/>
    <w:rsid w:val="004C58D3"/>
    <w:rsid w:val="004D5788"/>
    <w:rsid w:val="004E3066"/>
    <w:rsid w:val="004E419C"/>
    <w:rsid w:val="004E74CD"/>
    <w:rsid w:val="00524EFD"/>
    <w:rsid w:val="00572067"/>
    <w:rsid w:val="00573562"/>
    <w:rsid w:val="00590ECE"/>
    <w:rsid w:val="005C0E90"/>
    <w:rsid w:val="005D0C27"/>
    <w:rsid w:val="005D37CA"/>
    <w:rsid w:val="005D54C8"/>
    <w:rsid w:val="005F5714"/>
    <w:rsid w:val="005F7AE1"/>
    <w:rsid w:val="00611D03"/>
    <w:rsid w:val="00614A29"/>
    <w:rsid w:val="00651BA2"/>
    <w:rsid w:val="00654FB9"/>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47CB5"/>
    <w:rsid w:val="00852B0D"/>
    <w:rsid w:val="0085425A"/>
    <w:rsid w:val="00862CE4"/>
    <w:rsid w:val="00864B7F"/>
    <w:rsid w:val="00881692"/>
    <w:rsid w:val="00882539"/>
    <w:rsid w:val="008858FF"/>
    <w:rsid w:val="008A3FE5"/>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37BBA"/>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5DD3"/>
    <w:rsid w:val="00B53F06"/>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74C2B"/>
    <w:rsid w:val="00D9307A"/>
    <w:rsid w:val="00DB4322"/>
    <w:rsid w:val="00DD1D0C"/>
    <w:rsid w:val="00DE186D"/>
    <w:rsid w:val="00E167C7"/>
    <w:rsid w:val="00E30C52"/>
    <w:rsid w:val="00E440CF"/>
    <w:rsid w:val="00E55B78"/>
    <w:rsid w:val="00E76361"/>
    <w:rsid w:val="00E84020"/>
    <w:rsid w:val="00EB7A80"/>
    <w:rsid w:val="00EC47F6"/>
    <w:rsid w:val="00EE43A3"/>
    <w:rsid w:val="00EE6D6D"/>
    <w:rsid w:val="00EF08C9"/>
    <w:rsid w:val="00EF535E"/>
    <w:rsid w:val="00F15CF0"/>
    <w:rsid w:val="00F471F7"/>
    <w:rsid w:val="00F66032"/>
    <w:rsid w:val="00F83B96"/>
    <w:rsid w:val="00F8441D"/>
    <w:rsid w:val="00F87C1E"/>
    <w:rsid w:val="00F958C2"/>
    <w:rsid w:val="00FA740E"/>
    <w:rsid w:val="00FB2086"/>
    <w:rsid w:val="00FC06C7"/>
    <w:rsid w:val="00FD5DB4"/>
    <w:rsid w:val="00FE1724"/>
    <w:rsid w:val="00FE753C"/>
    <w:rsid w:val="00FF2346"/>
    <w:rsid w:val="2AC507DF"/>
    <w:rsid w:val="3F9960AA"/>
    <w:rsid w:val="6A4276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1BB-CDEA-47ED-AE9F-E2C4E14927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823</Words>
  <Characters>4692</Characters>
  <Lines>39</Lines>
  <Paragraphs>11</Paragraphs>
  <TotalTime>200</TotalTime>
  <ScaleCrop>false</ScaleCrop>
  <LinksUpToDate>false</LinksUpToDate>
  <CharactersWithSpaces>5504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2024-01-17T09:14:23Z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78C7918A37E14EAE8F3B703210F760A2</vt:lpwstr>
  </property>
</Properties>
</file>