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宋体"/>
          <w:b/>
          <w:bCs/>
          <w:color w:val="000000"/>
          <w:kern w:val="0"/>
          <w:sz w:val="44"/>
          <w:szCs w:val="44"/>
        </w:rPr>
      </w:pPr>
      <w:bookmarkStart w:id="0" w:name="_GoBack"/>
      <w:bookmarkEnd w:id="0"/>
      <w:r>
        <w:rPr>
          <w:rFonts w:hint="eastAsia" w:ascii="黑体" w:eastAsia="黑体" w:cs="宋体"/>
          <w:b/>
          <w:bCs/>
          <w:color w:val="000000"/>
          <w:kern w:val="0"/>
          <w:sz w:val="44"/>
          <w:szCs w:val="44"/>
        </w:rPr>
        <w:t>廊坊市广阳区万庄镇人民政府2017年部门预算</w:t>
      </w:r>
      <w:r>
        <w:rPr>
          <w:rFonts w:hint="eastAsia" w:ascii="黑体" w:eastAsia="黑体"/>
          <w:sz w:val="44"/>
          <w:szCs w:val="44"/>
        </w:rPr>
        <w:t>信息</w:t>
      </w:r>
      <w:r>
        <w:rPr>
          <w:rFonts w:hint="eastAsia" w:ascii="黑体" w:eastAsia="黑体" w:cs="宋体"/>
          <w:b/>
          <w:bCs/>
          <w:color w:val="000000"/>
          <w:kern w:val="0"/>
          <w:sz w:val="44"/>
          <w:szCs w:val="44"/>
        </w:rPr>
        <w:t>公开</w:t>
      </w:r>
    </w:p>
    <w:p>
      <w:pPr>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廊坊市广阳区万庄镇人民政府</w:t>
      </w:r>
      <w:r>
        <w:rPr>
          <w:rFonts w:hint="eastAsia" w:ascii="仿宋_GB2312" w:eastAsia="仿宋_GB2312"/>
          <w:sz w:val="32"/>
          <w:szCs w:val="32"/>
        </w:rPr>
        <w:t>2017年部门预算公开如下：</w:t>
      </w:r>
    </w:p>
    <w:p>
      <w:pPr>
        <w:widowControl/>
        <w:spacing w:line="360" w:lineRule="atLeast"/>
        <w:ind w:left="647"/>
        <w:jc w:val="left"/>
        <w:rPr>
          <w:rFonts w:hint="eastAsia" w:ascii="仿宋_GB2312" w:eastAsia="仿宋_GB2312" w:cs="宋体"/>
          <w:b/>
          <w:bCs/>
          <w:color w:val="000000"/>
          <w:kern w:val="0"/>
          <w:sz w:val="32"/>
          <w:szCs w:val="32"/>
        </w:rPr>
      </w:pPr>
      <w:r>
        <w:rPr>
          <w:rFonts w:hint="eastAsia" w:ascii="黑体" w:hAnsi="黑体" w:eastAsia="黑体" w:cs="宋体"/>
          <w:b/>
          <w:bCs/>
          <w:color w:val="000000"/>
          <w:kern w:val="0"/>
          <w:sz w:val="32"/>
          <w:szCs w:val="32"/>
        </w:rPr>
        <w:t>一、</w:t>
      </w:r>
      <w:r>
        <w:rPr>
          <w:rFonts w:hint="eastAsia" w:ascii="黑体" w:eastAsia="黑体" w:cs="宋体"/>
          <w:b/>
          <w:bCs/>
          <w:color w:val="000000"/>
          <w:kern w:val="0"/>
          <w:sz w:val="32"/>
          <w:szCs w:val="32"/>
        </w:rPr>
        <w:t xml:space="preserve">部门职责及机构设置情况  </w:t>
      </w:r>
    </w:p>
    <w:p>
      <w:pPr>
        <w:widowControl/>
        <w:spacing w:line="360" w:lineRule="atLeast"/>
        <w:ind w:firstLine="643" w:firstLineChars="200"/>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rPr>
        <w:t>部门职责：</w:t>
      </w:r>
    </w:p>
    <w:p>
      <w:pPr>
        <w:widowControl/>
        <w:spacing w:line="360" w:lineRule="atLeast"/>
        <w:ind w:left="638" w:leftChars="304"/>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一、全面贯彻执行党和国家的各项方针、政策、法律、法规。</w:t>
      </w:r>
    </w:p>
    <w:p>
      <w:pPr>
        <w:widowControl/>
        <w:spacing w:line="360" w:lineRule="atLeast"/>
        <w:ind w:left="638" w:leftChars="304"/>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制订全辖区经济和社会发展计划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p>
    <w:p>
      <w:pPr>
        <w:widowControl/>
        <w:spacing w:line="360" w:lineRule="atLeast"/>
        <w:ind w:left="638" w:leftChars="304"/>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负责全辖区经济、文化、教育、科学、卫生、民政、司法、计划生育、城建建设、安全生产等行政管理和服务工作。指导、监督全辖区企业贯彻国家有关法律、法规和政策；贯彻执行上级有关教育、科技、卫生等方面的法律、法规和政策；贯彻执行有关计划生育的法律、法规和政策；贯彻执行上级有关村乡建设和国土管理等方面的政策、法律、法规；负责村乡建设和交通道路建设规划；负责全辖区交通、供水、绿化和环境综合整治工作；指导、监督、检查企业的质量管理、劳动保护、安全生产和环境保护等工作；为企业提供经济、技术、法律和信息等服务。贯彻执行上级有关社会综合治理工作的方针、政策和法律、法规。</w:t>
      </w:r>
    </w:p>
    <w:p>
      <w:pPr>
        <w:widowControl/>
        <w:spacing w:line="360" w:lineRule="atLeast"/>
        <w:ind w:left="638" w:leftChars="304"/>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四、编制办事处财政预算计划，做好经费的划拨和核算工作，并指导、协调、监督村街的财务、会计、审计、统计工作。贯彻执行国家有关财税法规和方针政策；负责抓好财源建设，编制和执行乡政府预决算计划，管理预算内外资金；负责管理和监督全辖区机关事业单位的财务活动；负责本级财务收支的监督管理，组织实施对全辖区村级财务收支、资金管理和盈余分配的监督。</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五、负责辖区居民的劳动和社会保障工作劳动和社会保障工作要突出民生为本，大力推进城乡统筹就业。要突出以保障为基础，努力扩大社会保险覆盖面。要强化制度建设，完善政策体系；强化扩面措施，扩大覆盖范围：强化基金监管，确保基金安全。</w:t>
      </w:r>
    </w:p>
    <w:p>
      <w:pPr>
        <w:widowControl/>
        <w:spacing w:line="360" w:lineRule="atLeast"/>
        <w:ind w:left="638" w:leftChars="304"/>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六、加强党的执政能力，使干部队伍素质显著提高。不断加强工委自身建设，增强工委抓农村基层组织建设的直接责任意识，形成农村基层组织建设常抓不懈的工作机制。通过党组织的战斗堡垒作用和党员的先锋模范作用，增强党在人民群众中的凝聚力和号召力。</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七、完成上级党委、政府交办的其它工作。</w:t>
      </w:r>
    </w:p>
    <w:p>
      <w:pPr>
        <w:widowControl/>
        <w:spacing w:line="360" w:lineRule="atLeast"/>
        <w:ind w:left="638" w:leftChars="304"/>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360" w:lineRule="atLeast"/>
        <w:ind w:firstLine="560" w:firstLineChars="200"/>
        <w:jc w:val="left"/>
        <w:rPr>
          <w:rFonts w:ascii="仿宋_GB2312" w:eastAsia="仿宋_GB2312" w:cs="宋体"/>
          <w:b/>
          <w:bCs/>
          <w:color w:val="000000"/>
          <w:kern w:val="0"/>
          <w:sz w:val="28"/>
          <w:szCs w:val="28"/>
        </w:rPr>
      </w:pPr>
      <w:r>
        <w:rPr>
          <w:rFonts w:hint="eastAsia" w:ascii="仿宋_GB2312" w:eastAsia="仿宋_GB2312" w:cs="宋体"/>
          <w:color w:val="000000"/>
          <w:kern w:val="0"/>
          <w:sz w:val="28"/>
          <w:szCs w:val="28"/>
        </w:rPr>
        <w:t>部门机构设置情况</w:t>
      </w:r>
    </w:p>
    <w:tbl>
      <w:tblPr>
        <w:tblStyle w:val="4"/>
        <w:tblW w:w="948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9"/>
        <w:gridCol w:w="1295"/>
        <w:gridCol w:w="1272"/>
        <w:gridCol w:w="26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25"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廊坊市广阳区万庄镇人民政府</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行政单位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正科级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廊坊市广阳区万庄镇财政所</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廊坊市广阳区万庄镇计生办</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廊坊市广阳区万庄镇农业办</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廊坊市广阳区万庄镇小学</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廊坊市广阳区万庄镇其他教育</w:t>
            </w:r>
          </w:p>
        </w:tc>
        <w:tc>
          <w:tcPr>
            <w:tcW w:w="130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66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bl>
    <w:p>
      <w:pPr>
        <w:widowControl/>
        <w:spacing w:line="360" w:lineRule="atLeast"/>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p>
    <w:p>
      <w:pPr>
        <w:widowControl/>
        <w:spacing w:line="360" w:lineRule="atLeast"/>
        <w:ind w:firstLine="645"/>
        <w:jc w:val="left"/>
        <w:rPr>
          <w:rFonts w:hint="eastAsia" w:ascii="黑体" w:eastAsia="黑体" w:cs="宋体"/>
          <w:color w:val="000000"/>
          <w:kern w:val="0"/>
          <w:sz w:val="32"/>
          <w:szCs w:val="32"/>
        </w:rPr>
      </w:pP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 xml:space="preserve">    2017年预算收入4560.40万元，其中：一般公共预算收入4560.40万元，政府性基金收入0万元。</w:t>
      </w:r>
      <w:r>
        <w:rPr>
          <w:rFonts w:hint="eastAsia" w:ascii="仿宋_GB2312" w:eastAsia="仿宋_GB2312" w:cs="宋体"/>
          <w:color w:val="000000"/>
          <w:kern w:val="0"/>
          <w:sz w:val="32"/>
          <w:szCs w:val="32"/>
        </w:rPr>
        <w:br w:type="textWrapping"/>
      </w:r>
      <w:r>
        <w:rPr>
          <w:rFonts w:hint="eastAsia" w:ascii="楷体_GB2312" w:eastAsia="楷体_GB2312" w:cs="宋体"/>
          <w:b/>
          <w:bCs/>
          <w:color w:val="000000"/>
          <w:kern w:val="0"/>
          <w:sz w:val="32"/>
          <w:szCs w:val="32"/>
        </w:rPr>
        <w:t xml:space="preserve">    2、支出说明</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 xml:space="preserve">    2017年支出预算4560.40万元，其中基本支出4560.40万元，包括人员经费和日常公用经费，项目支出0万元。</w:t>
      </w:r>
      <w:r>
        <w:rPr>
          <w:rFonts w:hint="eastAsia" w:ascii="仿宋_GB2312" w:eastAsia="仿宋_GB2312" w:cs="宋体"/>
          <w:color w:val="000000"/>
          <w:kern w:val="0"/>
          <w:sz w:val="32"/>
          <w:szCs w:val="32"/>
        </w:rPr>
        <w:br w:type="textWrapping"/>
      </w:r>
      <w:r>
        <w:rPr>
          <w:rFonts w:hint="eastAsia" w:ascii="楷体_GB2312" w:eastAsia="楷体_GB2312" w:cs="宋体"/>
          <w:b/>
          <w:bCs/>
          <w:color w:val="000000"/>
          <w:kern w:val="0"/>
          <w:sz w:val="32"/>
          <w:szCs w:val="32"/>
        </w:rPr>
        <w:t xml:space="preserve">    3、比上年增减情况</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 xml:space="preserve">    2017年预算收支安排4560.40万元，较2016年预算增加589.07万元，其中：基本支出增加589.07万元，主要为增加人员经费支出。</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 xml:space="preserve">    三、机关运行经费安排情况</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 xml:space="preserve">    2017年预算安排我部门机关运行经费174.61万元，其中办公经费24.61万元，其他业务费150万元。</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 xml:space="preserve">    四、财政拨款“三公”经费预算情况及增减变化原因</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rPr>
        <w:t>总体绩效目标：</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2017年是全面贯彻落实党的十八大和十八届三中、四中、五中全会精神、全面深化改革的关键年，是“十三五”的开局之年。万庄镇政府将在区委、区政府和镇党委的正确领导下，以邓小平理论、“三个代表”重要思想、科学发展观为指导，以宜居万庄、科技万庄、绿色万庄建设为总目标，以“解放思想、抢抓机遇、奋发作为、协同发展”大讨论活动为载体，以全面加快和深化改革、对接京津冀协同发展为主要抓手，振奋精神，扎实工作，加快推进万庄发展步伐，努力实现经济持续健康发展和社会和谐稳定，重点做好以下五个方面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一）抢抓机遇，实现经济持续增长。深入开展解放思想大讨论活动，抢抓京津冀协同发展机遇，优化招商引资环境，加强招商引资规范化管理，提高招商引资能力和水平，改善提升服务企业质量，积极承接京津转移产业。注重招商引资质量，引进实体型企业，特别是要以国寿养老公寓项目、悦榕庄度假村项目等重大项目的建设引进为驱动，努力培育新的优势产业和经济增长点。</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二）发挥优势，持续巩固农业基础。积极推广农业新技术，全面提升农业科技水平，确保粮食丰收。探索构建新型农业经营体系。强化土地流转中心职能，积极引导和规范农村土地流转，鼓励和支持本地农业种养能手适度规模经营土地。积极做好以三小营、浑酒营等村为试点的农村土地承包经营权确权登记工作。继续完善农业设施，做好镇村农田水利专项建设工作。继续做好惠农资金发放、为农信息平台建设、农产品安全监管、重大动物疫病防控、防台防汛等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三）改善民生，着力促进社会事业发展。继续加大扶贫帮困力度，对城乡困难户、农村五保户、困难老复员退伍军人、贫困散居孤儿等进行帮扶。继续巩固提高新农合、新农保制度，确保两项政策的全覆盖。推进新家庭计划开展，加强卫生人才队伍建设，提高医药卫生服务能力，促进公共卫生服务健康发展。完成国家公共文化服务体系示范区创建任务，抓好镇村文体活动广场建设等一批文化惠民工程，实施文化品牌战略，打造文化精品。加大农村特困户和贫困残疾人危房改造力度。着力优化生态环境，建设绿色宜居万庄，时刻紧抓大气污染防治，持续推进造林绿化，提高环保监管水平。</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四）联勤联动，全面提高社会管理水平。加大对无证照经营的整治力度，实现规范管理。进一步加强安全生产监管，落实日常监管、特殊时期监管和重点行业、重点领域监管。继续做好食品药品监管工作。持续发挥工会、团委、妇联等群团组织在社会管理中的作用。全面推动“平安建设”系列活动，主动出击打击镇域内违法犯罪行为。继续做好流动人口基础信息采集和管理工作，做好不稳定因素的排查工作。加强动拆迁居民和外来人员租用房屋的管理。继续落实禁毒工作、反邪教工作、社区矫正和刑释人员帮教工作以及预防和减少青少年违法犯罪工作。继续推进信访积案化解工作，严格落实领导包案和接访制度。加强村级组织参与化解矛盾的力度，充分利用村级组织基层情况熟、反应速度快、关系人员多的优势，在研处、稳控和化解矛盾中积极发挥先锋作用。健全“两队一会”和调解志愿者协会的建设工作，确保“小事不出村、大事不出镇、矛盾不上交”。</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（五）深化改革，逐步提高政府建设水平</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健全决策机制和程序，建立健全问责和纠错制度。加强和改进行政执法，加快建设法治政府。大力推进政务公开，切实提高政府的公信力。创新和改进服务管理方式，大力发展电子政务，健全部门协调配合机制，进一步理顺部门关系。加强政府绩效管理，不断提高行政效率和服务水平。大力精简会议活动，下决心改进会风文风。坚持勤俭办一切事业，严格控制“三公经费”，狠刹奢侈浪费之风。深入推进廉政风险防控管理，全面落实廉政建设责任制，加大从源头上预防和治理腐败力度。严格落实行政问责制度，加强效能监察，整治庸、懒、散、奢等不良风气。</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一、围绕区政府各时期的中心工作和重点工作，加强调查研究，及时了解、掌握经济和社会发展动态，及时反应信息情况，提出建议。</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二、负责区政府各种会议的准备工作，协助区政领导同志组织各类会议。</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三、负责区政府重要文、电的起草、审核把关和政府机关的文书处理工作；负责区政府机关的档案管理、印信管理和保密工作。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四、负责区政府工作报告、领导同志重要讲话及其他重要材料的起草、修改工作。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五、根据工作需要，负责与区委、人大、政协、纪委、中省直驻廊单位和驻廊部队的联系；协调乡镇、街办处、部门之间的关系和工作，对重要的问题提出处理意见，报区政府领导审定。</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六、督促检查区政府各部门、各乡镇人民政府、街道办事处对省政府、市政府、区政府重要文件，区政府会议决定事项及区政府领导同志重要批示的执行、落实情况，并向区政府领导同志报告。</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七、负责区政府机关值班工作，及时向区政府领导同志报告重要情况，协助领导同志组织处理突发事件、重大灾情和重大事故。</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八、负责全国、省、市、区人大代表建议、批评、意见及全国、省、市、区政协提案的办理工作。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九、负责区政府外宾、内宾接待，公务接待工作。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十、负责经济体制改革工作，负责区政府机关事务管理工作。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十一、负责全区民族宗教工作；负责全区法制工作。</w:t>
      </w:r>
    </w:p>
    <w:p>
      <w:pPr>
        <w:widowControl/>
        <w:spacing w:line="360" w:lineRule="atLeast"/>
        <w:ind w:firstLine="645"/>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十二、办理区政府领导交办的其他事项。</w:t>
      </w:r>
    </w:p>
    <w:p>
      <w:pPr>
        <w:widowControl/>
        <w:spacing w:line="360" w:lineRule="atLeast"/>
        <w:ind w:firstLine="645"/>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23"/>
        <w:gridCol w:w="705"/>
        <w:gridCol w:w="1733"/>
        <w:gridCol w:w="1733"/>
        <w:gridCol w:w="1124"/>
        <w:gridCol w:w="870"/>
        <w:gridCol w:w="1010"/>
        <w:gridCol w:w="870"/>
        <w:gridCol w:w="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55" w:hRule="atLeast"/>
          <w:tblHeader/>
          <w:tblCellSpacing w:w="0" w:type="dxa"/>
          <w:jc w:val="center"/>
        </w:trPr>
        <w:tc>
          <w:tcPr>
            <w:tcW w:w="12255" w:type="dxa"/>
            <w:gridSpan w:val="5"/>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911廊坊市广阳区万庄镇</w:t>
            </w:r>
          </w:p>
        </w:tc>
        <w:tc>
          <w:tcPr>
            <w:tcW w:w="3300"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142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331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331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157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3300"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政务服务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政务公开、镇政府、街办处会议管理、督察督办、政务联络等工作。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突出政务、加强事务、提升服务，力求重点工作出精品，难点工作求突破、基础工作有创新、常规工作见特色。以机关干部作风量化指标为依据，增强了工作综合服务实力。</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政务公开</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承担镇、街办处政务公开暨行政权力公开透明运行工作领导小组的日常工作，指导和协调全镇政务公开及政务服务中心建设、推进行政服务体系标准化建设工作。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通过完成镇、街办处政务信息公开工作的指导监督工作，使全镇政府信息公开业务队伍素质不断提高，业务水平进一步提升；政府政务信息公开范围不断扩大，公开内容得到进一步细化。</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反映全镇及街办处政务公开工作程度</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政务联络</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负责管理县政府驻外办事处工作。负责县领导、县有关部门公务活动的接待安排；</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做好区际间与本镇、街办处政务往来服务保障工作</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反映组织的与外地间的经济文化交流和信息采集活动情况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做好县际间与我县政务往来服务保障工作</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反映对镇党委镇政府、街办处安排的重大活动联络服务工作完成情况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会议管理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政府会议的准备和服务工作，协助政府领导组织会议决定事项的落实。</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做好街道及乡镇政府会议保障；严格召开的会议审批，控制会议费开支规模。</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反映纳入以街道及镇政府名义召开会议名单的会议数量占全年以街道政府名义召开会议数量的比率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督查督办</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督促检查街道各部门对政府决定事项及政府领导重要指示的执行落实情况并跟踪调研，及时向领导报告。组织承办人大代表和政协提案工作。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确保街道决定事项及街道领导重要指示得到贯彻落实。</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反映对市政府和区政府决定事项及市政府、区政府领导重要指示落实情况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基层政府值班工作，及时报告重要情况，传达和督促落实镇政府领导指示。协助镇政府领导做好需由基层政府组织处理的突发事件应急处置工作。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政府值班工作，及时报告重要情况，传达和督促落实镇政府领导指示。协助镇政府领导做好需由镇政府组织处理的突发事件应急处置工作。</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反映全镇应急平台互联互通，各种实用功能完备，上传下达情况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反映全镇突发事件是否能够得到及时发现并部署处理措施情况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残疾人综合业务管理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对持证残疾人需求情况进行调查，对残疾人状况进行动态监测，加强和规范残疾人基层组织建设，加大残疾人就业保障金的征收力度，加强残疾人工作信息化建设和基础研究</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摸清残疾人底数，增强基层服务残疾人的能力，确保残疾人就业保障金的稳定增收；构建残疾人公共服务网络化平台。</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设施设备运转保障、残疾人组织建设、工作信息化建设等项工作</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发挥专门协会桥梁纽带作用，联系广大残疾人；提高残疾人证办证率；增强基层服务残疾人的能力；保障正常运转，促进残疾人事业发展。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对残疾人情况调查的基本信息准确的人数占被抽查核实人数的比例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发挥专门协会桥梁纽带作用，联系广大残疾人；提高残疾人证办证率；增强基层服务残疾人的能力；保障正常运转，促进残疾人事业发展。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按照中国残联的要求开展活动，已开展的活动占计划活动的比例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维护妇女儿童合法权益促进妇女儿童发展</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关注并加强研究涉及妇女切身利益的热点、难点问题，及时向镇委和镇政府反映社情民意，提出对策建议。</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妇女综合素质和发展能力有较大提升。妇女儿童合法权益得到有效维护，男女平等基本国策宣传进一步深入人心。</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维权服务</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反映法律援助妇女侵权案件办理情况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反映妇女信访代理工作开展情况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反映答复妇女来电来访情况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工会事务管理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研究指导全镇工会自身建设；承担镇委、镇政府及全国总工会交办的其他事项。</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加强组织和干部队伍建设，提高干部业务素质和大型企事业单位工会领导干部水平，促进工会事业发展。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研究指导全镇工会自身改革和建设；负责工会干部管理制度和培训规划制定以及培训工作；承担镇委、镇政府及全国总工会交办的其他事项。</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切实提高工会综合事务管理水平，保障单位的正常运转</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反映保障单位正常运转情况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团委事务管理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负责团委综合业务管理。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年度工作任务圆满完成，促进共青团事业发展。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参与制定全镇的青少年事业发展规划和青少年工作方针、政策;承担镇委、镇政府和团中央交办的有关事项。</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高质量完成全镇青少年发展规划和方针政策的制定，圆满完成省委、省政府和团中央交办的各项任务。</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反映综合工作任务完成程度</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社会管理与服务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承担对社会组织的登记管理；负责镇级行政区划、行政区域界线和地名管理工作；负责镇级婚姻登记、涉外儿童收养登记和管理工作；组织指导基层政权和社区建设；推进社会工作人员队伍建设</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推进全镇社会组织健康发展，优化行政区划空间布局，提高登记质量，规范婚姻登记、收养登记业务，建立健全城镇基层群众自治组织，逐步实现社会工作者专业化、职业化。</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基层政权和社区建设</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组织指导镇镇、街道办事处和基层群众自治组织、社区干部培训；指导村（居）民委员会民主选举、民主决策、民主管理和民主监督，村（居）务公开；指导城镇社区建设及服务管理工作。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建立健全城镇基层群众自治组织，在村（居）民委员会实行“四个民主”；按照“四有一创”标准开展城市社区建设，按照农村社区建设实验全覆盖创建标准开展农村社区建设。</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村民委员会换届选举率达到或超过上届水平。</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环保政务管理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负责环境保护系统综合业务管理和机关综合事务管理。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加强环保保护管理工作。</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加强污染治理技术研究及推广、排污费征收管理及环保专项资金使用。完善环保公共服务体系，加强环保创新能力，加大重点实验室及环境监测、监察的建设力度。</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保障各项业务工作畅通</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综合业务按年度计划完成情况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住建政务管理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负责住建系统综合业务管理和机关综合事务管理。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全镇住房城镇建设人才队伍建设，提高人才业务素质，激励工作热情，提高行业水平。提升厅机关及行业信息化水平，保障机关办公网络、门户网站及各类业务系统安全稳定运行；加大信息宣传力度，创造良好舆论氛围。规范审批行为，推进政务公开，增加服务意识，提高工作效率。组织各设市城市、镇（市）上报建设行业统计数据。加强我省住房城镇建设事业对外交流。法律制度适应本行业经济社会发展需要,矛盾有效化解，政群关系和谐，促进行业健康发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推进住房和城镇建设行业信息化建设、建设系统综合管理等综合事务工作，保证行政工作高效有序运行。</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加强全省住房城镇建设人才队伍建设，提高人才业务素质，激励工作热情，提高行业水平</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综合事务按年度计划完成情况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宣传事务管理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负责系统综合业务管理和机关综合事务管理。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确保各项业务工作谋划到位、顺利开展。保障机关工作正常高效运转。</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开展宣传文化业务管理，加强政策业务宣传等。</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通过重点工作督察督办，为全镇宣传思想文化重点工作顺利开展提供保障</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选举和任免</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检查监督代表法、选举法及其实施办法的贯彻实施；承担人大换届选举及人事任免服务工作；负责对镇政府组成人员主要负责人的目标责任书、述职报告的督办工作。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换届选举及人事任免</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确保镇镇人大换届选举工作顺利完成，提高组织换届选举工作水平；高质量完成机关领导人选举和常委会人事任免服务工作；高效督办有关部门负责人的目标责任书和述职报告。</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反映实际调研次数占年计划的比率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监督检查及巡视督查</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督检查党内法规政策、国家法律法规、党风廉政建设等的执行情况；履行镇政府纠正行业不正之风办公室职能；贯彻落实镇委有关部署，开展常态化全覆盖监督；做好对巡视工作领导小组、巡视组的服务保障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加大问责力度，促进“两个责任”有效落实。</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宣传党的纪检工作方针、政策，教育纪检干部遵守和执行党章以及党内法规、党的路线方针政策和决议、国家法规等，全面提高纪检监察干部队伍素质。</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巡视监督常态化、全覆盖。</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反映巡视工作完成程度</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组织事务管理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负责做好部机关机要、文秘、信访、会议、固定资产等工作的计划安排和管理；负责机关自身建设；负责老干部综合服务和保障工作；负责新闻工作网宣与舆情监控、处置。</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做好部机关机要、文秘、信访、会议、固定资产等工作的计划安排和管理；干部、人事政策科学合理；做好老干部综合服务和保障工作；做到新闻工作网宣与舆情监控到位、处置及时。</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组织、干部工作综合研究，相关政策法规起草、制定、审核；组织、指导、协调全镇组织系统互联网宣传工作；信息、信访工作。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组织、指导、协调全镇组织系统互联网宣传工作；</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反映做好新闻网宣工作情况：每年召开组织系统新闻和网络宣传工作座谈会，建设 人以上的网宣队伍；每年举办全镇组织系统骨干网宣员培训班至少培训 名网宣员，两项工作各占50%比重，按实际完成情况计算完成率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宣传事务管理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负责系统综合业务管理和机关综合事务管理。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确保各项业务工作谋划到位、顺利开展。保障机关工作正常高效运转。</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开展宣传文化业务管理，加强政策业务宣传等。</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通过重点工作督察督办，为全镇宣传思想文化重点工作顺利开展提供保障</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政府办公室政务管理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镇政府领导和机关工作办公环境的措施，提升了服务管理水平，保障了镇领导和机关工作的正常运转。及时了解国内外形势、党和国家的方针政策以及镇委、镇政府办公室的重要部署和要求，及时为老干部提供优质高效服务。</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镇政府领导组织起草或审核上报市政府以及以镇政府办公室名义发布的公文；办理镇政府各部门和下级政府报送的文电；对镇政府部门间出现的争议问题提出处理意见；组织起草镇政府领导重要讲话及其他重要文稿；组织专题调研；承办镇政府领导交办的其他事项。</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高质量审核公文，让镇领导满意；及时办理各类文电，确保事项在第一时间得到镇领导批示意见；高质量起草的镇领导重要讲话及重要文稿。</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反映各项综合业务工作完成情况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水利科技支撑和公共服务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组织指导全镇水利事业建设的科技创新和技术示范推广，为水利事业科学发展提供公共支撑。</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研制并示范推广水利工程和管理技术，提高水利事业管理水平。</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防汛抗旱</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全镇防汛抗旱组织管理、应急调度，指导水利行业信息化建设，建设应急度汛、抗旱应急、海堤、山洪灾害防治项目，支持基层防汛抗旱组织建设，储备管理防汛抗旱物资，建设水利信息化基础设施，提高全镇抗御水旱灾害能力。</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发挥防汛抗旱减灾体系作用，最大限度地减少水旱灾害造成的人员伤亡和财产损失。</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实际完成工程数量占当年应完成工程数量的比例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水利政务管理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依法依规履行机关日常管理职责。</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依法依规履行机关日常管理职责，确保水利工作正常运行。</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协调推动、普查统计、督促指导、对外合作、行政审批、业务监管、水利立法、执法、处理水事纠纷，监督检查、人事管理、表彰奖励及其他依法行政管理活动。镇委、政府交办的其他事项等行政管理事项。</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依法依规完成工作任务，推进科学决策</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工作任务完成情况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林业生态建设</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完成国家下达和省委省政府制定的造林任务及全镇森林覆盖率考核目标。有效改善生态环境。</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造林绿化</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制定全县造林绿化的指导性计划，贯彻落实国家、省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增加有林地面积，提高全镇绿化水平和森林覆盖率，改善生态环境。</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全年造林绿化工程完成合格面积统计数据。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增加有林地面积，提高全县绿化水平和森林覆盖率，改善生态环境。</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林地面积净增加量与国土面积的比率。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退耕还林</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按照规划和国家下达的年度计划，组织实施退耕还林、荒山荒地造林及巩固退耕成果等工程，兑现政策补助资金。</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工程治理地区的生态状况得到明显改善。</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完成退耕还林任务面积与上级下达退耕还林任务面积的比率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工程治理地区的生态状况得到明显改善。</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上级下达的退耕还林政策补助资金下达我镇兑现农户情况</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扶持农产品生产</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对生产者采取直接补贴的办法，支持推广优良品种、先进适用种养技术，实施科学管理,提高农产品产量、质量，提高生产经营效益。</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提高农产品产量和产量，优化农业产业结构，提高经济效益，增加农民收入。</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实施良种补贴</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按照国家、省部署，对全县主要粮食作物和猪、牛、羊、鸡等畜产品生产实施良种补贴。</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小麦、玉米、水稻、棉花良种补贴全覆盖。畜牧、水产品种优良化率持续提高</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完成农业部分配数量的百分比</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小麦、玉米、水稻、棉花良种补贴全覆盖。畜牧、水产品种优良化率持续提高</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小麦、玉米、水稻、棉花良种补贴发放面积占当年种植面积的比例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完善农村经营管理体制</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推进农村集体产权制度改革，完善农村土地承包制度，引导农村土地合理流转。创新农业经营主体。</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规范流转行为，优化资源配置，促进农民专业合作经济组织健康发展，加快新农村建设和城镇化进程。</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促进土地流转</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建设土地流转有形市场。</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指导全镇建立运转顺畅、便捷高效的农村土地承包经营权流转服务平台，带动土地流转依法、有序开展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当年实际达到的土地流转比上年提高的水平</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土地确权登记</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根据国家要求开展农村土地承包经营确权登记试点，并逐步向全镇全面推开。</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完成全镇耕地面积50%的确权登记颁证目标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当年完成家庭承包地确权登记颁证面积数占全年计划的比例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农村经营管理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支持农民专业合作组织规范、健康发展。建立健全农村集体“三资”管理制度，盘活集体存量资产资源，拓宽集体增收渠道，促进农村集体资产保值增值。</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健全农村集体“三资”管理制度，指导农村经济组织健康、规范发展</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当年实现规范管理的村占全年计划的比例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农业政务管理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开展农业宣传，推动农业政策落实。保障农业信息网络和各项政党工作的开展</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保障各项农业工作的正常运行</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调研提出规划和政策建议，工作部署、协调推动、普查统计、督促指导、对外合作、行政审批、业务监管及</w:t>
            </w:r>
            <w:r>
              <w:rPr>
                <w:rFonts w:hint="eastAsia" w:ascii="仿宋_GB2312" w:eastAsia="仿宋_GB2312" w:cs="宋体"/>
                <w:kern w:val="0"/>
                <w:sz w:val="28"/>
                <w:szCs w:val="28"/>
                <w:lang w:eastAsia="zh-CN"/>
              </w:rPr>
              <w:t>县委、县政府</w:t>
            </w:r>
            <w:r>
              <w:rPr>
                <w:rFonts w:hint="eastAsia" w:ascii="仿宋_GB2312" w:eastAsia="仿宋_GB2312" w:cs="宋体"/>
                <w:kern w:val="0"/>
                <w:sz w:val="28"/>
                <w:szCs w:val="28"/>
              </w:rPr>
              <w:t>交办的其他事项等行政管理事项。</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依法做好行政审批和业务监管事项，完成县委、县政府并办事项</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完成交办事项占总交办事项的比例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依法做好行政审批和业务监管事项，完成镇委、镇政府并办事项</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当年办理批复的行政审批事项占全年受理数量的比例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计划生育</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提供各类计划生育技术服务，建立利益导向机制，开展出生人口性别比治理以及流动人口计划生育管理等各项工作。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稳定适度的低生育水平，有效保障计划生育家庭生活水平，提高妇女生殖健康水平，降低出生缺陷的发生，有效遏制出生人口性别比偏高问题。</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计划生育服务</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免费为农村计划怀孕夫妇实行孕前优生健康检查；免费为公民提供计划生育避孕节育基本技术服务；免费为农村已婚育龄妇女提供生殖健康检查服务。</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改善我镇农村计划怀孕夫妇健康状况，有效降低出生缺陷发生风险；为各类育龄人群提供安全、有效避孕节育技术服务；健全完善流动人口管理机制。</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进行免费孕前优生健康检查的目标人数占总目标人数比例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改善我县农村计划怀孕夫妇健康状况，有效降低出生缺陷发生风险；为各类育龄人群提供安全、有效避孕节育技术服务；健全完善流动人口管理机制。</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实施免费计划生育基本服务的镇数量占全市比例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改善我县农村计划怀孕夫妇健康状况，有效降低出生缺陷发生风险；为各类育龄人群提供安全、有效避孕节育技术服务；健全完善流动人口管理机制。</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流动人口计划生育服务管理信息反馈数量占应反馈数量的比例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计划生育奖励扶持政策</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采取奖励、扶助、社会保障等机制，引导家庭和个人打取计划生育措施，提高计划生育家庭发展能力。</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增强群众自觉实行计划生育的积极性，稳定适度的低生育水平，提高计划生育家庭发展能力，增强计划生育家庭的凝聚力及成员幸福感。</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接受奖励扶助的农村计划生育家庭数占农村计划生育家庭总数的比例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增强群众自觉实行计划生育的积极性，稳定适度的低生育水平，提高计划生育家庭发展能力，增强计划生育家庭的凝聚力及成员幸福感。</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接受特别扶助的计划生育家庭数占计划生育特殊困难家庭数的比例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计划生育群众工作</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协助政府开展群众自治、亲情关爱及幸福工程等工作，动员广大群众自觉参与和实行各项计划生育政策。</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增进广大育龄群众和计生家庭福祉，提高群众自觉实行计划生育的积极性。</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开展计划生育基层群众自治的村（居）数量占村（居）总数的比例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增进广大育龄群众和计生家庭福祉，提高群众自觉实行计划生育的积极性。</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开展失独家庭“亲情关爱”行动的乡镇数占乡镇总数的比例</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义务教育</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以农村教育为重点，推进义务教育均衡发展，建立中小学校舍安全保障机制，改善薄弱学校办学条件，促进公共教育资源向农村和经济欠发达地区倾斜。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提高义务教育公用经费保障水平，改善办学条件，均衡配置基础教育资源，缩小城镇、区域、校际之间办学差距，落实学生资助政策。</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发展城市义务教育</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免除城市区中小学生学杂费，提高公用经费保障水平，为贫困中小学生免费提供教科书，对接收进城务工农民工子女的学校进行补助。改善县属中小学办学条件。</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保障农村中小学正常运转，保证学校校舍安全，资助家庭经济困难寄宿学生，向农村义务教育学生和城市区家庭经济困难学生免费提供教科书</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农村义务教育阶段学生免费教科书发放率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保障农村中小学正常运转，保证学校校舍安全，资助家庭经济困难寄宿学生，向农村义务教育学生和城市区家庭经济困难学生免费提供教科书</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新建、改扩建和维修校舍面积</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小学入学率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初中入学率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接受进城务工随迁子女就学人数（万人）</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县镇超大班额现象基本消除，教师数量、素质、结构基本适应教学需要</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初中生均设备金额</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县镇超大班额现象基本消除，教师数量、素质、结构基本适应教学需要</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小学生均校舍面积</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改善薄弱学校办学条件</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保障义务教育阶段薄弱学校基本教学条件，改善学校生活设施，办好必要的教学点，解决镇镇学校大班额问题，推进农村学校教育信息化。</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镇镇超大班额现象基本消除，教师数量、素质、结构基本适应教学需要</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小学生均设备金额</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教师队伍建设</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主管全镇教师工作；负责全镇中小学教师资格标准的实施；统筹规划和指导学校教师及管理人员队伍建设。</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完成中小学骨干、学科教师培训，高层次、优秀人才引进计划，提高特殊群体教师待遇。</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教师培养与培训</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开展中小学骨干、学科教师等专项培训，完成中小学教师国家级培训计划。</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培训中小学骨干教师、学科教师，提高中小学教师的业务水平和教学能力。</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培训教师人数</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培训中小学骨干教师、学科教师等1万人，提高中小学教师的业务水平和教学能力。</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培训合格率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培训中小学骨干教师、学科教师等1万人，提高中小学教师的业务水平和教学能力。</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教师满意度</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提高特殊群体教师待遇</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为代课教师发放教龄补助，对边远乡村教师发放生活补助。</w:t>
            </w:r>
          </w:p>
        </w:tc>
        <w:tc>
          <w:tcPr>
            <w:tcW w:w="331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提高特殊群体教师待遇。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资金测算准确率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提高特殊群体教师待遇。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院校资金发放到位率</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教育政务管理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负责教育系统综合业务管理和机关综合事务管理。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依法行政，构建人民群众满意、勤政廉洁的政府部门；保障工作正常高效运行，相关工作顺利开展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做好教育政策制定、教育改革、教育科研、教育信息化建设等工作。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做好各项教育管理工作。</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镇教育局三定方案中所有职能职责均能顺利实施</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综合事物管理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做好会议培训组织，内部信息化建设与维护，财务和资产管理，标准化建设，基础设施维修，大型设备购置，人事、党务以及老干部管理等工作。负责直属企事业单位管理工作。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保障机关工作正常高效运转。</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机关正常运转</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一事一议财政奖补</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筹措资金支持全镇一事一议财政奖补村级公益事业建设。</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月小结上传支持农村面貌改造提升行动意见、修订后的一事一议财政奖补资金管理办法及项目管理办法、资金下达文件、资金测算分配表、向财政上报的下年度资金申请文件等资料，考评小组审核，形成考评指标执行数据。</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一事一议</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考评采用抽查法，抽取5个单位，测算分配额与实际分配数额相同，下年度资金申请文件正式印发（上报）得满分，每有1项未达到要求扣质量分值的。</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完善一事一议财政奖补政策，改善农民人居环境。</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月小结上传支持农村面貌改造提升行动意见、修订后的一事一议财政奖补资金管理办法及项目管理办法、资金下达文件、资金测算分配表、向财政上报的下年度资金申请文件等资料，考评小组审核，形成考评指标执行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机关事业单位津贴补贴提标</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配合完善机关事业单位工资制度，落实国家和省出台的分类规范改革性补贴政策。</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被考评单位提供机关事业单位津贴补贴提标申请、领导签批意见、上级批复意见、全机关事业单位提高收入统计情况等资料，考评小组审核，形成考评指标执行数据。</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津贴规范</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机关事业单位津贴补贴提标申请、领导签批意见、上级批复意见、全镇机关事业单位提高收入统计情况等资料齐全，得满分。资料每少1项，扣质量分值。</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实现津贴补贴规范有序提标，缩小不合理差距；严格执行规范津贴补贴工作纪律，及时纠正津贴补贴发放中存在的违规违纪行为。</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被考评单位提供机关事业单位津贴补贴提标申请、领导签批意见、上级批复意见、全镇机关事业单位提高收入统计情况等资料，考评小组审核，形成考评指标执行数据。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总预算会计核算与管理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做好镇级财政总预算会计核算与管理工作。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被考评单位提供拨款申请（拨款单）、对账单、等资料，考评小组审核，形成考评指标执行数据。</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会计核算</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拨付资金考评采取抽查方式，抽取10笔，按申请准确拨付资金、与人民银行（代理银行）资金账核对无误，得满分；有1笔未达要求扣质量分值。</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被考评单位提供拨款申请（拨款单）、对账单、等资料，考评小组审核，形成考评指标执行数据。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预算执行数据统计分析</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旬报、月报数据汇总、制作、报送，每月起草全镇财政预算执行分析，全镇预算执行情况通报起草及下发通报。</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审核评价。被考评单位按照序时进度或时间节点要求，通过月小结上传上报的旬月报数据、《预算执行收支分析月报》、《全镇预算执行情况通报》等资料，考评小组进行审核，形成考评指标执行数据。</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预算执行</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将月报数据报送财政；完成《预算执行收支分析》；《全镇预算执行情况通报》。按照时间节点完成得满分，每延误1项扣时间分值。</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完成《预算执行收支分析》《全镇预算执行情况通报》。</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审核评价。被考评单位按照序时进度或时间节点要求，通过月小结上传上报的旬月报数据、《预算执行收支分析月报》、《全镇预算执行情况通报》等资料，考评小组进行审核，形成考评指标执行数据。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财政决算编审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做好全镇总决算和部门决算编报工作。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审核评价。被考评单位按照序时进度或时间节点要求，通过月小结上传财政厅决算会审通知、总决算、部门决算、决算报表及公开信息、统计资料等资料，考评小组审核，形成考评指标执行数据。</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财政决算</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财政总决算、部门决算报表和分析报告经局领导审签正式上报，得满分；每有1项未完成，扣质量分值。</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被考评单位按照序时进度或时间节点要求，考评小组审核，形成考评指标执行数据。</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审核评价。被考评单位按照序时进度或时间节点要求，通过月小结上传财政厅决算会审通知、总决算、部门决算、决算报表及公开信息、统计资料等资料，考评小组审核，形成考评指标执行数据。</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电子政务管理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政府电子政务管理与服务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反映街道视频会议、电视电话会议、全街道电子政务系统的使用管理与运维情况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全街道地方志事务管理。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弘扬和传承优秀文化传统，充分发挥志书“资政、存史、教化”的综合功能，为社会各界方便快捷提供县情，为本县经济社会建设服务，为地方志工作者提供资料和工具。</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拟订全街道地方志工作规划并组织实施；搜集、保存、管理地方文献和资料；组织开发利用地方志资源；建设和维护街道地方志县情网络。</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为社会各界方便快捷提供街道情，为经济社会建设服务</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反映全街道各志编制出现差错情况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街道政务管理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综合业务管理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331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高质量审核公文，让县领导满意；及时办理各类文电，确保事项在第一时间得到街道批示意见；高质量起草的街道重要讲话及重要文稿。</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反映各项综合业务工作完成情况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bl>
    <w:p>
      <w:pPr>
        <w:widowControl/>
        <w:spacing w:line="360" w:lineRule="atLeast"/>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2017年，我部门未安排政府采购预算。</w:t>
      </w:r>
    </w:p>
    <w:p>
      <w:pPr>
        <w:widowControl/>
        <w:spacing w:line="360" w:lineRule="atLeast"/>
        <w:jc w:val="left"/>
        <w:rPr>
          <w:rFonts w:hint="eastAsia" w:ascii="仿宋_GB2312" w:eastAsia="仿宋_GB2312" w:cs="宋体"/>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p>
    <w:p>
      <w:pPr>
        <w:widowControl/>
        <w:spacing w:line="360" w:lineRule="atLeast"/>
        <w:jc w:val="center"/>
        <w:rPr>
          <w:rFonts w:ascii="仿宋_GB2312" w:eastAsia="仿宋_GB2312" w:cs="宋体"/>
          <w:color w:val="000000"/>
          <w:kern w:val="0"/>
          <w:sz w:val="32"/>
          <w:szCs w:val="32"/>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rPr>
              <w:t>廊坊市广阳区万庄镇人民政府</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1"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8"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1" w:type="pct"/>
            <w:vMerge w:val="continue"/>
            <w:shd w:val="clear" w:color="auto" w:fill="auto"/>
            <w:vAlign w:val="center"/>
          </w:tcP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10"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8"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1" w:type="pct"/>
            <w:vMerge w:val="continue"/>
            <w:shd w:val="clear" w:color="auto" w:fill="auto"/>
            <w:vAlign w:val="center"/>
          </w:tcPr>
          <w:p/>
        </w:tc>
        <w:tc>
          <w:tcPr>
            <w:tcW w:w="310" w:type="pct"/>
            <w:vMerge w:val="continue"/>
            <w:shd w:val="clear" w:color="auto" w:fill="auto"/>
            <w:vAlign w:val="center"/>
          </w:tcP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2"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5"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8"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1"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5"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p>
        </w:tc>
        <w:tc>
          <w:tcPr>
            <w:tcW w:w="368"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1"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5"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8"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1"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5" w:type="pct"/>
            <w:shd w:val="clear" w:color="auto" w:fill="auto"/>
            <w:vAlign w:val="center"/>
          </w:tcPr>
          <w:p>
            <w:pPr>
              <w:spacing w:line="300" w:lineRule="exact"/>
              <w:jc w:val="center"/>
              <w:rPr>
                <w:rFonts w:ascii="仿宋_GB2312" w:eastAsia="仿宋_GB2312" w:cs="Times New Roman"/>
                <w:sz w:val="28"/>
                <w:szCs w:val="28"/>
              </w:rPr>
            </w:pPr>
          </w:p>
        </w:tc>
      </w:tr>
    </w:tbl>
    <w:p>
      <w:pPr>
        <w:widowControl/>
        <w:spacing w:line="360" w:lineRule="atLeast"/>
        <w:rPr>
          <w:rFonts w:ascii="仿宋_GB2312" w:eastAsia="仿宋_GB2312" w:cs="宋体"/>
          <w:color w:val="000000"/>
          <w:kern w:val="0"/>
          <w:sz w:val="32"/>
          <w:szCs w:val="32"/>
        </w:rPr>
      </w:pPr>
      <w:r>
        <w:rPr>
          <w:rFonts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我部门（含所属单位）上年末固定资产金额为1061.33万元，我部门本年度无拟购置固定资产，</w:t>
      </w:r>
    </w:p>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详见下表。</w:t>
      </w:r>
    </w:p>
    <w:tbl>
      <w:tblPr>
        <w:tblStyle w:val="4"/>
        <w:tblW w:w="10773" w:type="dxa"/>
        <w:tblCellSpacing w:w="0" w:type="dxa"/>
        <w:tblInd w:w="0" w:type="dxa"/>
        <w:tblLayout w:type="autofit"/>
        <w:tblCellMar>
          <w:top w:w="0" w:type="dxa"/>
          <w:left w:w="0" w:type="dxa"/>
          <w:bottom w:w="0" w:type="dxa"/>
          <w:right w:w="0" w:type="dxa"/>
        </w:tblCellMar>
      </w:tblPr>
      <w:tblGrid>
        <w:gridCol w:w="4045"/>
        <w:gridCol w:w="2605"/>
        <w:gridCol w:w="4183"/>
      </w:tblGrid>
      <w:tr>
        <w:tblPrEx>
          <w:tblCellMar>
            <w:top w:w="0" w:type="dxa"/>
            <w:left w:w="0" w:type="dxa"/>
            <w:bottom w:w="0" w:type="dxa"/>
            <w:right w:w="0" w:type="dxa"/>
          </w:tblCellMar>
        </w:tblPrEx>
        <w:trPr>
          <w:trHeight w:val="705" w:hRule="atLeast"/>
          <w:tblCellSpacing w:w="0" w:type="dxa"/>
        </w:trPr>
        <w:tc>
          <w:tcPr>
            <w:tcW w:w="10773" w:type="dxa"/>
            <w:gridSpan w:val="3"/>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trPr>
        <w:tc>
          <w:tcPr>
            <w:tcW w:w="6610" w:type="dxa"/>
            <w:gridSpan w:val="2"/>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b/>
                <w:bCs/>
                <w:kern w:val="0"/>
                <w:sz w:val="28"/>
                <w:szCs w:val="28"/>
              </w:rPr>
              <w:t>廊坊市广阳区万庄镇人民政府</w:t>
            </w:r>
          </w:p>
        </w:tc>
        <w:tc>
          <w:tcPr>
            <w:tcW w:w="4163" w:type="dxa"/>
            <w:noWrap/>
            <w:vAlign w:val="center"/>
          </w:tcPr>
          <w:p>
            <w:pPr>
              <w:widowControl/>
              <w:jc w:val="center"/>
              <w:rPr>
                <w:rFonts w:ascii="宋体" w:hAnsi="宋体" w:eastAsia="仿宋_GB2312" w:cs="宋体"/>
                <w:kern w:val="0"/>
                <w:sz w:val="28"/>
                <w:szCs w:val="28"/>
              </w:rPr>
            </w:pPr>
            <w:r>
              <w:rPr>
                <w:rFonts w:hint="eastAsia" w:ascii="仿宋_GB2312" w:eastAsia="仿宋_GB2312" w:cs="宋体"/>
                <w:kern w:val="0"/>
                <w:sz w:val="28"/>
                <w:szCs w:val="28"/>
              </w:rPr>
              <w:t>截止时间：2016年12月31日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1061.33</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15034</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715.68</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15034</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715.68</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13</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178.27</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32"/>
                <w:szCs w:val="32"/>
              </w:rPr>
            </w:pPr>
            <w:r>
              <w:rPr>
                <w:rFonts w:hint="eastAsia" w:ascii="仿宋_GB2312" w:eastAsia="仿宋_GB2312" w:cs="宋体"/>
                <w:kern w:val="0"/>
                <w:sz w:val="32"/>
                <w:szCs w:val="32"/>
              </w:rPr>
              <w:t>4、其他固定资产</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仿宋_GB2312" w:cs="宋体"/>
                <w:kern w:val="0"/>
                <w:sz w:val="32"/>
                <w:szCs w:val="32"/>
              </w:rPr>
            </w:pPr>
            <w:r>
              <w:rPr>
                <w:rFonts w:ascii="宋体" w:hAnsi="宋体" w:eastAsia="仿宋_GB2312" w:cs="宋体"/>
                <w:kern w:val="0"/>
                <w:sz w:val="32"/>
                <w:szCs w:val="32"/>
              </w:rPr>
              <w:t> </w:t>
            </w:r>
          </w:p>
        </w:tc>
        <w:tc>
          <w:tcPr>
            <w:tcW w:w="41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32"/>
                <w:szCs w:val="32"/>
              </w:rPr>
            </w:pPr>
            <w:r>
              <w:rPr>
                <w:rFonts w:hint="eastAsia" w:ascii="仿宋_GB2312" w:eastAsia="仿宋_GB2312" w:cs="宋体"/>
                <w:kern w:val="0"/>
                <w:sz w:val="32"/>
                <w:szCs w:val="32"/>
              </w:rPr>
              <w:t>167.38</w:t>
            </w:r>
          </w:p>
        </w:tc>
      </w:tr>
    </w:tbl>
    <w:p>
      <w:pPr>
        <w:pStyle w:val="7"/>
        <w:ind w:left="643" w:hanging="643" w:hangingChars="200"/>
        <w:rPr>
          <w:rFonts w:ascii="仿宋_GB2312" w:eastAsia="仿宋_GB2312"/>
          <w:b/>
          <w:bCs/>
          <w:sz w:val="32"/>
          <w:szCs w:val="32"/>
        </w:rPr>
      </w:pP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无其它需要说明的事项。</w:t>
      </w:r>
    </w:p>
    <w:p>
      <w:pPr>
        <w:rPr>
          <w:rFonts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E"/>
    <w:rsid w:val="000F7DD3"/>
    <w:rsid w:val="00C4095E"/>
    <w:rsid w:val="00DF5BFE"/>
    <w:rsid w:val="53466E7F"/>
    <w:rsid w:val="6ACE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170</Pages>
  <Words>2665</Words>
  <Characters>15196</Characters>
  <Lines>126</Lines>
  <Paragraphs>35</Paragraphs>
  <TotalTime>11</TotalTime>
  <ScaleCrop>false</ScaleCrop>
  <LinksUpToDate>false</LinksUpToDate>
  <CharactersWithSpaces>17826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2017-10-27T09:57:00Z</dcterms:created>
  <dc:creator>lenovo</dc:creator>
  <cp:lastModifiedBy>XCK</cp:lastModifiedBy>
  <dcterms:modified xsi:type="dcterms:W3CDTF">2023-06-02T03:14:34Z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F691ABBE7C7D49D0B7F7409C912C000A</vt:lpwstr>
  </property>
</Properties>
</file>