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楷体_GB2312" w:eastAsia="楷体_GB2312"/>
          <w:sz w:val="44"/>
          <w:szCs w:val="44"/>
        </w:rPr>
      </w:pPr>
      <w:r>
        <w:rPr>
          <w:rFonts w:hint="eastAsia" w:ascii="楷体_GB2312" w:eastAsia="楷体_GB2312" w:cs="宋体"/>
          <w:b/>
          <w:bCs/>
          <w:color w:val="000000"/>
          <w:kern w:val="0"/>
          <w:sz w:val="44"/>
          <w:szCs w:val="44"/>
        </w:rPr>
        <w:t>廊坊市广阳区九州镇人民政府2017年部门预算</w:t>
      </w:r>
      <w:r>
        <w:rPr>
          <w:rFonts w:hint="eastAsia" w:ascii="楷体_GB2312" w:eastAsia="楷体_GB2312"/>
          <w:sz w:val="44"/>
          <w:szCs w:val="44"/>
        </w:rPr>
        <w:t>信息</w:t>
      </w:r>
      <w:r>
        <w:rPr>
          <w:rFonts w:hint="eastAsia" w:ascii="楷体_GB2312" w:eastAsia="楷体_GB2312" w:cs="宋体"/>
          <w:b/>
          <w:bCs/>
          <w:color w:val="000000"/>
          <w:kern w:val="0"/>
          <w:sz w:val="44"/>
          <w:szCs w:val="44"/>
        </w:rPr>
        <w:t>公开</w:t>
      </w:r>
    </w:p>
    <w:p>
      <w:pPr>
        <w:rPr>
          <w:rFonts w:ascii="仿宋_GB2312" w:eastAsia="仿宋_GB2312" w:cs="宋体"/>
          <w:b/>
          <w:bCs/>
          <w:color w:val="000000"/>
          <w:kern w:val="0"/>
          <w:sz w:val="32"/>
          <w:szCs w:val="32"/>
        </w:rPr>
      </w:pPr>
      <w:r>
        <w:rPr>
          <w:rFonts w:hint="eastAsia" w:ascii="宋体" w:hAnsi="宋体" w:eastAsia="仿宋_GB2312" w:cs="宋体"/>
          <w:color w:val="000000"/>
          <w:kern w:val="0"/>
          <w:sz w:val="32"/>
          <w:szCs w:val="32"/>
        </w:rPr>
        <w:t> </w:t>
      </w:r>
      <w:r>
        <w:rPr>
          <w:rFonts w:ascii="宋体" w:hAnsi="宋体" w:eastAsia="仿宋_GB2312" w:cs="宋体"/>
          <w:color w:val="000000"/>
          <w:kern w:val="0"/>
          <w:sz w:val="32"/>
          <w:szCs w:val="32"/>
        </w:rPr>
        <w:t xml:space="preserve">    </w:t>
      </w:r>
      <w:r>
        <w:rPr>
          <w:rFonts w:hint="eastAsia" w:ascii="仿宋_GB2312" w:eastAsia="仿宋_GB2312"/>
          <w:sz w:val="32"/>
          <w:szCs w:val="32"/>
        </w:rPr>
        <w:t>按照《</w:t>
      </w:r>
      <w:r>
        <w:rPr>
          <w:rFonts w:hint="eastAsia" w:ascii="仿宋_GB2312" w:eastAsia="仿宋_GB2312"/>
          <w:sz w:val="32"/>
          <w:szCs w:val="32"/>
          <w:lang w:eastAsia="zh-CN"/>
        </w:rPr>
        <w:t>中华人民共和国</w:t>
      </w:r>
      <w:r>
        <w:rPr>
          <w:rFonts w:hint="eastAsia" w:ascii="仿宋_GB2312" w:eastAsia="仿宋_GB2312"/>
          <w:sz w:val="32"/>
          <w:szCs w:val="32"/>
        </w:rPr>
        <w:t>预算法》、《地方预决算公开操作规程》和《河北省省级预算公开办法》规定，现将</w:t>
      </w:r>
      <w:r>
        <w:rPr>
          <w:rFonts w:hint="eastAsia" w:ascii="仿宋_GB2312" w:eastAsia="仿宋_GB2312" w:cs="宋体"/>
          <w:color w:val="000000"/>
          <w:kern w:val="0"/>
          <w:sz w:val="32"/>
          <w:szCs w:val="32"/>
        </w:rPr>
        <w:t>廊坊市广阳区九州镇人民政府</w:t>
      </w:r>
      <w:r>
        <w:rPr>
          <w:rFonts w:hint="eastAsia" w:ascii="仿宋_GB2312" w:eastAsia="仿宋_GB2312"/>
          <w:sz w:val="32"/>
          <w:szCs w:val="32"/>
        </w:rPr>
        <w:t>2017年部门预算公开如下：</w:t>
      </w:r>
    </w:p>
    <w:p>
      <w:pPr>
        <w:jc w:val="left"/>
        <w:rPr>
          <w:rFonts w:ascii="仿宋_GB2312" w:eastAsia="仿宋_GB2312" w:cs="宋体"/>
          <w:color w:val="000000"/>
          <w:kern w:val="0"/>
          <w:sz w:val="32"/>
          <w:szCs w:val="32"/>
        </w:rPr>
      </w:pPr>
      <w:r>
        <w:rPr>
          <w:rFonts w:hint="eastAsia" w:ascii="黑体" w:eastAsia="黑体" w:cs="宋体"/>
          <w:b/>
          <w:bCs/>
          <w:color w:val="000000"/>
          <w:kern w:val="0"/>
          <w:sz w:val="32"/>
          <w:szCs w:val="32"/>
        </w:rPr>
        <w:t>一、部门职责及机构设置情况</w:t>
      </w:r>
      <w:r>
        <w:rPr>
          <w:rFonts w:hint="eastAsia" w:ascii="黑体" w:eastAsia="黑体" w:cs="宋体"/>
          <w:color w:val="000000"/>
          <w:kern w:val="0"/>
          <w:sz w:val="32"/>
          <w:szCs w:val="32"/>
        </w:rPr>
        <w:br w:type="textWrapping"/>
      </w:r>
      <w:r>
        <w:rPr>
          <w:rFonts w:hint="eastAsia" w:ascii="宋体" w:hAnsi="宋体" w:eastAsia="仿宋_GB2312" w:cs="宋体"/>
          <w:b/>
          <w:bCs/>
          <w:color w:val="000000"/>
          <w:kern w:val="0"/>
          <w:sz w:val="32"/>
          <w:szCs w:val="32"/>
        </w:rPr>
        <w:t xml:space="preserve">    </w:t>
      </w:r>
      <w:r>
        <w:rPr>
          <w:rFonts w:hint="eastAsia" w:ascii="仿宋_GB2312" w:eastAsia="仿宋_GB2312" w:cs="宋体"/>
          <w:b/>
          <w:bCs/>
          <w:color w:val="000000"/>
          <w:kern w:val="0"/>
          <w:sz w:val="32"/>
          <w:szCs w:val="32"/>
        </w:rPr>
        <w:t xml:space="preserve">部门职责：  </w:t>
      </w:r>
    </w:p>
    <w:p>
      <w:pPr>
        <w:ind w:firstLine="660"/>
        <w:jc w:val="left"/>
        <w:rPr>
          <w:rFonts w:ascii="仿宋_GB2312" w:eastAsia="仿宋_GB2312" w:cs="宋体"/>
          <w:color w:val="000000"/>
          <w:kern w:val="0"/>
          <w:sz w:val="32"/>
          <w:szCs w:val="32"/>
        </w:rPr>
      </w:pPr>
      <w:r>
        <w:rPr>
          <w:rFonts w:hint="eastAsia" w:ascii="仿宋_GB2312" w:eastAsia="仿宋_GB2312" w:cs="宋体"/>
          <w:color w:val="000000"/>
          <w:kern w:val="0"/>
          <w:sz w:val="32"/>
          <w:szCs w:val="32"/>
        </w:rPr>
        <w:t>九州镇人民政府是广阳区人民政府的派出机关，受广阳区人民政府领导，依据法律、法规、规章的规定，对本镇村街服务、经济发展、社会治安、两文明建设等方面工作行使组织领导、综合协调、监督检查的职能。对镇内社会性、地区性、公益性、群众性工作负总责。具体职责是：</w:t>
      </w:r>
    </w:p>
    <w:p>
      <w:pPr>
        <w:ind w:firstLine="660"/>
        <w:jc w:val="left"/>
        <w:rPr>
          <w:rFonts w:ascii="仿宋_GB2312" w:eastAsia="仿宋_GB2312"/>
          <w:sz w:val="28"/>
          <w:szCs w:val="28"/>
        </w:rPr>
      </w:pPr>
      <w:r>
        <w:rPr>
          <w:rFonts w:hint="eastAsia" w:ascii="仿宋_GB2312" w:eastAsia="仿宋_GB2312" w:cs="宋体"/>
          <w:color w:val="000000"/>
          <w:kern w:val="0"/>
          <w:sz w:val="32"/>
          <w:szCs w:val="32"/>
        </w:rPr>
        <w:t>1、在镇委、镇政府的统一领导下，行使区人民政府赋予的权力，负责本镇的行政管理工作。</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2、宣传和执行党的路线、方针、政策和国家的法律、法规，开展多种形式的政治文明建设、物质文明、精神文明、生态文明建设活动。</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3、积极开展软环境建设和规范化服务型政府建设，推动本镇经济加快发展、科学发展，提升本镇经济实力。</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4、对本镇的经济发展、社会治安、两个文明建设等方面的工作，行使组织领导、综合协调、监督检查的职能。</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5、 负责基层组织建设，指导、帮助村街群众自治组织开展工作，推动村街民主自治。</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6、落实人口计划指标，加强流动人口的计划生育管理工作，搞好计划生育工作。</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7、</w:t>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负责本镇的环境卫生、园林绿化和生态建设等项管理工作和环境整治工作。</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8、</w:t>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加强社会治安综合治理，开展平安创建工作，维护政治稳定和社会安定。</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9、承办上级政府交办的其它工作。</w:t>
      </w:r>
      <w:r>
        <w:rPr>
          <w:rFonts w:hint="eastAsia" w:ascii="仿宋_GB2312" w:eastAsia="仿宋_GB2312" w:cs="宋体"/>
          <w:color w:val="000000"/>
          <w:kern w:val="0"/>
          <w:sz w:val="32"/>
          <w:szCs w:val="32"/>
        </w:rPr>
        <w:br w:type="textWrapping"/>
      </w:r>
      <w:r>
        <w:rPr>
          <w:rFonts w:hint="eastAsia" w:ascii="宋体" w:hAnsi="宋体" w:eastAsia="仿宋_GB2312" w:cs="宋体"/>
          <w:b/>
          <w:bCs/>
          <w:color w:val="000000"/>
          <w:kern w:val="0"/>
          <w:sz w:val="32"/>
          <w:szCs w:val="32"/>
        </w:rPr>
        <w:t xml:space="preserve">    </w:t>
      </w:r>
      <w:r>
        <w:rPr>
          <w:rFonts w:hint="eastAsia" w:ascii="仿宋_GB2312" w:eastAsia="仿宋_GB2312" w:cs="宋体"/>
          <w:b/>
          <w:bCs/>
          <w:color w:val="000000"/>
          <w:kern w:val="0"/>
          <w:sz w:val="32"/>
          <w:szCs w:val="32"/>
        </w:rPr>
        <w:t>机构设置：</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28"/>
          <w:szCs w:val="28"/>
        </w:rPr>
        <w:t xml:space="preserve">    </w:t>
      </w:r>
      <w:r>
        <w:rPr>
          <w:rFonts w:hint="eastAsia" w:ascii="仿宋_GB2312" w:eastAsia="仿宋_GB2312" w:cs="宋体"/>
          <w:color w:val="000000"/>
          <w:kern w:val="0"/>
          <w:sz w:val="28"/>
          <w:szCs w:val="28"/>
        </w:rPr>
        <w:t>部门机构设置情况</w:t>
      </w:r>
    </w:p>
    <w:tbl>
      <w:tblPr>
        <w:tblStyle w:val="4"/>
        <w:tblW w:w="9553" w:type="dxa"/>
        <w:jc w:val="center"/>
        <w:tblCellSpacing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0" w:type="dxa"/>
          <w:left w:w="0" w:type="dxa"/>
          <w:bottom w:w="0" w:type="dxa"/>
          <w:right w:w="0" w:type="dxa"/>
        </w:tblCellMar>
      </w:tblPr>
      <w:tblGrid>
        <w:gridCol w:w="4312"/>
        <w:gridCol w:w="1287"/>
        <w:gridCol w:w="1376"/>
        <w:gridCol w:w="2578"/>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656" w:hRule="atLeast"/>
          <w:tblHeader/>
          <w:tblCellSpacing w:w="0" w:type="dxa"/>
          <w:jc w:val="center"/>
        </w:trPr>
        <w:tc>
          <w:tcPr>
            <w:tcW w:w="4348" w:type="dxa"/>
            <w:tcBorders>
              <w:top w:val="outset" w:color="auto" w:sz="6" w:space="0"/>
              <w:left w:val="outset" w:color="auto" w:sz="6" w:space="0"/>
              <w:bottom w:val="outset" w:color="auto" w:sz="6" w:space="0"/>
              <w:right w:val="outset" w:color="auto" w:sz="6" w:space="0"/>
            </w:tcBorders>
            <w:vAlign w:val="center"/>
          </w:tcPr>
          <w:p>
            <w:pPr>
              <w:widowControl/>
              <w:jc w:val="center"/>
              <w:rPr>
                <w:rFonts w:ascii="仿宋_GB2312" w:eastAsia="仿宋_GB2312" w:cs="宋体"/>
                <w:b/>
                <w:bCs/>
                <w:kern w:val="0"/>
                <w:sz w:val="28"/>
                <w:szCs w:val="28"/>
              </w:rPr>
            </w:pPr>
            <w:r>
              <w:rPr>
                <w:rFonts w:hint="eastAsia" w:ascii="仿宋_GB2312" w:eastAsia="仿宋_GB2312" w:cs="宋体"/>
                <w:b/>
                <w:bCs/>
                <w:kern w:val="0"/>
                <w:sz w:val="28"/>
                <w:szCs w:val="28"/>
              </w:rPr>
              <w:t>单位名称</w:t>
            </w:r>
          </w:p>
        </w:tc>
        <w:tc>
          <w:tcPr>
            <w:tcW w:w="1296" w:type="dxa"/>
            <w:tcBorders>
              <w:top w:val="outset" w:color="auto" w:sz="6" w:space="0"/>
              <w:left w:val="outset" w:color="auto" w:sz="6" w:space="0"/>
              <w:bottom w:val="outset" w:color="auto" w:sz="6" w:space="0"/>
              <w:right w:val="outset" w:color="auto" w:sz="6" w:space="0"/>
            </w:tcBorders>
            <w:vAlign w:val="center"/>
          </w:tcPr>
          <w:p>
            <w:pPr>
              <w:widowControl/>
              <w:jc w:val="center"/>
              <w:rPr>
                <w:rFonts w:ascii="仿宋_GB2312" w:eastAsia="仿宋_GB2312" w:cs="宋体"/>
                <w:b/>
                <w:bCs/>
                <w:kern w:val="0"/>
                <w:sz w:val="28"/>
                <w:szCs w:val="28"/>
              </w:rPr>
            </w:pPr>
            <w:r>
              <w:rPr>
                <w:rFonts w:hint="eastAsia" w:ascii="仿宋_GB2312" w:eastAsia="仿宋_GB2312" w:cs="宋体"/>
                <w:b/>
                <w:bCs/>
                <w:kern w:val="0"/>
                <w:sz w:val="28"/>
                <w:szCs w:val="28"/>
              </w:rPr>
              <w:t>单位性质</w:t>
            </w:r>
          </w:p>
        </w:tc>
        <w:tc>
          <w:tcPr>
            <w:tcW w:w="1386" w:type="dxa"/>
            <w:tcBorders>
              <w:top w:val="outset" w:color="auto" w:sz="6" w:space="0"/>
              <w:left w:val="outset" w:color="auto" w:sz="6" w:space="0"/>
              <w:bottom w:val="outset" w:color="auto" w:sz="6" w:space="0"/>
              <w:right w:val="outset" w:color="auto" w:sz="6" w:space="0"/>
            </w:tcBorders>
            <w:vAlign w:val="center"/>
          </w:tcPr>
          <w:p>
            <w:pPr>
              <w:widowControl/>
              <w:jc w:val="center"/>
              <w:rPr>
                <w:rFonts w:ascii="仿宋_GB2312" w:eastAsia="仿宋_GB2312" w:cs="宋体"/>
                <w:b/>
                <w:bCs/>
                <w:kern w:val="0"/>
                <w:sz w:val="28"/>
                <w:szCs w:val="28"/>
              </w:rPr>
            </w:pPr>
            <w:r>
              <w:rPr>
                <w:rFonts w:hint="eastAsia" w:ascii="仿宋_GB2312" w:eastAsia="仿宋_GB2312" w:cs="宋体"/>
                <w:b/>
                <w:bCs/>
                <w:kern w:val="0"/>
                <w:sz w:val="28"/>
                <w:szCs w:val="28"/>
              </w:rPr>
              <w:t>单位规格</w:t>
            </w:r>
          </w:p>
        </w:tc>
        <w:tc>
          <w:tcPr>
            <w:tcW w:w="2598" w:type="dxa"/>
            <w:tcBorders>
              <w:top w:val="outset" w:color="auto" w:sz="6" w:space="0"/>
              <w:left w:val="outset" w:color="auto" w:sz="6" w:space="0"/>
              <w:bottom w:val="outset" w:color="auto" w:sz="6" w:space="0"/>
              <w:right w:val="outset" w:color="auto" w:sz="6" w:space="0"/>
            </w:tcBorders>
            <w:vAlign w:val="center"/>
          </w:tcPr>
          <w:p>
            <w:pPr>
              <w:widowControl/>
              <w:jc w:val="center"/>
              <w:rPr>
                <w:rFonts w:ascii="仿宋_GB2312" w:eastAsia="仿宋_GB2312" w:cs="宋体"/>
                <w:b/>
                <w:bCs/>
                <w:kern w:val="0"/>
                <w:sz w:val="28"/>
                <w:szCs w:val="28"/>
              </w:rPr>
            </w:pPr>
            <w:r>
              <w:rPr>
                <w:rFonts w:hint="eastAsia" w:ascii="仿宋_GB2312" w:eastAsia="仿宋_GB2312" w:cs="宋体"/>
                <w:b/>
                <w:bCs/>
                <w:kern w:val="0"/>
                <w:sz w:val="28"/>
                <w:szCs w:val="28"/>
              </w:rPr>
              <w:t>经费保障形式</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705" w:hRule="atLeast"/>
          <w:tblCellSpacing w:w="0" w:type="dxa"/>
          <w:jc w:val="center"/>
        </w:trPr>
        <w:tc>
          <w:tcPr>
            <w:tcW w:w="4348" w:type="dxa"/>
            <w:tcBorders>
              <w:top w:val="outset" w:color="auto" w:sz="6" w:space="0"/>
              <w:left w:val="outset" w:color="auto" w:sz="6" w:space="0"/>
              <w:bottom w:val="outset" w:color="auto" w:sz="6" w:space="0"/>
              <w:right w:val="outset" w:color="auto" w:sz="6" w:space="0"/>
            </w:tcBorders>
            <w:vAlign w:val="center"/>
          </w:tcPr>
          <w:p>
            <w:pPr>
              <w:widowControl/>
              <w:jc w:val="center"/>
              <w:rPr>
                <w:rFonts w:ascii="仿宋_GB2312" w:eastAsia="仿宋_GB2312" w:cs="宋体"/>
                <w:kern w:val="0"/>
                <w:sz w:val="28"/>
                <w:szCs w:val="28"/>
              </w:rPr>
            </w:pPr>
            <w:r>
              <w:rPr>
                <w:rFonts w:hint="eastAsia" w:ascii="仿宋_GB2312" w:eastAsia="仿宋_GB2312" w:cs="宋体"/>
                <w:kern w:val="0"/>
                <w:sz w:val="28"/>
                <w:szCs w:val="28"/>
              </w:rPr>
              <w:t>廊坊市广阳区九州镇人民政府</w:t>
            </w:r>
          </w:p>
        </w:tc>
        <w:tc>
          <w:tcPr>
            <w:tcW w:w="1296" w:type="dxa"/>
            <w:tcBorders>
              <w:top w:val="outset" w:color="auto" w:sz="6" w:space="0"/>
              <w:left w:val="outset" w:color="auto" w:sz="6" w:space="0"/>
              <w:bottom w:val="outset" w:color="auto" w:sz="6" w:space="0"/>
              <w:right w:val="outset" w:color="auto" w:sz="6" w:space="0"/>
            </w:tcBorders>
            <w:vAlign w:val="center"/>
          </w:tcPr>
          <w:p>
            <w:pPr>
              <w:widowControl/>
              <w:jc w:val="center"/>
              <w:rPr>
                <w:rFonts w:ascii="仿宋_GB2312" w:eastAsia="仿宋_GB2312" w:cs="宋体"/>
                <w:kern w:val="0"/>
                <w:sz w:val="28"/>
                <w:szCs w:val="28"/>
              </w:rPr>
            </w:pPr>
            <w:r>
              <w:rPr>
                <w:rFonts w:hint="eastAsia" w:ascii="仿宋_GB2312" w:eastAsia="仿宋_GB2312" w:cs="宋体"/>
                <w:kern w:val="0"/>
                <w:sz w:val="28"/>
                <w:szCs w:val="28"/>
              </w:rPr>
              <w:t>行政单位</w:t>
            </w:r>
          </w:p>
        </w:tc>
        <w:tc>
          <w:tcPr>
            <w:tcW w:w="1386" w:type="dxa"/>
            <w:tcBorders>
              <w:top w:val="outset" w:color="auto" w:sz="6" w:space="0"/>
              <w:left w:val="outset" w:color="auto" w:sz="6" w:space="0"/>
              <w:bottom w:val="outset" w:color="auto" w:sz="6" w:space="0"/>
              <w:right w:val="outset" w:color="auto" w:sz="6" w:space="0"/>
            </w:tcBorders>
            <w:vAlign w:val="center"/>
          </w:tcPr>
          <w:p>
            <w:pPr>
              <w:widowControl/>
              <w:jc w:val="center"/>
              <w:rPr>
                <w:rFonts w:ascii="仿宋_GB2312" w:eastAsia="仿宋_GB2312" w:cs="宋体"/>
                <w:kern w:val="0"/>
                <w:sz w:val="28"/>
                <w:szCs w:val="28"/>
              </w:rPr>
            </w:pPr>
            <w:r>
              <w:rPr>
                <w:rFonts w:hint="eastAsia" w:ascii="仿宋_GB2312" w:eastAsia="仿宋_GB2312" w:cs="宋体"/>
                <w:kern w:val="0"/>
                <w:sz w:val="28"/>
                <w:szCs w:val="28"/>
              </w:rPr>
              <w:t>正科级</w:t>
            </w:r>
          </w:p>
        </w:tc>
        <w:tc>
          <w:tcPr>
            <w:tcW w:w="2598" w:type="dxa"/>
            <w:tcBorders>
              <w:top w:val="outset" w:color="auto" w:sz="6" w:space="0"/>
              <w:left w:val="outset" w:color="auto" w:sz="6" w:space="0"/>
              <w:bottom w:val="outset" w:color="auto" w:sz="6" w:space="0"/>
              <w:right w:val="outset" w:color="auto" w:sz="6" w:space="0"/>
            </w:tcBorders>
            <w:vAlign w:val="center"/>
          </w:tcPr>
          <w:p>
            <w:pPr>
              <w:widowControl/>
              <w:jc w:val="center"/>
              <w:rPr>
                <w:rFonts w:ascii="仿宋_GB2312" w:eastAsia="仿宋_GB2312" w:cs="宋体"/>
                <w:kern w:val="0"/>
                <w:sz w:val="28"/>
                <w:szCs w:val="28"/>
              </w:rPr>
            </w:pPr>
            <w:r>
              <w:rPr>
                <w:rFonts w:hint="eastAsia" w:ascii="仿宋_GB2312" w:eastAsia="仿宋_GB2312" w:cs="宋体"/>
                <w:kern w:val="0"/>
                <w:sz w:val="28"/>
                <w:szCs w:val="28"/>
              </w:rPr>
              <w:t>财政拨款</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25" w:hRule="atLeast"/>
          <w:tblCellSpacing w:w="0" w:type="dxa"/>
          <w:jc w:val="center"/>
        </w:trPr>
        <w:tc>
          <w:tcPr>
            <w:tcW w:w="4348"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廊坊市广阳区九州镇财政所</w:t>
            </w:r>
          </w:p>
        </w:tc>
        <w:tc>
          <w:tcPr>
            <w:tcW w:w="1296"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事业单位</w:t>
            </w:r>
          </w:p>
        </w:tc>
        <w:tc>
          <w:tcPr>
            <w:tcW w:w="1386"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正股级</w:t>
            </w:r>
          </w:p>
        </w:tc>
        <w:tc>
          <w:tcPr>
            <w:tcW w:w="2598"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财政性资金基本保证</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25" w:hRule="atLeast"/>
          <w:tblCellSpacing w:w="0" w:type="dxa"/>
          <w:jc w:val="center"/>
        </w:trPr>
        <w:tc>
          <w:tcPr>
            <w:tcW w:w="4348"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廊坊市广阳区九州镇计生办</w:t>
            </w:r>
          </w:p>
        </w:tc>
        <w:tc>
          <w:tcPr>
            <w:tcW w:w="1296"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事业单位</w:t>
            </w:r>
          </w:p>
        </w:tc>
        <w:tc>
          <w:tcPr>
            <w:tcW w:w="1386"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正股级</w:t>
            </w:r>
          </w:p>
        </w:tc>
        <w:tc>
          <w:tcPr>
            <w:tcW w:w="2598"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财政性资金基本保证</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25" w:hRule="atLeast"/>
          <w:tblCellSpacing w:w="0" w:type="dxa"/>
          <w:jc w:val="center"/>
        </w:trPr>
        <w:tc>
          <w:tcPr>
            <w:tcW w:w="4348"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廊坊市广阳区九州镇农业办</w:t>
            </w:r>
          </w:p>
        </w:tc>
        <w:tc>
          <w:tcPr>
            <w:tcW w:w="1296"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事业单位</w:t>
            </w:r>
          </w:p>
        </w:tc>
        <w:tc>
          <w:tcPr>
            <w:tcW w:w="1386"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正股级</w:t>
            </w:r>
          </w:p>
        </w:tc>
        <w:tc>
          <w:tcPr>
            <w:tcW w:w="2598"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财政性资金基本保证</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25" w:hRule="atLeast"/>
          <w:tblCellSpacing w:w="0" w:type="dxa"/>
          <w:jc w:val="center"/>
        </w:trPr>
        <w:tc>
          <w:tcPr>
            <w:tcW w:w="4348"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廊坊市广阳区九州镇小学</w:t>
            </w:r>
          </w:p>
        </w:tc>
        <w:tc>
          <w:tcPr>
            <w:tcW w:w="1296"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事业单位</w:t>
            </w:r>
          </w:p>
        </w:tc>
        <w:tc>
          <w:tcPr>
            <w:tcW w:w="1386"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正股级</w:t>
            </w:r>
          </w:p>
        </w:tc>
        <w:tc>
          <w:tcPr>
            <w:tcW w:w="2598"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财政性资金基本保证</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25" w:hRule="atLeast"/>
          <w:tblCellSpacing w:w="0" w:type="dxa"/>
          <w:jc w:val="center"/>
        </w:trPr>
        <w:tc>
          <w:tcPr>
            <w:tcW w:w="4348"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廊坊市广阳区九州镇中学</w:t>
            </w:r>
          </w:p>
        </w:tc>
        <w:tc>
          <w:tcPr>
            <w:tcW w:w="1296"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事业单位</w:t>
            </w:r>
          </w:p>
        </w:tc>
        <w:tc>
          <w:tcPr>
            <w:tcW w:w="1386"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正股级</w:t>
            </w:r>
          </w:p>
        </w:tc>
        <w:tc>
          <w:tcPr>
            <w:tcW w:w="2598"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财政性资金基本保证</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25" w:hRule="atLeast"/>
          <w:tblCellSpacing w:w="0" w:type="dxa"/>
          <w:jc w:val="center"/>
        </w:trPr>
        <w:tc>
          <w:tcPr>
            <w:tcW w:w="4348"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廊坊市广阳区九州镇其他教育</w:t>
            </w:r>
          </w:p>
        </w:tc>
        <w:tc>
          <w:tcPr>
            <w:tcW w:w="1296"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事业单位</w:t>
            </w:r>
          </w:p>
        </w:tc>
        <w:tc>
          <w:tcPr>
            <w:tcW w:w="1386"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正股级</w:t>
            </w:r>
          </w:p>
        </w:tc>
        <w:tc>
          <w:tcPr>
            <w:tcW w:w="2598" w:type="dxa"/>
            <w:tcBorders>
              <w:top w:val="outset" w:color="auto" w:sz="6" w:space="0"/>
              <w:left w:val="outset" w:color="auto" w:sz="6" w:space="0"/>
              <w:bottom w:val="outset" w:color="auto" w:sz="6" w:space="0"/>
              <w:right w:val="outset" w:color="auto" w:sz="6" w:space="0"/>
            </w:tcBorders>
            <w:vAlign w:val="center"/>
          </w:tcPr>
          <w:p>
            <w:pPr>
              <w:widowControl/>
              <w:spacing w:line="225" w:lineRule="atLeast"/>
              <w:jc w:val="center"/>
              <w:rPr>
                <w:rFonts w:ascii="仿宋_GB2312" w:eastAsia="仿宋_GB2312" w:cs="宋体"/>
                <w:kern w:val="0"/>
                <w:sz w:val="28"/>
                <w:szCs w:val="28"/>
              </w:rPr>
            </w:pPr>
            <w:r>
              <w:rPr>
                <w:rFonts w:hint="eastAsia" w:ascii="仿宋_GB2312" w:eastAsia="仿宋_GB2312" w:cs="宋体"/>
                <w:kern w:val="0"/>
                <w:sz w:val="28"/>
                <w:szCs w:val="28"/>
              </w:rPr>
              <w:t>财政性资金基本保证</w:t>
            </w:r>
          </w:p>
        </w:tc>
      </w:tr>
    </w:tbl>
    <w:p>
      <w:pPr>
        <w:widowControl/>
        <w:spacing w:line="360" w:lineRule="atLeast"/>
        <w:jc w:val="left"/>
        <w:rPr>
          <w:rFonts w:ascii="仿宋_GB2312" w:eastAsia="仿宋_GB2312" w:cs="宋体"/>
          <w:color w:val="000000"/>
          <w:kern w:val="0"/>
          <w:sz w:val="32"/>
          <w:szCs w:val="32"/>
        </w:rPr>
      </w:pPr>
      <w:r>
        <w:rPr>
          <w:rFonts w:hint="eastAsia" w:ascii="黑体" w:eastAsia="黑体" w:cs="宋体"/>
          <w:b/>
          <w:bCs/>
          <w:color w:val="000000"/>
          <w:kern w:val="0"/>
          <w:sz w:val="32"/>
          <w:szCs w:val="32"/>
        </w:rPr>
        <w:t>二、部门预算安排的总体情况</w:t>
      </w:r>
      <w:r>
        <w:rPr>
          <w:rFonts w:hint="eastAsia" w:ascii="黑体" w:eastAsia="黑体"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按照预算管理有关规定，目前我区部门预算的编制实行综合预算制度，即全部收入和支出都反映在预算中。</w:t>
      </w:r>
      <w:r>
        <w:rPr>
          <w:rFonts w:hint="eastAsia" w:ascii="仿宋_GB2312" w:eastAsia="仿宋_GB2312" w:cs="宋体"/>
          <w:color w:val="000000"/>
          <w:kern w:val="0"/>
          <w:sz w:val="32"/>
          <w:szCs w:val="32"/>
        </w:rPr>
        <w:br w:type="textWrapping"/>
      </w:r>
      <w:r>
        <w:rPr>
          <w:rFonts w:hint="eastAsia" w:ascii="宋体" w:hAnsi="宋体" w:eastAsia="楷体_GB2312" w:cs="宋体"/>
          <w:b/>
          <w:bCs/>
          <w:color w:val="000000"/>
          <w:kern w:val="0"/>
          <w:sz w:val="32"/>
          <w:szCs w:val="32"/>
        </w:rPr>
        <w:t xml:space="preserve">    </w:t>
      </w:r>
      <w:r>
        <w:rPr>
          <w:rFonts w:hint="eastAsia" w:ascii="楷体_GB2312" w:eastAsia="楷体_GB2312" w:cs="宋体"/>
          <w:b/>
          <w:bCs/>
          <w:color w:val="000000"/>
          <w:kern w:val="0"/>
          <w:sz w:val="32"/>
          <w:szCs w:val="32"/>
        </w:rPr>
        <w:t>1、收入说明</w:t>
      </w:r>
      <w:r>
        <w:rPr>
          <w:rFonts w:hint="eastAsia" w:ascii="楷体_GB2312" w:eastAsia="楷体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2017年预算收入3987.38万元，其中：一般公共预算收入3987.38万元，政府性基金收入0万元。</w:t>
      </w:r>
    </w:p>
    <w:p>
      <w:pPr>
        <w:widowControl/>
        <w:spacing w:line="360" w:lineRule="atLeast"/>
        <w:jc w:val="left"/>
        <w:rPr>
          <w:rFonts w:ascii="仿宋_GB2312" w:eastAsia="仿宋_GB2312" w:cs="宋体"/>
          <w:color w:val="000000"/>
          <w:kern w:val="0"/>
          <w:sz w:val="32"/>
          <w:szCs w:val="32"/>
        </w:rPr>
      </w:pPr>
      <w:r>
        <w:rPr>
          <w:rFonts w:hint="eastAsia" w:ascii="宋体" w:hAnsi="宋体" w:eastAsia="楷体_GB2312" w:cs="宋体"/>
          <w:b/>
          <w:bCs/>
          <w:color w:val="000000"/>
          <w:kern w:val="0"/>
          <w:sz w:val="32"/>
          <w:szCs w:val="32"/>
        </w:rPr>
        <w:t xml:space="preserve">    </w:t>
      </w:r>
      <w:r>
        <w:rPr>
          <w:rFonts w:hint="eastAsia" w:ascii="楷体_GB2312" w:eastAsia="楷体_GB2312" w:cs="宋体"/>
          <w:b/>
          <w:bCs/>
          <w:color w:val="000000"/>
          <w:kern w:val="0"/>
          <w:sz w:val="32"/>
          <w:szCs w:val="32"/>
        </w:rPr>
        <w:t>2、支出说明</w:t>
      </w:r>
      <w:r>
        <w:rPr>
          <w:rFonts w:hint="eastAsia" w:ascii="楷体_GB2312" w:eastAsia="楷体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2017年支出预算3987.38。万元，其中基本支出3987.38万元，包括人员经费和日常公用经费，项目支出0万元。</w:t>
      </w:r>
    </w:p>
    <w:p>
      <w:pPr>
        <w:widowControl/>
        <w:spacing w:line="360" w:lineRule="atLeast"/>
        <w:jc w:val="left"/>
        <w:rPr>
          <w:rFonts w:ascii="仿宋_GB2312" w:eastAsia="仿宋_GB2312" w:cs="宋体"/>
          <w:color w:val="000000"/>
          <w:kern w:val="0"/>
          <w:sz w:val="32"/>
          <w:szCs w:val="32"/>
        </w:rPr>
      </w:pPr>
      <w:r>
        <w:rPr>
          <w:rFonts w:hint="eastAsia" w:ascii="宋体" w:hAnsi="宋体" w:eastAsia="楷体_GB2312" w:cs="宋体"/>
          <w:b/>
          <w:bCs/>
          <w:color w:val="000000"/>
          <w:kern w:val="0"/>
          <w:sz w:val="32"/>
          <w:szCs w:val="32"/>
        </w:rPr>
        <w:t xml:space="preserve">    </w:t>
      </w:r>
      <w:r>
        <w:rPr>
          <w:rFonts w:hint="eastAsia" w:ascii="楷体_GB2312" w:eastAsia="楷体_GB2312" w:cs="宋体"/>
          <w:b/>
          <w:bCs/>
          <w:color w:val="000000"/>
          <w:kern w:val="0"/>
          <w:sz w:val="32"/>
          <w:szCs w:val="32"/>
        </w:rPr>
        <w:t>3、比上年增减情况</w:t>
      </w:r>
      <w:r>
        <w:rPr>
          <w:rFonts w:hint="eastAsia" w:ascii="楷体_GB2312" w:eastAsia="楷体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2017年预算收支安排3987.38万元，较2016年预算增加515.81万元，其中：基本支出增加515.81万元，主要为增加人员经费支出。</w:t>
      </w:r>
      <w:r>
        <w:rPr>
          <w:rFonts w:hint="eastAsia" w:ascii="仿宋_GB2312" w:eastAsia="仿宋_GB2312" w:cs="宋体"/>
          <w:color w:val="000000"/>
          <w:kern w:val="0"/>
          <w:sz w:val="32"/>
          <w:szCs w:val="32"/>
        </w:rPr>
        <w:br w:type="textWrapping"/>
      </w:r>
      <w:r>
        <w:rPr>
          <w:rFonts w:hint="eastAsia" w:ascii="黑体" w:eastAsia="黑体" w:cs="宋体"/>
          <w:b/>
          <w:bCs/>
          <w:color w:val="000000"/>
          <w:kern w:val="0"/>
          <w:sz w:val="32"/>
          <w:szCs w:val="32"/>
        </w:rPr>
        <w:t>三、机关运行经费安排情况</w:t>
      </w:r>
      <w:r>
        <w:rPr>
          <w:rFonts w:hint="eastAsia" w:ascii="黑体" w:eastAsia="黑体"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2017年预算安排我部门机关运行经费77.5万元，其中办公经费22.5万元，其他业务费55万元。</w:t>
      </w:r>
      <w:r>
        <w:rPr>
          <w:rFonts w:hint="eastAsia" w:ascii="仿宋_GB2312" w:eastAsia="仿宋_GB2312" w:cs="宋体"/>
          <w:color w:val="000000"/>
          <w:kern w:val="0"/>
          <w:sz w:val="32"/>
          <w:szCs w:val="32"/>
        </w:rPr>
        <w:br w:type="textWrapping"/>
      </w:r>
      <w:r>
        <w:rPr>
          <w:rFonts w:hint="eastAsia" w:ascii="黑体" w:eastAsia="黑体" w:cs="宋体"/>
          <w:b/>
          <w:bCs/>
          <w:color w:val="000000"/>
          <w:kern w:val="0"/>
          <w:sz w:val="32"/>
          <w:szCs w:val="32"/>
        </w:rPr>
        <w:t>四、财政拨款“三公”经费预算情况及增减变化原因</w:t>
      </w:r>
      <w:r>
        <w:rPr>
          <w:rFonts w:hint="eastAsia" w:ascii="黑体" w:eastAsia="黑体"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2017年，我部门“三公”经费预算安排0万元，其中因公出国（境）费0万元；公务用车购置及运维费0万元（其中：公务用车购置费为0万元，公务用车运行费为0万元)；公务接待费0万元。与2016年持平、无增减变化。</w:t>
      </w:r>
      <w:r>
        <w:rPr>
          <w:rFonts w:hint="eastAsia" w:ascii="仿宋_GB2312" w:eastAsia="仿宋_GB2312" w:cs="宋体"/>
          <w:color w:val="000000"/>
          <w:kern w:val="0"/>
          <w:sz w:val="32"/>
          <w:szCs w:val="32"/>
        </w:rPr>
        <w:br w:type="textWrapping"/>
      </w:r>
      <w:r>
        <w:rPr>
          <w:rFonts w:hint="eastAsia" w:ascii="黑体" w:eastAsia="黑体" w:cs="宋体"/>
          <w:b/>
          <w:bCs/>
          <w:color w:val="000000"/>
          <w:kern w:val="0"/>
          <w:sz w:val="32"/>
          <w:szCs w:val="32"/>
        </w:rPr>
        <w:t>五、绩效预算信息</w:t>
      </w:r>
      <w:r>
        <w:rPr>
          <w:rFonts w:hint="eastAsia" w:ascii="黑体" w:eastAsia="黑体" w:cs="宋体"/>
          <w:color w:val="000000"/>
          <w:kern w:val="0"/>
          <w:sz w:val="32"/>
          <w:szCs w:val="32"/>
        </w:rPr>
        <w:br w:type="textWrapping"/>
      </w:r>
      <w:r>
        <w:rPr>
          <w:rFonts w:hint="eastAsia" w:ascii="宋体" w:hAnsi="宋体" w:eastAsia="仿宋_GB2312" w:cs="宋体"/>
          <w:b/>
          <w:bCs/>
          <w:color w:val="000000"/>
          <w:kern w:val="0"/>
          <w:sz w:val="32"/>
          <w:szCs w:val="32"/>
        </w:rPr>
        <w:t xml:space="preserve">    </w:t>
      </w:r>
      <w:r>
        <w:rPr>
          <w:rFonts w:hint="eastAsia" w:ascii="仿宋_GB2312" w:eastAsia="仿宋_GB2312" w:cs="宋体"/>
          <w:b/>
          <w:bCs/>
          <w:color w:val="000000"/>
          <w:kern w:val="0"/>
          <w:sz w:val="32"/>
          <w:szCs w:val="32"/>
        </w:rPr>
        <w:t>总体绩效目标：</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2017年是实施“十三五”规划的开始之年，更是镇党委、政府履职担责、推动发展、实现突破的关键年，规划并做好2017年经济社会发展的各项工作，对保持九州镇经济平稳较快发展具有十分重要意义。九州镇将以落实科学发展观指导，贯彻十八届五中全会及省市区委全会精神，继续坚持“两手抓，两手都要硬”的工作方针，按照全区“三产兴区，开发带动、城乡并进”的经济发展思路，推进三产升级，着眼于本镇经济发展的潜力和经济特色，实现本镇经济的跨越式发展。着力发展税源经济。进一步加强社区服务中心建设，立足社区、面向居民，大力发展与群众生活密切相关的餐饮、娱乐、中介、家政等社区服务型经济。加大招商引资力度。深入开展“五个一活动”即：为发展经济提供一条信息，介绍一个项目，引进一项技术，引进一名人才，引进一笔资金。做到人人有任务，个个有指标，加大招商引资力度，为全镇经济赢得新发展而努力。</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w:t>
      </w:r>
      <w:r>
        <w:rPr>
          <w:rFonts w:hint="eastAsia" w:ascii="仿宋_GB2312" w:eastAsia="仿宋_GB2312" w:cs="宋体"/>
          <w:b/>
          <w:bCs/>
          <w:color w:val="000000"/>
          <w:kern w:val="0"/>
          <w:sz w:val="32"/>
          <w:szCs w:val="32"/>
        </w:rPr>
        <w:t>职责分类绩效目标：</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廊坊市广阳区九州镇人民政府主要职责</w:t>
      </w:r>
      <w:r>
        <w:rPr>
          <w:rFonts w:hint="eastAsia" w:ascii="宋体" w:hAnsi="宋体" w:eastAsia="仿宋_GB2312" w:cs="宋体"/>
          <w:color w:val="000000"/>
          <w:kern w:val="0"/>
          <w:sz w:val="32"/>
          <w:szCs w:val="32"/>
        </w:rPr>
        <w:t> </w:t>
      </w:r>
      <w:r>
        <w:rPr>
          <w:rFonts w:hint="eastAsia" w:ascii="宋体" w:hAnsi="宋体"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九州镇人民政府是广阳区人民政府的派出机关，受广阳区人民政府领导，依据法律、法规、规章的规定，对本镇村街服务、经济发展、社会治安、两个文明建设等方面工作行使组织领导、综合协调、监督检查的职能。对镇内社会性、地区性、公益性、群众性工作负总责。具体职责是：</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1、在镇委、镇政府的统一领导下，行使区人民政府赋予的权力，负责本镇的行政管理工作。</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2、宣传和执行党的路线、方针、政策和国家的法律、法规，开展多种形式的政治文明建设、物质文明、精神文明、生态文明建设活动。</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3、积极开展软环境建设和规范化服务型政府建设，推动本镇经济加快发展、科学发展，提升本镇经济实力。</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4、对本镇的经济发展、社会治安、两个文明建设等方面的工作，行使组织领导、综合协调、监督检查的职能。</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5、负责基层组织建设，指导、帮助村街群众自治组织开展工作，推动村街民主自治。</w:t>
      </w:r>
      <w:r>
        <w:rPr>
          <w:rFonts w:hint="eastAsia" w:ascii="宋体" w:hAnsi="宋体" w:eastAsia="仿宋_GB2312" w:cs="宋体"/>
          <w:color w:val="000000"/>
          <w:kern w:val="0"/>
          <w:sz w:val="32"/>
          <w:szCs w:val="32"/>
        </w:rPr>
        <w:t>  </w:t>
      </w:r>
      <w:r>
        <w:rPr>
          <w:rFonts w:hint="eastAsia" w:ascii="宋体" w:hAnsi="宋体"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6、落实人口计划指标，加强流动人口的计划生育管理工作，搞好计划生育工作。</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7、负责本镇的环境卫生、园林绿化和生态建设等项管理工作和环境整治工作。</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8、加强社会治安综合治理，开展平安创建工作，维护政治稳定和社会安定。</w:t>
      </w:r>
      <w:r>
        <w:rPr>
          <w:rFonts w:hint="eastAsia" w:ascii="仿宋_GB2312" w:eastAsia="仿宋_GB2312" w:cs="宋体"/>
          <w:color w:val="000000"/>
          <w:kern w:val="0"/>
          <w:sz w:val="32"/>
          <w:szCs w:val="32"/>
        </w:rPr>
        <w:br w:type="textWrapping"/>
      </w:r>
      <w:r>
        <w:rPr>
          <w:rFonts w:hint="eastAsia" w:ascii="宋体" w:hAnsi="宋体" w:eastAsia="仿宋_GB2312" w:cs="宋体"/>
          <w:color w:val="000000"/>
          <w:kern w:val="0"/>
          <w:sz w:val="32"/>
          <w:szCs w:val="32"/>
        </w:rPr>
        <w:t>    </w:t>
      </w:r>
      <w:r>
        <w:rPr>
          <w:rFonts w:hint="eastAsia" w:ascii="仿宋_GB2312" w:eastAsia="仿宋_GB2312" w:cs="宋体"/>
          <w:color w:val="000000"/>
          <w:kern w:val="0"/>
          <w:sz w:val="32"/>
          <w:szCs w:val="32"/>
        </w:rPr>
        <w:t>9、承办上级政府交办的其它工作</w:t>
      </w:r>
      <w:r>
        <w:rPr>
          <w:rFonts w:hint="eastAsia" w:ascii="仿宋_GB2312" w:eastAsia="仿宋_GB2312" w:cs="宋体"/>
          <w:color w:val="000000"/>
          <w:kern w:val="0"/>
          <w:sz w:val="32"/>
          <w:szCs w:val="32"/>
        </w:rPr>
        <w:br w:type="textWrapping"/>
      </w:r>
      <w:r>
        <w:rPr>
          <w:rFonts w:hint="eastAsia" w:ascii="仿宋_GB2312" w:eastAsia="仿宋_GB2312" w:cs="宋体"/>
          <w:color w:val="000000"/>
          <w:kern w:val="0"/>
          <w:sz w:val="32"/>
          <w:szCs w:val="32"/>
        </w:rPr>
        <w:t>部门职责-工作活动绩效目标</w:t>
      </w:r>
    </w:p>
    <w:tbl>
      <w:tblPr>
        <w:tblStyle w:val="4"/>
        <w:tblW w:w="9750" w:type="dxa"/>
        <w:jc w:val="center"/>
        <w:tblCellSpacing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0" w:type="dxa"/>
          <w:left w:w="0" w:type="dxa"/>
          <w:bottom w:w="0" w:type="dxa"/>
          <w:right w:w="0" w:type="dxa"/>
        </w:tblCellMar>
      </w:tblPr>
      <w:tblGrid>
        <w:gridCol w:w="1123"/>
        <w:gridCol w:w="705"/>
        <w:gridCol w:w="1733"/>
        <w:gridCol w:w="1733"/>
        <w:gridCol w:w="1124"/>
        <w:gridCol w:w="870"/>
        <w:gridCol w:w="1010"/>
        <w:gridCol w:w="870"/>
        <w:gridCol w:w="58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Header/>
          <w:tblCellSpacing w:w="0" w:type="dxa"/>
          <w:jc w:val="center"/>
        </w:trPr>
        <w:tc>
          <w:tcPr>
            <w:tcW w:w="12255" w:type="dxa"/>
            <w:gridSpan w:val="5"/>
            <w:vAlign w:val="center"/>
          </w:tcPr>
          <w:p>
            <w:pPr>
              <w:widowControl/>
              <w:jc w:val="center"/>
              <w:rPr>
                <w:rFonts w:ascii="仿宋_GB2312" w:eastAsia="仿宋_GB2312" w:cs="宋体"/>
                <w:b/>
                <w:bCs/>
                <w:kern w:val="0"/>
                <w:sz w:val="28"/>
                <w:szCs w:val="28"/>
              </w:rPr>
            </w:pPr>
            <w:r>
              <w:rPr>
                <w:rFonts w:hint="eastAsia" w:ascii="仿宋_GB2312" w:eastAsia="仿宋_GB2312" w:cs="宋体"/>
                <w:b/>
                <w:bCs/>
                <w:kern w:val="0"/>
                <w:sz w:val="28"/>
                <w:szCs w:val="28"/>
              </w:rPr>
              <w:t>912廊坊市广阳区九州镇</w:t>
            </w:r>
          </w:p>
        </w:tc>
        <w:tc>
          <w:tcPr>
            <w:tcW w:w="3300" w:type="dxa"/>
            <w:gridSpan w:val="4"/>
            <w:vAlign w:val="center"/>
          </w:tcPr>
          <w:p>
            <w:pPr>
              <w:widowControl/>
              <w:jc w:val="center"/>
              <w:rPr>
                <w:rFonts w:ascii="仿宋_GB2312" w:eastAsia="仿宋_GB2312" w:cs="宋体"/>
                <w:b/>
                <w:bCs/>
                <w:kern w:val="0"/>
                <w:sz w:val="28"/>
                <w:szCs w:val="28"/>
              </w:rPr>
            </w:pPr>
            <w:r>
              <w:rPr>
                <w:rFonts w:hint="eastAsia" w:ascii="仿宋_GB2312" w:eastAsia="仿宋_GB2312" w:cs="宋体"/>
                <w:b/>
                <w:bCs/>
                <w:kern w:val="0"/>
                <w:sz w:val="28"/>
                <w:szCs w:val="28"/>
              </w:rPr>
              <w:t>单位：万元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Header/>
          <w:tblCellSpacing w:w="0" w:type="dxa"/>
          <w:jc w:val="center"/>
        </w:trPr>
        <w:tc>
          <w:tcPr>
            <w:tcW w:w="2610" w:type="dxa"/>
            <w:vMerge w:val="restart"/>
            <w:tcBorders>
              <w:bottom w:val="outset" w:color="auto" w:sz="6" w:space="0"/>
            </w:tcBorders>
            <w:vAlign w:val="center"/>
          </w:tcPr>
          <w:p>
            <w:pPr>
              <w:widowControl/>
              <w:jc w:val="center"/>
              <w:rPr>
                <w:rFonts w:ascii="仿宋_GB2312" w:eastAsia="仿宋_GB2312" w:cs="宋体"/>
                <w:b/>
                <w:bCs/>
                <w:kern w:val="0"/>
                <w:sz w:val="28"/>
                <w:szCs w:val="28"/>
              </w:rPr>
            </w:pPr>
            <w:r>
              <w:rPr>
                <w:rFonts w:hint="eastAsia" w:ascii="仿宋_GB2312" w:eastAsia="仿宋_GB2312" w:cs="宋体"/>
                <w:b/>
                <w:bCs/>
                <w:kern w:val="0"/>
                <w:sz w:val="28"/>
                <w:szCs w:val="28"/>
              </w:rPr>
              <w:t>职责活动</w:t>
            </w:r>
          </w:p>
        </w:tc>
        <w:tc>
          <w:tcPr>
            <w:tcW w:w="1425" w:type="dxa"/>
            <w:vMerge w:val="restart"/>
            <w:tcBorders>
              <w:bottom w:val="outset" w:color="auto" w:sz="6" w:space="0"/>
            </w:tcBorders>
            <w:vAlign w:val="center"/>
          </w:tcPr>
          <w:p>
            <w:pPr>
              <w:widowControl/>
              <w:jc w:val="center"/>
              <w:rPr>
                <w:rFonts w:ascii="仿宋_GB2312" w:eastAsia="仿宋_GB2312" w:cs="宋体"/>
                <w:b/>
                <w:bCs/>
                <w:kern w:val="0"/>
                <w:sz w:val="28"/>
                <w:szCs w:val="28"/>
              </w:rPr>
            </w:pPr>
            <w:r>
              <w:rPr>
                <w:rFonts w:hint="eastAsia" w:ascii="仿宋_GB2312" w:eastAsia="仿宋_GB2312" w:cs="宋体"/>
                <w:b/>
                <w:bCs/>
                <w:kern w:val="0"/>
                <w:sz w:val="28"/>
                <w:szCs w:val="28"/>
              </w:rPr>
              <w:t>年度预算数</w:t>
            </w:r>
          </w:p>
        </w:tc>
        <w:tc>
          <w:tcPr>
            <w:tcW w:w="3315" w:type="dxa"/>
            <w:vMerge w:val="restart"/>
            <w:tcBorders>
              <w:bottom w:val="outset" w:color="auto" w:sz="6" w:space="0"/>
            </w:tcBorders>
            <w:vAlign w:val="center"/>
          </w:tcPr>
          <w:p>
            <w:pPr>
              <w:widowControl/>
              <w:jc w:val="center"/>
              <w:rPr>
                <w:rFonts w:ascii="仿宋_GB2312" w:eastAsia="仿宋_GB2312" w:cs="宋体"/>
                <w:b/>
                <w:bCs/>
                <w:kern w:val="0"/>
                <w:sz w:val="28"/>
                <w:szCs w:val="28"/>
              </w:rPr>
            </w:pPr>
            <w:r>
              <w:rPr>
                <w:rFonts w:hint="eastAsia" w:ascii="仿宋_GB2312" w:eastAsia="仿宋_GB2312" w:cs="宋体"/>
                <w:b/>
                <w:bCs/>
                <w:kern w:val="0"/>
                <w:sz w:val="28"/>
                <w:szCs w:val="28"/>
              </w:rPr>
              <w:t>内容描述</w:t>
            </w:r>
          </w:p>
        </w:tc>
        <w:tc>
          <w:tcPr>
            <w:tcW w:w="3315" w:type="dxa"/>
            <w:vMerge w:val="restart"/>
            <w:tcBorders>
              <w:bottom w:val="outset" w:color="auto" w:sz="6" w:space="0"/>
            </w:tcBorders>
            <w:vAlign w:val="center"/>
          </w:tcPr>
          <w:p>
            <w:pPr>
              <w:widowControl/>
              <w:jc w:val="center"/>
              <w:rPr>
                <w:rFonts w:ascii="仿宋_GB2312" w:eastAsia="仿宋_GB2312" w:cs="宋体"/>
                <w:b/>
                <w:bCs/>
                <w:kern w:val="0"/>
                <w:sz w:val="28"/>
                <w:szCs w:val="28"/>
              </w:rPr>
            </w:pPr>
            <w:r>
              <w:rPr>
                <w:rFonts w:hint="eastAsia" w:ascii="仿宋_GB2312" w:eastAsia="仿宋_GB2312" w:cs="宋体"/>
                <w:b/>
                <w:bCs/>
                <w:kern w:val="0"/>
                <w:sz w:val="28"/>
                <w:szCs w:val="28"/>
              </w:rPr>
              <w:t>绩效目标</w:t>
            </w:r>
          </w:p>
        </w:tc>
        <w:tc>
          <w:tcPr>
            <w:tcW w:w="1575" w:type="dxa"/>
            <w:vMerge w:val="restart"/>
            <w:tcBorders>
              <w:bottom w:val="outset" w:color="auto" w:sz="6" w:space="0"/>
            </w:tcBorders>
            <w:vAlign w:val="center"/>
          </w:tcPr>
          <w:p>
            <w:pPr>
              <w:widowControl/>
              <w:jc w:val="center"/>
              <w:rPr>
                <w:rFonts w:ascii="仿宋_GB2312" w:eastAsia="仿宋_GB2312" w:cs="宋体"/>
                <w:b/>
                <w:bCs/>
                <w:kern w:val="0"/>
                <w:sz w:val="28"/>
                <w:szCs w:val="28"/>
              </w:rPr>
            </w:pPr>
            <w:r>
              <w:rPr>
                <w:rFonts w:hint="eastAsia" w:ascii="仿宋_GB2312" w:eastAsia="仿宋_GB2312" w:cs="宋体"/>
                <w:b/>
                <w:bCs/>
                <w:kern w:val="0"/>
                <w:sz w:val="28"/>
                <w:szCs w:val="28"/>
              </w:rPr>
              <w:t>绩效指标</w:t>
            </w:r>
          </w:p>
        </w:tc>
        <w:tc>
          <w:tcPr>
            <w:tcW w:w="3300" w:type="dxa"/>
            <w:gridSpan w:val="4"/>
            <w:vAlign w:val="center"/>
          </w:tcPr>
          <w:p>
            <w:pPr>
              <w:widowControl/>
              <w:jc w:val="center"/>
              <w:rPr>
                <w:rFonts w:ascii="仿宋_GB2312" w:eastAsia="仿宋_GB2312" w:cs="宋体"/>
                <w:b/>
                <w:bCs/>
                <w:kern w:val="0"/>
                <w:sz w:val="28"/>
                <w:szCs w:val="28"/>
              </w:rPr>
            </w:pPr>
            <w:r>
              <w:rPr>
                <w:rFonts w:hint="eastAsia" w:ascii="仿宋_GB2312" w:eastAsia="仿宋_GB2312" w:cs="宋体"/>
                <w:b/>
                <w:bCs/>
                <w:kern w:val="0"/>
                <w:sz w:val="28"/>
                <w:szCs w:val="28"/>
              </w:rPr>
              <w:t>评价标准</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Header/>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825" w:type="dxa"/>
            <w:vAlign w:val="center"/>
          </w:tcPr>
          <w:p>
            <w:pPr>
              <w:widowControl/>
              <w:jc w:val="center"/>
              <w:rPr>
                <w:rFonts w:ascii="仿宋_GB2312" w:eastAsia="仿宋_GB2312" w:cs="宋体"/>
                <w:b/>
                <w:bCs/>
                <w:kern w:val="0"/>
                <w:sz w:val="28"/>
                <w:szCs w:val="28"/>
              </w:rPr>
            </w:pPr>
            <w:r>
              <w:rPr>
                <w:rFonts w:hint="eastAsia" w:ascii="仿宋_GB2312" w:eastAsia="仿宋_GB2312" w:cs="宋体"/>
                <w:b/>
                <w:bCs/>
                <w:kern w:val="0"/>
                <w:sz w:val="28"/>
                <w:szCs w:val="28"/>
              </w:rPr>
              <w:t>优</w:t>
            </w:r>
          </w:p>
        </w:tc>
        <w:tc>
          <w:tcPr>
            <w:tcW w:w="825" w:type="dxa"/>
            <w:vAlign w:val="center"/>
          </w:tcPr>
          <w:p>
            <w:pPr>
              <w:widowControl/>
              <w:jc w:val="center"/>
              <w:rPr>
                <w:rFonts w:ascii="仿宋_GB2312" w:eastAsia="仿宋_GB2312" w:cs="宋体"/>
                <w:b/>
                <w:bCs/>
                <w:kern w:val="0"/>
                <w:sz w:val="28"/>
                <w:szCs w:val="28"/>
              </w:rPr>
            </w:pPr>
            <w:r>
              <w:rPr>
                <w:rFonts w:hint="eastAsia" w:ascii="仿宋_GB2312" w:eastAsia="仿宋_GB2312" w:cs="宋体"/>
                <w:b/>
                <w:bCs/>
                <w:kern w:val="0"/>
                <w:sz w:val="28"/>
                <w:szCs w:val="28"/>
              </w:rPr>
              <w:t>良</w:t>
            </w:r>
          </w:p>
        </w:tc>
        <w:tc>
          <w:tcPr>
            <w:tcW w:w="825" w:type="dxa"/>
            <w:vAlign w:val="center"/>
          </w:tcPr>
          <w:p>
            <w:pPr>
              <w:widowControl/>
              <w:jc w:val="center"/>
              <w:rPr>
                <w:rFonts w:ascii="仿宋_GB2312" w:eastAsia="仿宋_GB2312" w:cs="宋体"/>
                <w:b/>
                <w:bCs/>
                <w:kern w:val="0"/>
                <w:sz w:val="28"/>
                <w:szCs w:val="28"/>
              </w:rPr>
            </w:pPr>
            <w:r>
              <w:rPr>
                <w:rFonts w:hint="eastAsia" w:ascii="仿宋_GB2312" w:eastAsia="仿宋_GB2312" w:cs="宋体"/>
                <w:b/>
                <w:bCs/>
                <w:kern w:val="0"/>
                <w:sz w:val="28"/>
                <w:szCs w:val="28"/>
              </w:rPr>
              <w:t>中</w:t>
            </w:r>
          </w:p>
        </w:tc>
        <w:tc>
          <w:tcPr>
            <w:tcW w:w="825" w:type="dxa"/>
            <w:vAlign w:val="center"/>
          </w:tcPr>
          <w:p>
            <w:pPr>
              <w:widowControl/>
              <w:jc w:val="center"/>
              <w:rPr>
                <w:rFonts w:ascii="仿宋_GB2312" w:eastAsia="仿宋_GB2312" w:cs="宋体"/>
                <w:b/>
                <w:bCs/>
                <w:kern w:val="0"/>
                <w:sz w:val="28"/>
                <w:szCs w:val="28"/>
              </w:rPr>
            </w:pPr>
            <w:r>
              <w:rPr>
                <w:rFonts w:hint="eastAsia" w:ascii="仿宋_GB2312" w:eastAsia="仿宋_GB2312" w:cs="宋体"/>
                <w:b/>
                <w:bCs/>
                <w:kern w:val="0"/>
                <w:sz w:val="28"/>
                <w:szCs w:val="28"/>
              </w:rPr>
              <w:t>差</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政务服务</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政务公开、镇政府、街办处会议管理、督察督办、政务联络等工作。</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突出政务、加强事务、提升服务，力求重点工作出精品，难点工作求突破、基础工作有创新、常规工作见特色。以机关干部作风量化指标为依据，增强了工作综合服务实力。</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政务公开</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承担镇、街办处政务公开暨行政权力公开透明运行工作领导小组的日常工作，指导和协调全镇政</w:t>
            </w:r>
            <w:bookmarkStart w:id="0" w:name="_GoBack"/>
            <w:bookmarkEnd w:id="0"/>
            <w:r>
              <w:rPr>
                <w:rFonts w:hint="eastAsia" w:ascii="仿宋_GB2312" w:eastAsia="仿宋_GB2312" w:cs="宋体"/>
                <w:kern w:val="0"/>
                <w:sz w:val="28"/>
                <w:szCs w:val="28"/>
              </w:rPr>
              <w:t>务公开及政务服务中心建设、推进行政服务体系标准化建设工作。</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通过完成镇、街办处政务信息公开工作的指导监督工作，使全镇政府信息公开业务队伍素质不断提高，业务水平进一步提升；政府政务信息公开范围不断扩大，公开内容得到进一步细化。</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反映全镇及街办处政务公开工作程度</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80-100%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60-80%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政务联络</w:t>
            </w:r>
          </w:p>
        </w:tc>
        <w:tc>
          <w:tcPr>
            <w:tcW w:w="142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负责管理县政府驻外办事处工作。负责县领导、县有关部门公务活动的接待安排；</w:t>
            </w:r>
          </w:p>
        </w:tc>
        <w:tc>
          <w:tcPr>
            <w:tcW w:w="331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做好区际间与本镇、街办处政务往来服务保障工作</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反映组织的与外地间的经济文化交流和信息采集活动情况</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做好县际间与我县政务往来服务保障工作</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反映对镇党委镇政府、街办处安排的重大活动联络服务工作完成情况</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80-100%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60-80%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会议管理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政府会议的准备和服务工作，协助政府领导组织会议决定事项的落实。</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做好街道及乡镇政府会议保障；严格召开的会议审批，控制会议费开支规模。</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反映纳入以街道及镇政府名义召开会议名单的会议数量占全年以街道政府名义召开会议数量的比率</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80-100%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60-80%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督查督办</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督促检查街道各部门对政府决定事项及政府领导重要指示的执行落实情况并跟踪调研，及时向领导报告。组织承办人大代表和政协提案工作。</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确保街道决定事项及街道领导重要指示得到贯彻落实。</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反映对市政府和区政府决定事项及市政府、区政府领导重要指示落实情况</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80-100%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60-80%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应急管理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基层政府值班工作，及时报告重要情况，传达和督促落实镇政府领导指示。协助镇政府领导做好需由基层政府组织处理的突发事件应急处置工作。</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建设运行维护好镇政府应急平台，实现各种实用功能，有效保证镇政府日常应急值守和突发事件应对处置工作；进一步加强应急宣传培训工作，拓宽宣教渠道、扩大受众面、增强工作实效；进一步完善应急预案体系建设，认真编制、严格审核应急预案，确保预案内容科学合理，有效组织实施；进一步加强应急演练工作，提升演练效果，确保遇突发事件能够有效应对；充分发挥专家组的决策咨询和技术指导作用，为突发事件应对处置工作提供更大帮助；做好指导、协调各镇镇、各部门应急工作，确保信息报送及时畅通，不出差错和问题。</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应急管理</w:t>
            </w:r>
          </w:p>
        </w:tc>
        <w:tc>
          <w:tcPr>
            <w:tcW w:w="142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政府值班工作，及时报告重要情况，传达和督促落实镇政府领导指示。协助镇政府领导做好需由镇政府组织处理的突发事件应急处置工作。</w:t>
            </w:r>
          </w:p>
        </w:tc>
        <w:tc>
          <w:tcPr>
            <w:tcW w:w="331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维护好本地政府应急平台，确保全镇、街办处应急工作顺利完成；各类突发事件得到及时妥善处置</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反映全镇应急平台互联互通，各种实用功能完备，上传下达情况</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80-100%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60-80%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维护好本地政府应急平台，确保全镇、街办处应急工作顺利完成；各类突发事件得到及时妥善处置</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反映全镇突发事件是否能够得到及时发现并部署处理措施情况</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80-100%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60-80%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残疾人综合业务管理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对持证残疾人需求情况进行调查，对残疾人状况进行动态监测，加强和规范残疾人基层组织建设，加大残疾人就业保障金的征收力度，加强残疾人工作信息化建设和基础研究</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摸清残疾人底数，增强基层服务残疾人的能力，确保残疾人就业保障金的稳定增收；构建残疾人公共服务网络化平台。</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综合业务管理</w:t>
            </w:r>
          </w:p>
        </w:tc>
        <w:tc>
          <w:tcPr>
            <w:tcW w:w="142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设施设备运转保障、残疾人组织建设、工作信息化建设等项工作</w:t>
            </w:r>
          </w:p>
        </w:tc>
        <w:tc>
          <w:tcPr>
            <w:tcW w:w="331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发挥专门协会桥梁纽带作用，联系广大残疾人；提高残疾人证办证率；增强基层服务残疾人的能力；保障正常运转，促进残疾人事业发展。</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对残疾人情况调查的基本信息准确的人数占被抽查核实人数的比例</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发挥专门协会桥梁纽带作用，联系广大残疾人；提高残疾人证办证率；增强基层服务残疾人的能力；保障正常运转，促进残疾人事业发展。</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按照中国残联的要求开展活动，已开展的活动占计划活动的比例</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维护妇女儿童合法权益促进妇女儿童发展</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关注并加强研究涉及妇女切身利益的热点、难点问题，及时向镇委和镇政府反映社情民意，提出对策建议。</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妇女综合素质和发展能力有较大提升。妇女儿童合法权益得到有效维护，男女平等基本国策宣传进一步深入人心。</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维权服务</w:t>
            </w:r>
          </w:p>
        </w:tc>
        <w:tc>
          <w:tcPr>
            <w:tcW w:w="142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关注并加强研究涉及妇女切身利益的热点、难点问题，及时向县委和县政府反映社情民意，提出对策建议；参与有关妇女儿童政策和法律、法规草案的拟定，从源头上强化维护妇女儿童合法权益工作。</w:t>
            </w:r>
          </w:p>
        </w:tc>
        <w:tc>
          <w:tcPr>
            <w:tcW w:w="331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帮助权益受到侵害的妇女儿童解决困难和问题，提高广大妇女儿童的维权意识和维权能力，维护妇女儿童合法权益；规范妇女信访秩序，促进社会和谐稳定。</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反映法律援助妇女侵权案件办理情况</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帮助权益受到侵害的妇女儿童解决困难和问题，提高广大妇女儿童的维权意识和维权能力，维护妇女儿童合法权益；规范妇女信访秩序，促进社会和谐稳定。</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反映妇女信访代理工作开展情况</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帮助权益受到侵害的妇女儿童解决困难和问题，提高广大妇女儿童的维权意识和维权能力，维护妇女儿童合法权益；规范妇女信访秩序，促进社会和谐稳定。</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反映答复妇女来电来访情况</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工会事务管理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研究指导全镇工会自身建设；承担镇委、镇政府及全国总工会交办的其他事项。</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加强组织和干部队伍建设，提高干部业务素质和大型企事业单位工会领导干部水平，促进工会事业发展。</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综合事务管理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研究指导全镇工会自身改革和建设；负责工会干部管理制度和培训规划制定以及培训工作；承担镇委、镇政府及全国总工会交办的其他事项。</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切实提高工会综合事务管理水平，保障单位的正常运转</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反映保障单位正常运转情况</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团委事务管理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负责团委综合业务管理。</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年度工作任务圆满完成，促进共青团事业发展。</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综合业务管理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参与制定全镇的青少年事业发展规划和青少年工作方针、政策;承担镇委、镇政府和团中央交办的有关事项。</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高质量完成全镇青少年发展规划和方针政策的制定，圆满完成省委、省政府和团中央交办的各项任务。</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反映综合工作任务完成程度</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社会管理与服务</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承担对社会组织的登记管理；负责镇级行政区划、行政区域界线和地名管理工作；负责镇级婚姻登记、涉外儿童收养登记和管理工作；组织指导基层政权和社区建设；推进社会工作人员队伍建设</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推进全镇社会组织健康发展，优化行政区划空间布局，提高登记质量，规范婚姻登记、收养登记业务，建立健全城镇基层群众自治组织，逐步实现社会工作者专业化、职业化。</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基层政权和社区建设</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组织指导镇镇、街道办事处和基层群众自治组织、社区干部培训；指导村（居）民委员会民主选举、民主决策、民主管理和民主监督，村（居）务公开；指导城镇社区建设及服务管理工作。</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建立健全城镇基层群众自治组织，在村（居）民委员会实行“四个民主”；按照“四有一创”标准开展城市社区建设，按照农村社区建设实验全覆盖创建标准开展农村社区建设。</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村民委员会换届选举率达到或超过上届水平。</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环保政务管理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负责环境保护系统综合业务管理和机关综合事务管理。</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加强环保保护管理工作。</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综合业务管理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加强污染治理技术研究及推广、排污费征收管理及环保专项资金使用。完善环保公共服务体系，加强环保创新能力，加大重点实验室及环境监测、监察的建设力度。</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保障各项业务工作畅通</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综合业务按年度计划完成情况</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住建政务管理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负责住建系统综合业务管理和机关综合事务管理。</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加强全镇住房城镇建设人才队伍建设，提高人才业务素质，激励工作热情，提高行业水平。提升厅机关及行业信息化水平，保障机关办公网络、门户网站及各类业务系统安全稳定运行；加大信息宣传力度，创造良好舆论氛围。规范审批行为，推进政务公开，增加服务意识，提高工作效率。组织各设市城市、镇（市）上报建设行业统计数据。加强我省住房城镇建设事业对外交流。法律制度适应本行业经济社会发展需要,矛盾有效化解，政群关系和谐，促进行业健康发展。</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综合事务管理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推进住房和城镇建设行业信息化建设、建设系统综合管理等综合事务工作，保证行政工作高效有序运行。</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加强全省住房城镇建设人才队伍建设，提高人才业务素质，激励工作热情，提高行业水平</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综合事务按年度计划完成情况</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宣传事务管理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负责系统综合业务管理和机关综合事务管理。</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确保各项业务工作谋划到位、顺利开展。保障机关工作正常高效运转。</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综合业务管理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开展宣传文化业务管理，加强政策业务宣传等。</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确保各项业务工作谋划到位、顺利开展。</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通过重点工作督察督办，为全镇宣传思想文化重点工作顺利开展提供保障</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选举和任免</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检查监督代表法、选举法及其实施办法的贯彻实施；承担人大换届选举及人事任免服务工作；负责对镇政府组成人员主要负责人的目标责任书、述职报告的督办工作。</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1、根据工作需要和镇委的建议，在充分酝酿和审议的基础上，选举产生一府两院的领导成员，确保选出能力突出、责任心强、有开拓精神的同志担任。2、为确保有关选举的法律法规符合实际，在充分考察调研的基础上，实施对其进行修改。3、对镇政府组成人员主要负责人进行目标责任监督，确保依法履行职责，完成目标任务。</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换届选举及人事任免</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承担镇人大换届选举、镇领导人的选举和常委会人事任免的服务工作；指导镇人大换届选举工作；负责对镇政府组成人员和镇人民法院、镇人民检察院主要负责人的目标责任书、述职报告的督办工作。</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确保镇镇人大换届选举工作顺利完成，提高组织换届选举工作水平；高质量完成机关领导人选举和常委会人事任免服务工作；高效督办有关部门负责人的目标责任书和述职报告。</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反映实际调研次数占年计划的比率</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监督检查及巡视督查</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监督检查党内法规政策、国家法律法规、党风廉政建设等的执行情况；履行镇政府纠正行业不正之风办公室职能；贯彻落实镇委有关部署，开展常态化全覆盖监督；做好对巡视工作领导小组、巡视组的服务保障工作。</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加大问责力度，促进“两个责任”有效落实。</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综合事务管理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宣传党的纪检工作方针、政策，教育纪检干部遵守和执行党章以及党内法规、党的路线方针政策和决议、国家法规等，全面提高纪检监察干部队伍素质。</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巡视监督常态化、全覆盖。</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反映巡视工作完成程度</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组织事务管理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负责做好部机关机要、文秘、信访、会议、固定资产等工作的计划安排和管理；负责机关自身建设；负责老干部综合服务和保障工作；负责新闻工作网宣与舆情监控、处置。</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做好部机关机要、文秘、信访、会议、固定资产等工作的计划安排和管理；干部、人事政策科学合理；做好老干部综合服务和保障工作；做到新闻工作网宣与舆情监控到位、处置及时。</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综合事务管理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组织、干部工作综合研究，相关政策法规起草、制定、审核；组织、指导、协调全镇组织系统互联网宣传工作；信息、信访工作。</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组织、指导、协调全镇组织系统互联网宣传工作；</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反映做好新闻网宣工作情况：每年召开组织系统新闻和网络宣传工作座谈会，建设 人以上的网宣队伍；每年举办全镇组织系统骨干网宣员培训班至少培训 名网宣员，两项工作各占50%比重，按实际完成情况计算完成率</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宣传事务管理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负责系统综合业务管理和机关综合事务管理。</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确保各项业务工作谋划到位、顺利开展。保障机关工作正常高效运转。</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综合业务管理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开展宣传文化业务管理，加强政策业务宣传等。</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确保各项业务工作谋划到位、顺利开展。</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通过重点工作督察督办，为全镇宣传思想文化重点工作顺利开展提供保障</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政府办公室政务管理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按照有关要求，做好机关办公区房屋与附属设施的维修、维护工作；做好机关办公区绿化、美化工作；做好后勤保障和老干部管理服务工作。</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以服务领导和机关保障有力为目标，增强了优质后勤管理水平，通过加强公车管理，降低运行成本，为创建节约型机关打下了良好的基础。采取保障镇政府领导和机关工作办公环境的措施，提升了服务管理水平，保障了镇领导和机关工作的正常运转。及时了解国内外形势、党和国家的方针政策以及镇委、镇政府办公室的重要部署和要求，及时为老干部提供优质高效服务。</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综合业务管理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协助镇政府领导组织起草或审核上报市政府以及以镇政府办公室名义发布的公文；办理镇政府各部门和下级政府报送的文电；对镇政府部门间出现的争议问题提出处理意见；组织起草镇政府领导重要讲话及其他重要文稿；组织专题调研；承办镇政府领导交办的其他事项。</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高质量审核公文，让镇领导满意；及时办理各类文电，确保事项在第一时间得到镇领导批示意见；高质量起草的镇领导重要讲话及重要文稿。</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反映各项综合业务工作完成情况</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水利科技支撑和公共服务</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组织指导全镇水利事业建设的科技创新和技术示范推广，为水利事业科学发展提供公共支撑。</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研制并示范推广水利工程和管理技术，提高水利事业管理水平。</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防汛抗旱</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负责全镇防汛抗旱组织管理、应急调度，指导水利行业信息化建设，建设应急度汛、抗旱应急、海堤、山洪灾害防治项目，支持基层防汛抗旱组织建设，储备管理防汛抗旱物资，建设水利信息化基础设施，提高全镇抗御水旱灾害能力。</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发挥防汛抗旱减灾体系作用，最大限度地减少水旱灾害造成的人员伤亡和财产损失。</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实际完成工程数量占当年应完成工程数量的比例</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水利政务管理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依法依规履行机关日常管理职责。</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依法依规履行机关日常管理职责，确保水利工作正常运行。</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综合业务管理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协调推动、普查统计、督促指导、对外合作、行政审批、业务监管、水利立法、执法、处理水事纠纷，监督检查、人事管理、表彰奖励及其他依法行政管理活动。镇委、政府交办的其他事项等行政管理事项。</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依法依规完成工作任务，推进科学决策</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工作任务完成情况</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林业生态建设</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贯彻执行国家、省、关于林业及其生态建设的方针、政策和法律法规；拟定林业及其生态环境建设、森林资源保护、国土绿化、荒漠化防治和林业产业发展的规定和方法，并组织实施监督和检查，组织开展森林资源、承担林业生态文明建设的有关工作。</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完成国家下达和省委省政府制定的造林任务及全镇森林覆盖率考核目标。有效改善生态环境。</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造林绿化</w:t>
            </w:r>
          </w:p>
        </w:tc>
        <w:tc>
          <w:tcPr>
            <w:tcW w:w="142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制定全县造林绿化的指导性计划，贯彻落实国家、省有关标准和规程，指导公益林和商品林的培育，指导植树造林和以植树种草等生物措施防治水土流失工作，指导监督全民义务植树和造林绿化工作。承担林业应对气候变化的相关工作。承担县绿化委员会的日常工作</w:t>
            </w:r>
          </w:p>
        </w:tc>
        <w:tc>
          <w:tcPr>
            <w:tcW w:w="331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增加有林地面积，提高全镇绿化水平和森林覆盖率，改善生态环境。</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全年造林绿化工程完成合格面积统计数据。</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增加有林地面积，提高全县绿化水平和森林覆盖率，改善生态环境。</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林地面积净增加量与国土面积的比率。</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退耕还林</w:t>
            </w:r>
          </w:p>
        </w:tc>
        <w:tc>
          <w:tcPr>
            <w:tcW w:w="142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按照规划和国家下达的年度计划，组织实施退耕还林、荒山荒地造林及巩固退耕成果等工程，兑现政策补助资金。</w:t>
            </w:r>
          </w:p>
        </w:tc>
        <w:tc>
          <w:tcPr>
            <w:tcW w:w="331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工程治理地区的生态状况得到明显改善。</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完成退耕还林任务面积与上级下达退耕还林任务面积的比率</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工程治理地区的生态状况得到明显改善。</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上级下达的退耕还林政策补助资金下达我镇兑现农户情况</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扶持农产品生产</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对生产者采取直接补贴的办法，支持推广优良品种、先进适用种养技术，实施科学管理,提高农产品产量、质量，提高生产经营效益。</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提高农产品产量和产量，优化农业产业结构，提高经济效益，增加农民收入。</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实施良种补贴</w:t>
            </w:r>
          </w:p>
        </w:tc>
        <w:tc>
          <w:tcPr>
            <w:tcW w:w="142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按照国家、省部署，对全县主要粮食作物和猪、牛、羊、鸡等畜产品生产实施良种补贴。</w:t>
            </w:r>
          </w:p>
        </w:tc>
        <w:tc>
          <w:tcPr>
            <w:tcW w:w="331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小麦、玉米、水稻、棉花良种补贴全覆盖。畜牧、水产品种优良化率持续提高</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完成农业部分配数量的百分比</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小麦、玉米、水稻、棉花良种补贴全覆盖。畜牧、水产品种优良化率持续提高</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小麦、玉米、水稻、棉花良种补贴发放面积占当年种植面积的比例</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完善农村经营管理体制</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推进农村集体产权制度改革，完善农村土地承包制度，引导农村土地合理流转。创新农业经营主体。</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规范流转行为，优化资源配置，促进农民专业合作经济组织健康发展，加快新农村建设和城镇化进程。</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促进土地流转</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建设土地流转有形市场。</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指导全镇建立运转顺畅、便捷高效的农村土地承包经营权流转服务平台，带动土地流转依法、有序开展</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当年实际达到的土地流转比上年提高的水平</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土地确权登记</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根据国家要求开展农村土地承包经营确权登记试点，并逐步向全镇全面推开。</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完成全镇耕地面积50%的确权登记颁证目标</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当年完成家庭承包地确权登记颁证面积数占全年计划的比例</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农村经营管理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支持农民专业合作组织规范、健康发展。建立健全农村集体“三资”管理制度，盘活集体存量资产资源，拓宽集体增收渠道，促进农村集体资产保值增值。</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健全农村集体“三资”管理制度，指导农村经济组织健康、规范发展</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当年实现规范管理的村占全年计划的比例</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农业政务管理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开展农业宣传，推动农业政策落实。保障农业信息网络和各项政党工作的开展</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保障各项农业工作的正常运行</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综合业务管理</w:t>
            </w:r>
          </w:p>
        </w:tc>
        <w:tc>
          <w:tcPr>
            <w:tcW w:w="142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调研提出规划和政策建议，工作部署、协调推动、普查统计、督促指导、对外合作、行政审批、业务监管及</w:t>
            </w:r>
            <w:r>
              <w:rPr>
                <w:rFonts w:hint="eastAsia" w:ascii="仿宋_GB2312" w:eastAsia="仿宋_GB2312" w:cs="宋体"/>
                <w:kern w:val="0"/>
                <w:sz w:val="28"/>
                <w:szCs w:val="28"/>
                <w:lang w:eastAsia="zh-CN"/>
              </w:rPr>
              <w:t>县委、县政府</w:t>
            </w:r>
            <w:r>
              <w:rPr>
                <w:rFonts w:hint="eastAsia" w:ascii="仿宋_GB2312" w:eastAsia="仿宋_GB2312" w:cs="宋体"/>
                <w:kern w:val="0"/>
                <w:sz w:val="28"/>
                <w:szCs w:val="28"/>
              </w:rPr>
              <w:t>交办的其他事项等行政管理事项。</w:t>
            </w:r>
          </w:p>
        </w:tc>
        <w:tc>
          <w:tcPr>
            <w:tcW w:w="331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依法做好行政审批和业务监管事项，完成县委、县政府并办事项</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完成交办事项占总交办事项的比例</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依法做好行政审批和业务监管事项，完成镇委、镇政府并办事项</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当年办理批复的行政审批事项占全年受理数量的比例</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计划生育</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提供各类计划生育技术服务，建立利益导向机制，开展出生人口性别比治理以及流动人口计划生育管理等各项工作。</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稳定适度的低生育水平，有效保障计划生育家庭生活水平，提高妇女生殖健康水平，降低出生缺陷的发生，有效遏制出生人口性别比偏高问题。</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计划生育服务</w:t>
            </w:r>
          </w:p>
        </w:tc>
        <w:tc>
          <w:tcPr>
            <w:tcW w:w="142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免费为农村计划怀孕夫妇实行孕前优生健康检查；免费为公民提供计划生育避孕节育基本技术服务；免费为农村已婚育龄妇女提供生殖健康检查服务。</w:t>
            </w:r>
          </w:p>
        </w:tc>
        <w:tc>
          <w:tcPr>
            <w:tcW w:w="331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改善我镇农村计划怀孕夫妇健康状况，有效降低出生缺陷发生风险；为各类育龄人群提供安全、有效避孕节育技术服务；健全完善流动人口管理机制。</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进行免费孕前优生健康检查的目标人数占总目标人数比例</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改善我县农村计划怀孕夫妇健康状况，有效降低出生缺陷发生风险；为各类育龄人群提供安全、有效避孕节育技术服务；健全完善流动人口管理机制。</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实施免费计划生育基本服务的镇数量占全市比例</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改善我县农村计划怀孕夫妇健康状况，有效降低出生缺陷发生风险；为各类育龄人群提供安全、有效避孕节育技术服务；健全完善流动人口管理机制。</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流动人口计划生育服务管理信息反馈数量占应反馈数量的比例</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计划生育奖励扶持政策</w:t>
            </w:r>
          </w:p>
        </w:tc>
        <w:tc>
          <w:tcPr>
            <w:tcW w:w="142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采取奖励、扶助、社会保障等机制，引导家庭和个人打取计划生育措施，提高计划生育家庭发展能力。</w:t>
            </w:r>
          </w:p>
        </w:tc>
        <w:tc>
          <w:tcPr>
            <w:tcW w:w="331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增强群众自觉实行计划生育的积极性，稳定适度的低生育水平，提高计划生育家庭发展能力，增强计划生育家庭的凝聚力及成员幸福感。</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接受奖励扶助的农村计划生育家庭数占农村计划生育家庭总数的比例</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增强群众自觉实行计划生育的积极性，稳定适度的低生育水平，提高计划生育家庭发展能力，增强计划生育家庭的凝聚力及成员幸福感。</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接受特别扶助的计划生育家庭数占计划生育特殊困难家庭数的比例</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计划生育群众工作</w:t>
            </w:r>
          </w:p>
        </w:tc>
        <w:tc>
          <w:tcPr>
            <w:tcW w:w="142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协助政府开展群众自治、亲情关爱及幸福工程等工作，动员广大群众自觉参与和实行各项计划生育政策。</w:t>
            </w:r>
          </w:p>
        </w:tc>
        <w:tc>
          <w:tcPr>
            <w:tcW w:w="331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增进广大育龄群众和计生家庭福祉，提高群众自觉实行计划生育的积极性。</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开展计划生育基层群众自治的村（居）数量占村（居）总数的比例</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增进广大育龄群众和计生家庭福祉，提高群众自觉实行计划生育的积极性。</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开展失独家庭“亲情关爱”行动的乡镇数占乡镇总数的比例</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义务教育</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以农村教育为重点，推进义务教育均衡发展，建立中小学校舍安全保障机制，改善薄弱学校办学条件，促进公共教育资源向农村和经济欠发达地区倾斜。</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提高义务教育公用经费保障水平，改善办学条件，均衡配置基础教育资源，缩小城镇、区域、校际之间办学差距，落实学生资助政策。</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发展城市义务教育</w:t>
            </w:r>
          </w:p>
        </w:tc>
        <w:tc>
          <w:tcPr>
            <w:tcW w:w="142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免除城市区中小学生学杂费，提高公用经费保障水平，为贫困中小学生免费提供教科书，对接收进城务工农民工子女的学校进行补助。改善县属中小学办学条件。</w:t>
            </w:r>
          </w:p>
        </w:tc>
        <w:tc>
          <w:tcPr>
            <w:tcW w:w="331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保障农村中小学正常运转，保证学校校舍安全，资助家庭经济困难寄宿学生，向农村义务教育学生和城市区家庭经济困难学生免费提供教科书</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农村义务教育阶段学生免费教科书发放率</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保障农村中小学正常运转，保证学校校舍安全，资助家庭经济困难寄宿学生，向农村义务教育学生和城市区家庭经济困难学生免费提供教科书</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新建、改扩建和维修校舍面积</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城市区中小学公用经费保障水平逐年提高。</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小学入学率</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城市区中小学公用经费保障水平逐年提高。</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初中入学率</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城市区中小学公用经费保障水平逐年提高。</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接受进城务工随迁子女就学人数（万人）</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从2014年开始，使贫困地区农村义务教育学校教学设施和生活设施满足基本生活需要，留守儿童学习和寄宿得到基本满足，村小学和教学点能够正常运转，县镇超大班额现象基本消除，教师数量、素质、结构基本适应教学需要</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初中生均设备金额</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从2014年开始，使贫困地区农村义务教育学校教学设施和生活设施满足基本生活需要，留守儿童学习和寄宿得到基本满足，村小学和教学点能够正常运转，县镇超大班额现象基本消除，教师数量、素质、结构基本适应教学需要</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小学生均校舍面积</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改善薄弱学校办学条件</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保障义务教育阶段薄弱学校基本教学条件，改善学校生活设施，办好必要的教学点，解决镇镇学校大班额问题，推进农村学校教育信息化。</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从2014年开始，使贫困地区农村义务教育学校教学设施和生活设施满足基本生活需要，留守儿童学习和寄宿得到基本满足，村小学和教学点能够正常运转，镇镇超大班额现象基本消除，教师数量、素质、结构基本适应教学需要</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小学生均设备金额</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教师队伍建设</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主管全镇教师工作；负责全镇中小学教师资格标准的实施；统筹规划和指导学校教师及管理人员队伍建设。</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完成中小学骨干、学科教师培训，高层次、优秀人才引进计划，提高特殊群体教师待遇。</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教师培养与培训</w:t>
            </w:r>
          </w:p>
        </w:tc>
        <w:tc>
          <w:tcPr>
            <w:tcW w:w="142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开展中小学骨干、学科教师等专项培训，完成中小学教师国家级培训计划。</w:t>
            </w:r>
          </w:p>
        </w:tc>
        <w:tc>
          <w:tcPr>
            <w:tcW w:w="331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培训中小学骨干教师、学科教师，提高中小学教师的业务水平和教学能力。</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培训教师人数</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培训中小学骨干教师、学科教师等1万人，提高中小学教师的业务水平和教学能力。</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培训合格率</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培训中小学骨干教师、学科教师等1万人，提高中小学教师的业务水平和教学能力。</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教师满意度</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提高特殊群体教师待遇</w:t>
            </w:r>
          </w:p>
        </w:tc>
        <w:tc>
          <w:tcPr>
            <w:tcW w:w="142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Merge w:val="restart"/>
            <w:tcBorders>
              <w:bottom w:val="outset" w:color="auto" w:sz="6" w:space="0"/>
            </w:tcBorders>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为代课教师发放教龄补助，对边远乡村教师发放生活补助。</w:t>
            </w:r>
          </w:p>
        </w:tc>
        <w:tc>
          <w:tcPr>
            <w:tcW w:w="3315" w:type="dxa"/>
            <w:vMerge w:val="restart"/>
            <w:tcBorders>
              <w:bottom w:val="outset" w:color="auto" w:sz="6" w:space="0"/>
            </w:tcBorders>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提高特殊群体教师待遇。</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资金测算准确率</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0" w:type="auto"/>
            <w:vMerge w:val="continue"/>
            <w:vAlign w:val="center"/>
          </w:tcPr>
          <w:p/>
        </w:tc>
        <w:tc>
          <w:tcPr>
            <w:tcW w:w="0" w:type="auto"/>
            <w:vMerge w:val="continue"/>
            <w:vAlign w:val="center"/>
          </w:tcPr>
          <w:p/>
        </w:tc>
        <w:tc>
          <w:tcPr>
            <w:tcW w:w="0" w:type="auto"/>
            <w:vMerge w:val="continue"/>
            <w:vAlign w:val="center"/>
          </w:tcPr>
          <w:p/>
        </w:tc>
        <w:tc>
          <w:tcPr>
            <w:tcW w:w="0" w:type="auto"/>
            <w:vMerge w:val="continue"/>
            <w:vAlign w:val="center"/>
          </w:tcP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提高特殊群体教师待遇。</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院校资金发放到位率</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教育政务管理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负责教育系统综合业务管理和机关综合事务管理。</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依法行政，构建人民群众满意、勤政廉洁的政府部门；保障工作正常高效运行，相关工作顺利开展</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综合业务管理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做好教育政策制定、教育改革、教育科研、教育信息化建设等工作。</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做好各项教育管理工作。</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镇教育局三定方案中所有职能职责均能顺利实施</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综合事物管理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做好会议培训组织，内部信息化建设与维护，财务和资产管理，标准化建设，基础设施维修，大型设备购置，人事、党务以及老干部管理等工作。负责直属企事业单位管理工作。</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保障机关工作正常高效运转。</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机关正常运转</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一事一议财政奖补</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筹措资金支持全镇一事一议财政奖补村级公益事业建设。</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通过月小结上传支持农村面貌改造提升行动意见、修订后的一事一议财政奖补资金管理办法及项目管理办法、资金下达文件、资金测算分配表、向财政上报的下年度资金申请文件等资料，考评小组审核，形成考评指标执行数据。</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一事一议</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考评采用抽查法，抽取5个单位，测算分配额与实际分配数额相同，下年度资金申请文件正式印发（上报）得满分，每有1项未达到要求扣质量分值的。</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完善一事一议财政奖补政策，改善农民人居环境。</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通过月小结上传支持农村面貌改造提升行动意见、修订后的一事一议财政奖补资金管理办法及项目管理办法、资金下达文件、资金测算分配表、向财政上报的下年度资金申请文件等资料，考评小组审核，形成考评指标执行数据。</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机关事业单位津贴补贴提标</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配合完善机关事业单位工资制度，落实国家和省出台的分类规范改革性补贴政策。</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被考评单位提供机关事业单位津贴补贴提标申请、领导签批意见、上级批复意见、全机关事业单位提高收入统计情况等资料，考评小组审核，形成考评指标执行数据。</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津贴规范</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机关事业单位津贴补贴提标申请、领导签批意见、上级批复意见、全镇机关事业单位提高收入统计情况等资料齐全，得满分。资料每少1项，扣质量分值。</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实现津贴补贴规范有序提标，缩小不合理差距；严格执行规范津贴补贴工作纪律，及时纠正津贴补贴发放中存在的违规违纪行为。</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被考评单位提供机关事业单位津贴补贴提标申请、领导签批意见、上级批复意见、全镇机关事业单位提高收入统计情况等资料，考评小组审核，形成考评指标执行数据。</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总预算会计核算与管理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做好镇级财政总预算会计核算与管理工作。</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被考评单位提供拨款申请（拨款单）、对账单、等资料，考评小组审核，形成考评指标执行数据。</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会计核算</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拨付资金考评采取抽查方式，抽取10笔，按申请准确拨付资金、与人民银行（代理银行）资金账核对无误，得满分；有1笔未达要求扣质量分值。</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被考评单位提供拨款申请（拨款单）、对账单、等资料，考评小组审核，</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被考评单位提供拨款申请（拨款单）、对账单、等资料，考评小组审核，形成考评指标执行数据。</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预算执行数据统计分析</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旬报、月报数据汇总、制作、报送，每月起草全镇财政预算执行分析，全镇预算执行情况通报起草及下发通报。</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审核评价。被考评单位按照序时进度或时间节点要求，通过月小结上传上报的旬月报数据、《预算执行收支分析月报》、《全镇预算执行情况通报》等资料，考评小组进行审核，形成考评指标执行数据。</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预算执行</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将月报数据报送财政；完成《预算执行收支分析》；《全镇预算执行情况通报》。按照时间节点完成得满分，每延误1项扣时间分值。</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完成《预算执行收支分析》《全镇预算执行情况通报》。</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审核评价。被考评单位按照序时进度或时间节点要求，通过月小结上传上报的旬月报数据、《预算执行收支分析月报》、《全镇预算执行情况通报》等资料，考评小组进行审核，形成考评指标执行数据。</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财政决算编审</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做好全镇总决算和部门决算编报工作。</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审核评价。被考评单位按照序时进度或时间节点要求，通过月小结上传财政厅决算会审通知、总决算、部门决算、决算报表及公开信息、统计资料等资料，考评小组审核，形成考评指标执行数据。</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财政决算</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财政总决算、部门决算报表和分析报告经局领导审签正式上报，得满分；每有1项未完成，扣质量分值。</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被考评单位按照序时进度或时间节点要求，考评小组审核，形成考评指标执行数据。</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审核评价。被考评单位按照序时进度或时间节点要求，通过月小结上传财政厅决算会审通知、总决算、部门决算、决算报表及公开信息、统计资料等资料，考评小组审核，形成考评指标执行数据。</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电子政务管理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政务信息服务工作和政府系统机关电子政务工作。</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确保各类会议顺利进行；保障街道网络系统安全、稳定运行，技术设备安全可用。严格执行会议技术保障服务流程和电视电话会议室管理制度。切实提高技术保障和服务能力，力争领导满意、群众满意、部门满意。</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政府电子政务管理与服务</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政务信息服务工作和政府系统机关电子政务工作。</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确保各类会议顺利进行；保障街道网络系统安全、稳定运行，技术设备安全可用</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反映街道视频会议、电视电话会议、全街道电子政务系统的使用管理与运维情况</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80-100%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60-80%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地方志事务</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全街道地方志事务管理。</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弘扬和传承优秀文化传统，充分发挥志书“资政、存史、教化”的综合功能，为社会各界方便快捷提供县情，为本县经济社会建设服务，为地方志工作者提供资料和工具。</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地方志事务管理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拟订全街道地方志工作规划并组织实施；搜集、保存、管理地方文献和资料；组织开发利用地方志资源；建设和维护街道地方志县情网络。</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为社会各界方便快捷提供街道情，为经济社会建设服务</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反映全街道各志编制出现差错情况</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80-100%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60-80%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街道政务管理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按照有关要求，做好机关办公区房屋与附属设施的维修、维护工作；做好机关办公区绿化、美化工作；做好后勤保障和老干部管理服务工作。</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以服务领导和机关保障有力为目标，增强了优质后勤管理水平，通过加强公车管理，降低运行成本，为创建节约型机关打下了良好的基础。采取保障街道领导和机关工作办公环境的措施，提升了服务管理水平，保障了街道和机关工作的正常运转。及时了解国内外形势、党和国家的方针政策以及街道办公室的重要部署和要求，及时为老干部提供优质高效服务。</w:t>
            </w:r>
          </w:p>
        </w:tc>
        <w:tc>
          <w:tcPr>
            <w:tcW w:w="157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8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55" w:hRule="atLeast"/>
          <w:tblCellSpacing w:w="0" w:type="dxa"/>
          <w:jc w:val="center"/>
        </w:trPr>
        <w:tc>
          <w:tcPr>
            <w:tcW w:w="2610" w:type="dxa"/>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　　综合业务管理</w:t>
            </w:r>
          </w:p>
        </w:tc>
        <w:tc>
          <w:tcPr>
            <w:tcW w:w="142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31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协助街道领导组织起草或审核上报区政府以及以街道办公室名义发布的公文；办理街道各部门和下级政府报送的文电；对街道部门间出现的争议问题提出处理意见；组织起草街道领导重要讲话及其他重要文稿；组织专题调研；承办街道领导交办的其他事项。</w:t>
            </w:r>
          </w:p>
        </w:tc>
        <w:tc>
          <w:tcPr>
            <w:tcW w:w="3315" w:type="dxa"/>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157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高质量审核公文，让县领导满意；及时办理各类文电，确保事项在第一时间得到街道批示意见；高质量起草的街道重要讲话及重要文稿。</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反映各项综合业务工作完成情况</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80-100%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60-80%</w:t>
            </w:r>
          </w:p>
        </w:tc>
        <w:tc>
          <w:tcPr>
            <w:tcW w:w="825" w:type="dxa"/>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60%</w:t>
            </w:r>
          </w:p>
        </w:tc>
      </w:tr>
    </w:tbl>
    <w:p>
      <w:pPr>
        <w:widowControl/>
        <w:spacing w:line="360" w:lineRule="atLeast"/>
        <w:jc w:val="left"/>
        <w:rPr>
          <w:rFonts w:ascii="仿宋_GB2312" w:eastAsia="仿宋_GB2312" w:cs="宋体"/>
          <w:color w:val="000000"/>
          <w:kern w:val="0"/>
          <w:sz w:val="32"/>
          <w:szCs w:val="32"/>
        </w:rPr>
      </w:pPr>
      <w:r>
        <w:rPr>
          <w:rFonts w:hint="eastAsia" w:ascii="宋体" w:hAnsi="宋体" w:eastAsia="黑体" w:cs="宋体"/>
          <w:color w:val="000000"/>
          <w:kern w:val="0"/>
          <w:sz w:val="32"/>
          <w:szCs w:val="32"/>
        </w:rPr>
        <w:t> </w:t>
      </w:r>
      <w:r>
        <w:rPr>
          <w:rFonts w:hint="eastAsia" w:ascii="黑体" w:eastAsia="黑体" w:cs="宋体"/>
          <w:b/>
          <w:bCs/>
          <w:color w:val="000000"/>
          <w:kern w:val="0"/>
          <w:sz w:val="32"/>
          <w:szCs w:val="32"/>
        </w:rPr>
        <w:t>六、政府采购预算情况</w:t>
      </w:r>
      <w:r>
        <w:rPr>
          <w:rFonts w:hint="eastAsia" w:ascii="黑体" w:eastAsia="黑体" w:cs="宋体"/>
          <w:color w:val="000000"/>
          <w:kern w:val="0"/>
          <w:sz w:val="32"/>
          <w:szCs w:val="32"/>
        </w:rPr>
        <w:br w:type="textWrapping"/>
      </w:r>
      <w:r>
        <w:rPr>
          <w:rFonts w:hint="eastAsia" w:ascii="宋体" w:hAnsi="宋体" w:eastAsia="仿宋_GB2312" w:cs="宋体"/>
          <w:color w:val="000000"/>
          <w:kern w:val="0"/>
          <w:sz w:val="32"/>
          <w:szCs w:val="32"/>
        </w:rPr>
        <w:t>     </w:t>
      </w:r>
      <w:r>
        <w:rPr>
          <w:rFonts w:hint="eastAsia" w:ascii="仿宋_GB2312" w:eastAsia="仿宋_GB2312" w:cs="宋体"/>
          <w:color w:val="000000"/>
          <w:kern w:val="0"/>
          <w:sz w:val="32"/>
          <w:szCs w:val="32"/>
        </w:rPr>
        <w:t>2017年，我部门未安排政府采购预算。</w:t>
      </w:r>
    </w:p>
    <w:p>
      <w:pPr>
        <w:jc w:val="center"/>
        <w:outlineLvl w:val="0"/>
        <w:rPr>
          <w:rFonts w:ascii="仿宋_GB2312" w:eastAsia="仿宋_GB2312" w:cs="Times New Roman"/>
          <w:sz w:val="28"/>
          <w:szCs w:val="28"/>
        </w:rPr>
      </w:pPr>
      <w:r>
        <w:rPr>
          <w:rFonts w:hint="eastAsia" w:ascii="仿宋_GB2312" w:eastAsia="仿宋_GB2312" w:cs="Times New Roman"/>
          <w:sz w:val="28"/>
          <w:szCs w:val="28"/>
        </w:rPr>
        <w:t>部门政府采购预算</w:t>
      </w:r>
    </w:p>
    <w:tbl>
      <w:tblPr>
        <w:tblStyle w:val="4"/>
        <w:tblW w:w="5114"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2270"/>
        <w:gridCol w:w="1013"/>
        <w:gridCol w:w="834"/>
        <w:gridCol w:w="1327"/>
        <w:gridCol w:w="834"/>
        <w:gridCol w:w="834"/>
        <w:gridCol w:w="856"/>
        <w:gridCol w:w="853"/>
        <w:gridCol w:w="853"/>
        <w:gridCol w:w="853"/>
        <w:gridCol w:w="776"/>
        <w:gridCol w:w="837"/>
        <w:gridCol w:w="837"/>
        <w:gridCol w:w="78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2895" w:type="pct"/>
            <w:gridSpan w:val="7"/>
            <w:tcBorders>
              <w:top w:val="single" w:color="FFFFFF" w:sz="6" w:space="0"/>
              <w:left w:val="single" w:color="FFFFFF" w:sz="6" w:space="0"/>
              <w:right w:val="single" w:color="FFFFFF" w:sz="6" w:space="0"/>
            </w:tcBorders>
            <w:shd w:val="clear" w:color="auto" w:fill="auto"/>
            <w:vAlign w:val="center"/>
          </w:tcPr>
          <w:p>
            <w:pPr>
              <w:spacing w:line="300" w:lineRule="exact"/>
              <w:jc w:val="left"/>
              <w:rPr>
                <w:rFonts w:ascii="仿宋_GB2312" w:eastAsia="仿宋_GB2312" w:cs="Times New Roman"/>
                <w:sz w:val="28"/>
                <w:szCs w:val="28"/>
              </w:rPr>
            </w:pPr>
            <w:r>
              <w:rPr>
                <w:rFonts w:hint="eastAsia" w:ascii="仿宋_GB2312" w:eastAsia="仿宋_GB2312" w:cs="宋体"/>
                <w:color w:val="000000"/>
                <w:kern w:val="0"/>
                <w:sz w:val="28"/>
                <w:szCs w:val="28"/>
              </w:rPr>
              <w:t>廊坊市广阳区九州镇人民政府</w:t>
            </w:r>
          </w:p>
        </w:tc>
        <w:tc>
          <w:tcPr>
            <w:tcW w:w="2105" w:type="pct"/>
            <w:gridSpan w:val="7"/>
            <w:tcBorders>
              <w:top w:val="single" w:color="FFFFFF" w:sz="6" w:space="0"/>
              <w:left w:val="single" w:color="FFFFFF" w:sz="6" w:space="0"/>
              <w:right w:val="single" w:color="FFFFFF" w:sz="6" w:space="0"/>
            </w:tcBorders>
            <w:shd w:val="clear" w:color="auto" w:fill="auto"/>
            <w:vAlign w:val="center"/>
          </w:tcPr>
          <w:p>
            <w:pPr>
              <w:spacing w:line="300" w:lineRule="exact"/>
              <w:jc w:val="right"/>
              <w:rPr>
                <w:rFonts w:ascii="仿宋_GB2312" w:eastAsia="仿宋_GB2312" w:cs="Times New Roman"/>
                <w:sz w:val="28"/>
                <w:szCs w:val="28"/>
              </w:rPr>
            </w:pPr>
            <w:r>
              <w:rPr>
                <w:rFonts w:hint="eastAsia" w:ascii="仿宋_GB2312" w:eastAsia="仿宋_GB2312" w:cs="Times New Roman"/>
                <w:sz w:val="28"/>
                <w:szCs w:val="28"/>
              </w:rP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1193" w:type="pct"/>
            <w:gridSpan w:val="2"/>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政府采购项目来源</w:t>
            </w:r>
          </w:p>
        </w:tc>
        <w:tc>
          <w:tcPr>
            <w:tcW w:w="303" w:type="pct"/>
            <w:vMerge w:val="restart"/>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采购物品名称</w:t>
            </w:r>
          </w:p>
        </w:tc>
        <w:tc>
          <w:tcPr>
            <w:tcW w:w="482" w:type="pct"/>
            <w:vMerge w:val="restart"/>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政府采购目录序号</w:t>
            </w:r>
          </w:p>
        </w:tc>
        <w:tc>
          <w:tcPr>
            <w:tcW w:w="303" w:type="pct"/>
            <w:vMerge w:val="restart"/>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数量  单位</w:t>
            </w:r>
          </w:p>
        </w:tc>
        <w:tc>
          <w:tcPr>
            <w:tcW w:w="303" w:type="pct"/>
            <w:vMerge w:val="restart"/>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数量</w:t>
            </w:r>
          </w:p>
        </w:tc>
        <w:tc>
          <w:tcPr>
            <w:tcW w:w="310" w:type="pct"/>
            <w:vMerge w:val="restart"/>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单价</w:t>
            </w:r>
          </w:p>
        </w:tc>
        <w:tc>
          <w:tcPr>
            <w:tcW w:w="2105" w:type="pct"/>
            <w:gridSpan w:val="7"/>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政府采购金额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825" w:type="pct"/>
            <w:vMerge w:val="restart"/>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项目名称</w:t>
            </w:r>
          </w:p>
        </w:tc>
        <w:tc>
          <w:tcPr>
            <w:tcW w:w="367" w:type="pct"/>
            <w:vMerge w:val="restart"/>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预算资金</w:t>
            </w:r>
          </w:p>
        </w:tc>
        <w:tc>
          <w:tcPr>
            <w:tcW w:w="303" w:type="pct"/>
            <w:vMerge w:val="continue"/>
            <w:shd w:val="clear" w:color="auto" w:fill="auto"/>
            <w:vAlign w:val="center"/>
          </w:tcPr>
          <w:p/>
        </w:tc>
        <w:tc>
          <w:tcPr>
            <w:tcW w:w="482" w:type="pct"/>
            <w:vMerge w:val="continue"/>
            <w:shd w:val="clear" w:color="auto" w:fill="auto"/>
            <w:vAlign w:val="center"/>
          </w:tcPr>
          <w:p/>
        </w:tc>
        <w:tc>
          <w:tcPr>
            <w:tcW w:w="303" w:type="pct"/>
            <w:vMerge w:val="continue"/>
            <w:shd w:val="clear" w:color="auto" w:fill="auto"/>
            <w:vAlign w:val="center"/>
          </w:tcPr>
          <w:p/>
        </w:tc>
        <w:tc>
          <w:tcPr>
            <w:tcW w:w="303" w:type="pct"/>
            <w:vMerge w:val="continue"/>
            <w:shd w:val="clear" w:color="auto" w:fill="auto"/>
            <w:vAlign w:val="center"/>
          </w:tcPr>
          <w:p/>
        </w:tc>
        <w:tc>
          <w:tcPr>
            <w:tcW w:w="310" w:type="pct"/>
            <w:vMerge w:val="continue"/>
            <w:shd w:val="clear" w:color="auto" w:fill="auto"/>
            <w:vAlign w:val="center"/>
          </w:tcPr>
          <w:p/>
        </w:tc>
        <w:tc>
          <w:tcPr>
            <w:tcW w:w="310" w:type="pct"/>
            <w:vMerge w:val="restart"/>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总计</w:t>
            </w:r>
          </w:p>
        </w:tc>
        <w:tc>
          <w:tcPr>
            <w:tcW w:w="1510" w:type="pct"/>
            <w:gridSpan w:val="5"/>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当年部门预算安排资金</w:t>
            </w:r>
          </w:p>
        </w:tc>
        <w:tc>
          <w:tcPr>
            <w:tcW w:w="286" w:type="pct"/>
            <w:vMerge w:val="restart"/>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其他渠道资金</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825" w:type="pct"/>
            <w:vMerge w:val="continue"/>
            <w:shd w:val="clear" w:color="auto" w:fill="auto"/>
            <w:vAlign w:val="center"/>
          </w:tcPr>
          <w:p/>
        </w:tc>
        <w:tc>
          <w:tcPr>
            <w:tcW w:w="367" w:type="pct"/>
            <w:vMerge w:val="continue"/>
            <w:shd w:val="clear" w:color="auto" w:fill="auto"/>
            <w:vAlign w:val="center"/>
          </w:tcPr>
          <w:p/>
        </w:tc>
        <w:tc>
          <w:tcPr>
            <w:tcW w:w="303" w:type="pct"/>
            <w:vMerge w:val="continue"/>
            <w:shd w:val="clear" w:color="auto" w:fill="auto"/>
            <w:vAlign w:val="center"/>
          </w:tcPr>
          <w:p/>
        </w:tc>
        <w:tc>
          <w:tcPr>
            <w:tcW w:w="482" w:type="pct"/>
            <w:vMerge w:val="continue"/>
            <w:shd w:val="clear" w:color="auto" w:fill="auto"/>
            <w:vAlign w:val="center"/>
          </w:tcPr>
          <w:p/>
        </w:tc>
        <w:tc>
          <w:tcPr>
            <w:tcW w:w="303" w:type="pct"/>
            <w:vMerge w:val="continue"/>
            <w:shd w:val="clear" w:color="auto" w:fill="auto"/>
            <w:vAlign w:val="center"/>
          </w:tcPr>
          <w:p/>
        </w:tc>
        <w:tc>
          <w:tcPr>
            <w:tcW w:w="303" w:type="pct"/>
            <w:vMerge w:val="continue"/>
            <w:shd w:val="clear" w:color="auto" w:fill="auto"/>
            <w:vAlign w:val="center"/>
          </w:tcPr>
          <w:p/>
        </w:tc>
        <w:tc>
          <w:tcPr>
            <w:tcW w:w="310" w:type="pct"/>
            <w:vMerge w:val="continue"/>
            <w:shd w:val="clear" w:color="auto" w:fill="auto"/>
            <w:vAlign w:val="center"/>
          </w:tcPr>
          <w:p/>
        </w:tc>
        <w:tc>
          <w:tcPr>
            <w:tcW w:w="310" w:type="pct"/>
            <w:vMerge w:val="continue"/>
            <w:shd w:val="clear" w:color="auto" w:fill="auto"/>
            <w:vAlign w:val="center"/>
          </w:tcPr>
          <w:p/>
        </w:tc>
        <w:tc>
          <w:tcPr>
            <w:tcW w:w="310" w:type="pct"/>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合计</w:t>
            </w:r>
          </w:p>
        </w:tc>
        <w:tc>
          <w:tcPr>
            <w:tcW w:w="310" w:type="pct"/>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一般公共预算拨款</w:t>
            </w:r>
          </w:p>
        </w:tc>
        <w:tc>
          <w:tcPr>
            <w:tcW w:w="282" w:type="pct"/>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基金预算拨款</w:t>
            </w:r>
          </w:p>
        </w:tc>
        <w:tc>
          <w:tcPr>
            <w:tcW w:w="304" w:type="pct"/>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财政专户核拨</w:t>
            </w:r>
          </w:p>
        </w:tc>
        <w:tc>
          <w:tcPr>
            <w:tcW w:w="304" w:type="pct"/>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其他来源收入</w:t>
            </w:r>
          </w:p>
        </w:tc>
        <w:tc>
          <w:tcPr>
            <w:tcW w:w="286" w:type="pct"/>
            <w:vMerge w:val="continue"/>
            <w:shd w:val="clear" w:color="auto" w:fill="auto"/>
            <w:vAlign w:val="center"/>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825" w:type="pct"/>
            <w:shd w:val="clear" w:color="auto" w:fill="auto"/>
            <w:vAlign w:val="center"/>
          </w:tcPr>
          <w:p>
            <w:pPr>
              <w:spacing w:line="300" w:lineRule="exact"/>
              <w:jc w:val="center"/>
              <w:rPr>
                <w:rFonts w:ascii="仿宋_GB2312" w:eastAsia="仿宋_GB2312" w:cs="Times New Roman"/>
                <w:b/>
                <w:sz w:val="28"/>
                <w:szCs w:val="28"/>
              </w:rPr>
            </w:pPr>
            <w:r>
              <w:rPr>
                <w:rFonts w:hint="eastAsia" w:ascii="仿宋_GB2312" w:eastAsia="仿宋_GB2312" w:cs="Times New Roman"/>
                <w:b/>
                <w:sz w:val="28"/>
                <w:szCs w:val="28"/>
              </w:rPr>
              <w:t>合　计</w:t>
            </w:r>
          </w:p>
        </w:tc>
        <w:tc>
          <w:tcPr>
            <w:tcW w:w="367" w:type="pct"/>
            <w:shd w:val="clear" w:color="auto" w:fill="auto"/>
            <w:vAlign w:val="center"/>
          </w:tcPr>
          <w:p>
            <w:pPr>
              <w:spacing w:line="300" w:lineRule="exact"/>
              <w:jc w:val="center"/>
              <w:rPr>
                <w:rFonts w:ascii="仿宋_GB2312" w:eastAsia="仿宋_GB2312" w:cs="Times New Roman"/>
                <w:b/>
                <w:sz w:val="28"/>
                <w:szCs w:val="28"/>
              </w:rPr>
            </w:pPr>
          </w:p>
        </w:tc>
        <w:tc>
          <w:tcPr>
            <w:tcW w:w="303" w:type="pct"/>
            <w:shd w:val="clear" w:color="auto" w:fill="auto"/>
            <w:vAlign w:val="center"/>
          </w:tcPr>
          <w:p>
            <w:pPr>
              <w:spacing w:line="300" w:lineRule="exact"/>
              <w:jc w:val="center"/>
              <w:rPr>
                <w:rFonts w:ascii="仿宋_GB2312" w:eastAsia="仿宋_GB2312" w:cs="Times New Roman"/>
                <w:b/>
                <w:sz w:val="28"/>
                <w:szCs w:val="28"/>
              </w:rPr>
            </w:pPr>
          </w:p>
        </w:tc>
        <w:tc>
          <w:tcPr>
            <w:tcW w:w="482" w:type="pct"/>
            <w:shd w:val="clear" w:color="auto" w:fill="auto"/>
            <w:vAlign w:val="center"/>
          </w:tcPr>
          <w:p>
            <w:pPr>
              <w:spacing w:line="300" w:lineRule="exact"/>
              <w:jc w:val="center"/>
              <w:rPr>
                <w:rFonts w:ascii="仿宋_GB2312" w:eastAsia="仿宋_GB2312" w:cs="Times New Roman"/>
                <w:b/>
                <w:sz w:val="28"/>
                <w:szCs w:val="28"/>
              </w:rPr>
            </w:pPr>
          </w:p>
        </w:tc>
        <w:tc>
          <w:tcPr>
            <w:tcW w:w="303" w:type="pct"/>
            <w:shd w:val="clear" w:color="auto" w:fill="auto"/>
            <w:vAlign w:val="center"/>
          </w:tcPr>
          <w:p>
            <w:pPr>
              <w:spacing w:line="300" w:lineRule="exact"/>
              <w:jc w:val="center"/>
              <w:rPr>
                <w:rFonts w:ascii="仿宋_GB2312" w:eastAsia="仿宋_GB2312" w:cs="Times New Roman"/>
                <w:b/>
                <w:sz w:val="28"/>
                <w:szCs w:val="28"/>
              </w:rPr>
            </w:pPr>
          </w:p>
        </w:tc>
        <w:tc>
          <w:tcPr>
            <w:tcW w:w="303" w:type="pct"/>
            <w:shd w:val="clear" w:color="auto" w:fill="auto"/>
            <w:vAlign w:val="center"/>
          </w:tcPr>
          <w:p>
            <w:pPr>
              <w:spacing w:line="300" w:lineRule="exact"/>
              <w:jc w:val="center"/>
              <w:rPr>
                <w:rFonts w:ascii="仿宋_GB2312" w:eastAsia="仿宋_GB2312" w:cs="Times New Roman"/>
                <w:b/>
                <w:sz w:val="28"/>
                <w:szCs w:val="28"/>
              </w:rPr>
            </w:pPr>
          </w:p>
        </w:tc>
        <w:tc>
          <w:tcPr>
            <w:tcW w:w="310" w:type="pct"/>
            <w:shd w:val="clear" w:color="auto" w:fill="auto"/>
            <w:vAlign w:val="center"/>
          </w:tcPr>
          <w:p>
            <w:pPr>
              <w:spacing w:line="300" w:lineRule="exact"/>
              <w:jc w:val="center"/>
              <w:rPr>
                <w:rFonts w:ascii="仿宋_GB2312" w:eastAsia="仿宋_GB2312" w:cs="Times New Roman"/>
                <w:b/>
                <w:sz w:val="28"/>
                <w:szCs w:val="28"/>
              </w:rPr>
            </w:pPr>
          </w:p>
        </w:tc>
        <w:tc>
          <w:tcPr>
            <w:tcW w:w="310" w:type="pct"/>
            <w:shd w:val="clear" w:color="auto" w:fill="auto"/>
            <w:vAlign w:val="center"/>
          </w:tcPr>
          <w:p>
            <w:pPr>
              <w:spacing w:line="300" w:lineRule="exact"/>
              <w:jc w:val="center"/>
              <w:rPr>
                <w:rFonts w:ascii="仿宋_GB2312" w:eastAsia="仿宋_GB2312" w:cs="Times New Roman"/>
                <w:b/>
                <w:sz w:val="28"/>
                <w:szCs w:val="28"/>
              </w:rPr>
            </w:pPr>
          </w:p>
        </w:tc>
        <w:tc>
          <w:tcPr>
            <w:tcW w:w="310" w:type="pct"/>
            <w:shd w:val="clear" w:color="auto" w:fill="auto"/>
            <w:vAlign w:val="center"/>
          </w:tcPr>
          <w:p>
            <w:pPr>
              <w:spacing w:line="300" w:lineRule="exact"/>
              <w:jc w:val="center"/>
              <w:rPr>
                <w:rFonts w:ascii="仿宋_GB2312" w:eastAsia="仿宋_GB2312" w:cs="Times New Roman"/>
                <w:b/>
                <w:sz w:val="28"/>
                <w:szCs w:val="28"/>
              </w:rPr>
            </w:pPr>
          </w:p>
        </w:tc>
        <w:tc>
          <w:tcPr>
            <w:tcW w:w="310" w:type="pct"/>
            <w:shd w:val="clear" w:color="auto" w:fill="auto"/>
            <w:vAlign w:val="center"/>
          </w:tcPr>
          <w:p>
            <w:pPr>
              <w:spacing w:line="300" w:lineRule="exact"/>
              <w:jc w:val="center"/>
              <w:rPr>
                <w:rFonts w:ascii="仿宋_GB2312" w:eastAsia="仿宋_GB2312" w:cs="Times New Roman"/>
                <w:b/>
                <w:sz w:val="28"/>
                <w:szCs w:val="28"/>
              </w:rPr>
            </w:pPr>
          </w:p>
        </w:tc>
        <w:tc>
          <w:tcPr>
            <w:tcW w:w="282" w:type="pct"/>
            <w:shd w:val="clear" w:color="auto" w:fill="auto"/>
            <w:vAlign w:val="center"/>
          </w:tcPr>
          <w:p>
            <w:pPr>
              <w:spacing w:line="300" w:lineRule="exact"/>
              <w:jc w:val="center"/>
              <w:rPr>
                <w:rFonts w:ascii="仿宋_GB2312" w:eastAsia="仿宋_GB2312" w:cs="Times New Roman"/>
                <w:b/>
                <w:sz w:val="28"/>
                <w:szCs w:val="28"/>
              </w:rPr>
            </w:pPr>
          </w:p>
        </w:tc>
        <w:tc>
          <w:tcPr>
            <w:tcW w:w="304" w:type="pct"/>
            <w:shd w:val="clear" w:color="auto" w:fill="auto"/>
            <w:vAlign w:val="center"/>
          </w:tcPr>
          <w:p>
            <w:pPr>
              <w:spacing w:line="300" w:lineRule="exact"/>
              <w:jc w:val="center"/>
              <w:rPr>
                <w:rFonts w:ascii="仿宋_GB2312" w:eastAsia="仿宋_GB2312" w:cs="Times New Roman"/>
                <w:b/>
                <w:sz w:val="28"/>
                <w:szCs w:val="28"/>
              </w:rPr>
            </w:pPr>
          </w:p>
        </w:tc>
        <w:tc>
          <w:tcPr>
            <w:tcW w:w="304" w:type="pct"/>
            <w:shd w:val="clear" w:color="auto" w:fill="auto"/>
            <w:vAlign w:val="center"/>
          </w:tcPr>
          <w:p>
            <w:pPr>
              <w:spacing w:line="300" w:lineRule="exact"/>
              <w:jc w:val="center"/>
              <w:rPr>
                <w:rFonts w:ascii="仿宋_GB2312" w:eastAsia="仿宋_GB2312" w:cs="Times New Roman"/>
                <w:b/>
                <w:sz w:val="28"/>
                <w:szCs w:val="28"/>
              </w:rPr>
            </w:pPr>
          </w:p>
        </w:tc>
        <w:tc>
          <w:tcPr>
            <w:tcW w:w="286" w:type="pct"/>
            <w:shd w:val="clear" w:color="auto" w:fill="auto"/>
            <w:vAlign w:val="center"/>
          </w:tcPr>
          <w:p>
            <w:pPr>
              <w:spacing w:line="300" w:lineRule="exact"/>
              <w:jc w:val="center"/>
              <w:rPr>
                <w:rFonts w:ascii="仿宋_GB2312" w:eastAsia="仿宋_GB2312" w:cs="Times New Roman"/>
                <w:b/>
                <w:sz w:val="28"/>
                <w:szCs w:val="28"/>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825" w:type="pct"/>
            <w:shd w:val="clear" w:color="auto" w:fill="auto"/>
            <w:vAlign w:val="center"/>
          </w:tcPr>
          <w:p>
            <w:pPr>
              <w:spacing w:line="300" w:lineRule="exact"/>
              <w:jc w:val="center"/>
              <w:rPr>
                <w:rFonts w:ascii="仿宋_GB2312" w:eastAsia="仿宋_GB2312" w:cs="Times New Roman"/>
                <w:b/>
                <w:sz w:val="28"/>
                <w:szCs w:val="28"/>
              </w:rPr>
            </w:pPr>
          </w:p>
        </w:tc>
        <w:tc>
          <w:tcPr>
            <w:tcW w:w="367" w:type="pct"/>
            <w:shd w:val="clear" w:color="auto" w:fill="auto"/>
            <w:vAlign w:val="center"/>
          </w:tcPr>
          <w:p>
            <w:pPr>
              <w:spacing w:line="300" w:lineRule="exact"/>
              <w:jc w:val="center"/>
              <w:rPr>
                <w:rFonts w:ascii="仿宋_GB2312" w:eastAsia="仿宋_GB2312" w:cs="Times New Roman"/>
                <w:b/>
                <w:sz w:val="28"/>
                <w:szCs w:val="28"/>
              </w:rPr>
            </w:pPr>
          </w:p>
        </w:tc>
        <w:tc>
          <w:tcPr>
            <w:tcW w:w="303" w:type="pct"/>
            <w:shd w:val="clear" w:color="auto" w:fill="auto"/>
            <w:vAlign w:val="center"/>
          </w:tcPr>
          <w:p>
            <w:pPr>
              <w:spacing w:line="300" w:lineRule="exact"/>
              <w:jc w:val="center"/>
              <w:rPr>
                <w:rFonts w:ascii="仿宋_GB2312" w:eastAsia="仿宋_GB2312" w:cs="Times New Roman"/>
                <w:b/>
                <w:sz w:val="28"/>
                <w:szCs w:val="28"/>
              </w:rPr>
            </w:pPr>
          </w:p>
        </w:tc>
        <w:tc>
          <w:tcPr>
            <w:tcW w:w="482" w:type="pct"/>
            <w:shd w:val="clear" w:color="auto" w:fill="auto"/>
            <w:vAlign w:val="center"/>
          </w:tcPr>
          <w:p>
            <w:pPr>
              <w:spacing w:line="300" w:lineRule="exact"/>
              <w:jc w:val="center"/>
              <w:rPr>
                <w:rFonts w:ascii="仿宋_GB2312" w:eastAsia="仿宋_GB2312" w:cs="Times New Roman"/>
                <w:b/>
                <w:sz w:val="28"/>
                <w:szCs w:val="28"/>
              </w:rPr>
            </w:pPr>
          </w:p>
        </w:tc>
        <w:tc>
          <w:tcPr>
            <w:tcW w:w="303" w:type="pct"/>
            <w:shd w:val="clear" w:color="auto" w:fill="auto"/>
            <w:vAlign w:val="center"/>
          </w:tcPr>
          <w:p>
            <w:pPr>
              <w:spacing w:line="300" w:lineRule="exact"/>
              <w:jc w:val="center"/>
              <w:rPr>
                <w:rFonts w:ascii="仿宋_GB2312" w:eastAsia="仿宋_GB2312" w:cs="Times New Roman"/>
                <w:b/>
                <w:sz w:val="28"/>
                <w:szCs w:val="28"/>
              </w:rPr>
            </w:pPr>
          </w:p>
        </w:tc>
        <w:tc>
          <w:tcPr>
            <w:tcW w:w="303" w:type="pct"/>
            <w:shd w:val="clear" w:color="auto" w:fill="auto"/>
            <w:vAlign w:val="center"/>
          </w:tcPr>
          <w:p>
            <w:pPr>
              <w:spacing w:line="300" w:lineRule="exact"/>
              <w:jc w:val="center"/>
              <w:rPr>
                <w:rFonts w:ascii="仿宋_GB2312" w:eastAsia="仿宋_GB2312" w:cs="Times New Roman"/>
                <w:b/>
                <w:sz w:val="28"/>
                <w:szCs w:val="28"/>
              </w:rPr>
            </w:pPr>
          </w:p>
        </w:tc>
        <w:tc>
          <w:tcPr>
            <w:tcW w:w="310" w:type="pct"/>
            <w:shd w:val="clear" w:color="auto" w:fill="auto"/>
            <w:vAlign w:val="center"/>
          </w:tcPr>
          <w:p>
            <w:pPr>
              <w:spacing w:line="300" w:lineRule="exact"/>
              <w:jc w:val="center"/>
              <w:rPr>
                <w:rFonts w:ascii="仿宋_GB2312" w:eastAsia="仿宋_GB2312" w:cs="Times New Roman"/>
                <w:b/>
                <w:sz w:val="28"/>
                <w:szCs w:val="28"/>
              </w:rPr>
            </w:pPr>
          </w:p>
        </w:tc>
        <w:tc>
          <w:tcPr>
            <w:tcW w:w="310" w:type="pct"/>
            <w:shd w:val="clear" w:color="auto" w:fill="auto"/>
            <w:vAlign w:val="center"/>
          </w:tcPr>
          <w:p>
            <w:pPr>
              <w:spacing w:line="300" w:lineRule="exact"/>
              <w:jc w:val="center"/>
              <w:rPr>
                <w:rFonts w:ascii="仿宋_GB2312" w:eastAsia="仿宋_GB2312" w:cs="Times New Roman"/>
                <w:b/>
                <w:sz w:val="28"/>
                <w:szCs w:val="28"/>
              </w:rPr>
            </w:pPr>
          </w:p>
        </w:tc>
        <w:tc>
          <w:tcPr>
            <w:tcW w:w="310" w:type="pct"/>
            <w:shd w:val="clear" w:color="auto" w:fill="auto"/>
            <w:vAlign w:val="center"/>
          </w:tcPr>
          <w:p>
            <w:pPr>
              <w:spacing w:line="300" w:lineRule="exact"/>
              <w:jc w:val="center"/>
              <w:rPr>
                <w:rFonts w:ascii="仿宋_GB2312" w:eastAsia="仿宋_GB2312" w:cs="Times New Roman"/>
                <w:b/>
                <w:sz w:val="28"/>
                <w:szCs w:val="28"/>
              </w:rPr>
            </w:pPr>
          </w:p>
        </w:tc>
        <w:tc>
          <w:tcPr>
            <w:tcW w:w="310" w:type="pct"/>
            <w:shd w:val="clear" w:color="auto" w:fill="auto"/>
            <w:vAlign w:val="center"/>
          </w:tcPr>
          <w:p>
            <w:pPr>
              <w:spacing w:line="300" w:lineRule="exact"/>
              <w:jc w:val="center"/>
              <w:rPr>
                <w:rFonts w:ascii="仿宋_GB2312" w:eastAsia="仿宋_GB2312" w:cs="Times New Roman"/>
                <w:b/>
                <w:sz w:val="28"/>
                <w:szCs w:val="28"/>
              </w:rPr>
            </w:pPr>
          </w:p>
        </w:tc>
        <w:tc>
          <w:tcPr>
            <w:tcW w:w="282" w:type="pct"/>
            <w:shd w:val="clear" w:color="auto" w:fill="auto"/>
            <w:vAlign w:val="center"/>
          </w:tcPr>
          <w:p>
            <w:pPr>
              <w:spacing w:line="300" w:lineRule="exact"/>
              <w:jc w:val="center"/>
              <w:rPr>
                <w:rFonts w:ascii="仿宋_GB2312" w:eastAsia="仿宋_GB2312" w:cs="Times New Roman"/>
                <w:b/>
                <w:sz w:val="28"/>
                <w:szCs w:val="28"/>
              </w:rPr>
            </w:pPr>
          </w:p>
        </w:tc>
        <w:tc>
          <w:tcPr>
            <w:tcW w:w="304" w:type="pct"/>
            <w:shd w:val="clear" w:color="auto" w:fill="auto"/>
            <w:vAlign w:val="center"/>
          </w:tcPr>
          <w:p>
            <w:pPr>
              <w:spacing w:line="300" w:lineRule="exact"/>
              <w:jc w:val="center"/>
              <w:rPr>
                <w:rFonts w:ascii="仿宋_GB2312" w:eastAsia="仿宋_GB2312" w:cs="Times New Roman"/>
                <w:b/>
                <w:sz w:val="28"/>
                <w:szCs w:val="28"/>
              </w:rPr>
            </w:pPr>
          </w:p>
        </w:tc>
        <w:tc>
          <w:tcPr>
            <w:tcW w:w="304" w:type="pct"/>
            <w:shd w:val="clear" w:color="auto" w:fill="auto"/>
            <w:vAlign w:val="center"/>
          </w:tcPr>
          <w:p>
            <w:pPr>
              <w:spacing w:line="300" w:lineRule="exact"/>
              <w:jc w:val="center"/>
              <w:rPr>
                <w:rFonts w:ascii="仿宋_GB2312" w:eastAsia="仿宋_GB2312" w:cs="Times New Roman"/>
                <w:b/>
                <w:sz w:val="28"/>
                <w:szCs w:val="28"/>
              </w:rPr>
            </w:pPr>
          </w:p>
        </w:tc>
        <w:tc>
          <w:tcPr>
            <w:tcW w:w="286" w:type="pct"/>
            <w:shd w:val="clear" w:color="auto" w:fill="auto"/>
            <w:vAlign w:val="center"/>
          </w:tcPr>
          <w:p>
            <w:pPr>
              <w:spacing w:line="300" w:lineRule="exact"/>
              <w:jc w:val="center"/>
              <w:rPr>
                <w:rFonts w:ascii="仿宋_GB2312" w:eastAsia="仿宋_GB2312" w:cs="Times New Roman"/>
                <w:b/>
                <w:sz w:val="28"/>
                <w:szCs w:val="28"/>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825" w:type="pct"/>
            <w:shd w:val="clear" w:color="auto" w:fill="auto"/>
            <w:vAlign w:val="center"/>
          </w:tcPr>
          <w:p>
            <w:pPr>
              <w:spacing w:line="300" w:lineRule="exact"/>
              <w:jc w:val="center"/>
              <w:rPr>
                <w:rFonts w:ascii="仿宋_GB2312" w:eastAsia="仿宋_GB2312" w:cs="Times New Roman"/>
                <w:sz w:val="28"/>
                <w:szCs w:val="28"/>
              </w:rPr>
            </w:pPr>
          </w:p>
        </w:tc>
        <w:tc>
          <w:tcPr>
            <w:tcW w:w="367" w:type="pct"/>
            <w:shd w:val="clear" w:color="auto" w:fill="auto"/>
            <w:vAlign w:val="center"/>
          </w:tcPr>
          <w:p>
            <w:pPr>
              <w:spacing w:line="300" w:lineRule="exact"/>
              <w:jc w:val="center"/>
              <w:rPr>
                <w:rFonts w:ascii="仿宋_GB2312" w:eastAsia="仿宋_GB2312" w:cs="Times New Roman"/>
                <w:sz w:val="28"/>
                <w:szCs w:val="28"/>
              </w:rPr>
            </w:pPr>
          </w:p>
        </w:tc>
        <w:tc>
          <w:tcPr>
            <w:tcW w:w="303" w:type="pct"/>
            <w:shd w:val="clear" w:color="auto" w:fill="auto"/>
            <w:vAlign w:val="center"/>
          </w:tcPr>
          <w:p>
            <w:pPr>
              <w:spacing w:line="300" w:lineRule="exact"/>
              <w:jc w:val="center"/>
              <w:rPr>
                <w:rFonts w:ascii="仿宋_GB2312" w:eastAsia="仿宋_GB2312" w:cs="Times New Roman"/>
                <w:sz w:val="28"/>
                <w:szCs w:val="28"/>
              </w:rPr>
            </w:pPr>
          </w:p>
        </w:tc>
        <w:tc>
          <w:tcPr>
            <w:tcW w:w="482" w:type="pct"/>
            <w:shd w:val="clear" w:color="auto" w:fill="auto"/>
            <w:vAlign w:val="center"/>
          </w:tcPr>
          <w:p>
            <w:pPr>
              <w:spacing w:line="300" w:lineRule="exact"/>
              <w:jc w:val="center"/>
              <w:rPr>
                <w:rFonts w:ascii="仿宋_GB2312" w:eastAsia="仿宋_GB2312" w:cs="Times New Roman"/>
                <w:sz w:val="28"/>
                <w:szCs w:val="28"/>
              </w:rPr>
            </w:pPr>
          </w:p>
        </w:tc>
        <w:tc>
          <w:tcPr>
            <w:tcW w:w="303" w:type="pct"/>
            <w:shd w:val="clear" w:color="auto" w:fill="auto"/>
            <w:vAlign w:val="center"/>
          </w:tcPr>
          <w:p>
            <w:pPr>
              <w:spacing w:line="300" w:lineRule="exact"/>
              <w:jc w:val="center"/>
              <w:rPr>
                <w:rFonts w:ascii="仿宋_GB2312" w:eastAsia="仿宋_GB2312" w:cs="Times New Roman"/>
                <w:sz w:val="28"/>
                <w:szCs w:val="28"/>
              </w:rPr>
            </w:pPr>
          </w:p>
        </w:tc>
        <w:tc>
          <w:tcPr>
            <w:tcW w:w="303" w:type="pct"/>
            <w:shd w:val="clear" w:color="auto" w:fill="auto"/>
            <w:vAlign w:val="center"/>
          </w:tcPr>
          <w:p>
            <w:pPr>
              <w:spacing w:line="300" w:lineRule="exact"/>
              <w:jc w:val="center"/>
              <w:rPr>
                <w:rFonts w:ascii="仿宋_GB2312" w:eastAsia="仿宋_GB2312" w:cs="Times New Roman"/>
                <w:sz w:val="28"/>
                <w:szCs w:val="28"/>
              </w:rPr>
            </w:pPr>
          </w:p>
        </w:tc>
        <w:tc>
          <w:tcPr>
            <w:tcW w:w="310" w:type="pct"/>
            <w:shd w:val="clear" w:color="auto" w:fill="auto"/>
            <w:vAlign w:val="center"/>
          </w:tcPr>
          <w:p>
            <w:pPr>
              <w:spacing w:line="300" w:lineRule="exact"/>
              <w:jc w:val="center"/>
              <w:rPr>
                <w:rFonts w:ascii="仿宋_GB2312" w:eastAsia="仿宋_GB2312" w:cs="Times New Roman"/>
                <w:sz w:val="28"/>
                <w:szCs w:val="28"/>
              </w:rPr>
            </w:pPr>
          </w:p>
        </w:tc>
        <w:tc>
          <w:tcPr>
            <w:tcW w:w="310" w:type="pct"/>
            <w:shd w:val="clear" w:color="auto" w:fill="auto"/>
            <w:vAlign w:val="center"/>
          </w:tcPr>
          <w:p>
            <w:pPr>
              <w:spacing w:line="300" w:lineRule="exact"/>
              <w:jc w:val="center"/>
              <w:rPr>
                <w:rFonts w:ascii="仿宋_GB2312" w:eastAsia="仿宋_GB2312" w:cs="Times New Roman"/>
                <w:sz w:val="28"/>
                <w:szCs w:val="28"/>
              </w:rPr>
            </w:pPr>
          </w:p>
        </w:tc>
        <w:tc>
          <w:tcPr>
            <w:tcW w:w="310" w:type="pct"/>
            <w:shd w:val="clear" w:color="auto" w:fill="auto"/>
            <w:vAlign w:val="center"/>
          </w:tcPr>
          <w:p>
            <w:pPr>
              <w:spacing w:line="300" w:lineRule="exact"/>
              <w:jc w:val="center"/>
              <w:rPr>
                <w:rFonts w:ascii="仿宋_GB2312" w:eastAsia="仿宋_GB2312" w:cs="Times New Roman"/>
                <w:sz w:val="28"/>
                <w:szCs w:val="28"/>
              </w:rPr>
            </w:pPr>
          </w:p>
        </w:tc>
        <w:tc>
          <w:tcPr>
            <w:tcW w:w="310" w:type="pct"/>
            <w:shd w:val="clear" w:color="auto" w:fill="auto"/>
            <w:vAlign w:val="center"/>
          </w:tcPr>
          <w:p>
            <w:pPr>
              <w:spacing w:line="300" w:lineRule="exact"/>
              <w:jc w:val="center"/>
              <w:rPr>
                <w:rFonts w:ascii="仿宋_GB2312" w:eastAsia="仿宋_GB2312" w:cs="Times New Roman"/>
                <w:sz w:val="28"/>
                <w:szCs w:val="28"/>
              </w:rPr>
            </w:pPr>
          </w:p>
        </w:tc>
        <w:tc>
          <w:tcPr>
            <w:tcW w:w="282" w:type="pct"/>
            <w:shd w:val="clear" w:color="auto" w:fill="auto"/>
            <w:vAlign w:val="center"/>
          </w:tcPr>
          <w:p>
            <w:pPr>
              <w:spacing w:line="300" w:lineRule="exact"/>
              <w:jc w:val="center"/>
              <w:rPr>
                <w:rFonts w:ascii="仿宋_GB2312" w:eastAsia="仿宋_GB2312" w:cs="Times New Roman"/>
                <w:sz w:val="28"/>
                <w:szCs w:val="28"/>
              </w:rPr>
            </w:pPr>
          </w:p>
        </w:tc>
        <w:tc>
          <w:tcPr>
            <w:tcW w:w="304" w:type="pct"/>
            <w:shd w:val="clear" w:color="auto" w:fill="auto"/>
            <w:vAlign w:val="center"/>
          </w:tcPr>
          <w:p>
            <w:pPr>
              <w:spacing w:line="300" w:lineRule="exact"/>
              <w:jc w:val="center"/>
              <w:rPr>
                <w:rFonts w:ascii="仿宋_GB2312" w:eastAsia="仿宋_GB2312" w:cs="Times New Roman"/>
                <w:sz w:val="28"/>
                <w:szCs w:val="28"/>
              </w:rPr>
            </w:pPr>
          </w:p>
        </w:tc>
        <w:tc>
          <w:tcPr>
            <w:tcW w:w="304" w:type="pct"/>
            <w:shd w:val="clear" w:color="auto" w:fill="auto"/>
            <w:vAlign w:val="center"/>
          </w:tcPr>
          <w:p>
            <w:pPr>
              <w:spacing w:line="300" w:lineRule="exact"/>
              <w:jc w:val="center"/>
              <w:rPr>
                <w:rFonts w:ascii="仿宋_GB2312" w:eastAsia="仿宋_GB2312" w:cs="Times New Roman"/>
                <w:sz w:val="28"/>
                <w:szCs w:val="28"/>
              </w:rPr>
            </w:pPr>
          </w:p>
        </w:tc>
        <w:tc>
          <w:tcPr>
            <w:tcW w:w="286" w:type="pct"/>
            <w:shd w:val="clear" w:color="auto" w:fill="auto"/>
            <w:vAlign w:val="center"/>
          </w:tcPr>
          <w:p>
            <w:pPr>
              <w:spacing w:line="300" w:lineRule="exact"/>
              <w:jc w:val="center"/>
              <w:rPr>
                <w:rFonts w:ascii="仿宋_GB2312" w:eastAsia="仿宋_GB2312" w:cs="Times New Roman"/>
                <w:sz w:val="28"/>
                <w:szCs w:val="28"/>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825" w:type="pct"/>
            <w:shd w:val="clear" w:color="auto" w:fill="auto"/>
            <w:vAlign w:val="center"/>
          </w:tcPr>
          <w:p>
            <w:pPr>
              <w:spacing w:line="300" w:lineRule="exact"/>
              <w:jc w:val="center"/>
              <w:rPr>
                <w:rFonts w:ascii="仿宋_GB2312" w:eastAsia="仿宋_GB2312" w:cs="Times New Roman"/>
                <w:sz w:val="28"/>
                <w:szCs w:val="28"/>
              </w:rPr>
            </w:pPr>
          </w:p>
        </w:tc>
        <w:tc>
          <w:tcPr>
            <w:tcW w:w="367" w:type="pct"/>
            <w:shd w:val="clear" w:color="auto" w:fill="auto"/>
            <w:vAlign w:val="center"/>
          </w:tcPr>
          <w:p>
            <w:pPr>
              <w:spacing w:line="300" w:lineRule="exact"/>
              <w:jc w:val="center"/>
              <w:rPr>
                <w:rFonts w:ascii="仿宋_GB2312" w:eastAsia="仿宋_GB2312" w:cs="Times New Roman"/>
                <w:sz w:val="28"/>
                <w:szCs w:val="28"/>
              </w:rPr>
            </w:pPr>
          </w:p>
        </w:tc>
        <w:tc>
          <w:tcPr>
            <w:tcW w:w="303" w:type="pct"/>
            <w:shd w:val="clear" w:color="auto" w:fill="auto"/>
            <w:vAlign w:val="center"/>
          </w:tcPr>
          <w:p>
            <w:pPr>
              <w:spacing w:line="300" w:lineRule="exact"/>
              <w:jc w:val="center"/>
              <w:rPr>
                <w:rFonts w:ascii="仿宋_GB2312" w:eastAsia="仿宋_GB2312" w:cs="Times New Roman"/>
                <w:sz w:val="28"/>
                <w:szCs w:val="28"/>
              </w:rPr>
            </w:pPr>
          </w:p>
        </w:tc>
        <w:tc>
          <w:tcPr>
            <w:tcW w:w="482" w:type="pct"/>
            <w:shd w:val="clear" w:color="auto" w:fill="auto"/>
            <w:vAlign w:val="center"/>
          </w:tcPr>
          <w:p>
            <w:pPr>
              <w:spacing w:line="300" w:lineRule="exact"/>
              <w:jc w:val="center"/>
              <w:rPr>
                <w:rFonts w:ascii="仿宋_GB2312" w:eastAsia="仿宋_GB2312" w:cs="Times New Roman"/>
                <w:sz w:val="28"/>
                <w:szCs w:val="28"/>
              </w:rPr>
            </w:pPr>
          </w:p>
        </w:tc>
        <w:tc>
          <w:tcPr>
            <w:tcW w:w="303" w:type="pct"/>
            <w:shd w:val="clear" w:color="auto" w:fill="auto"/>
            <w:vAlign w:val="center"/>
          </w:tcPr>
          <w:p>
            <w:pPr>
              <w:spacing w:line="300" w:lineRule="exact"/>
              <w:jc w:val="center"/>
              <w:rPr>
                <w:rFonts w:ascii="仿宋_GB2312" w:eastAsia="仿宋_GB2312" w:cs="Times New Roman"/>
                <w:sz w:val="28"/>
                <w:szCs w:val="28"/>
              </w:rPr>
            </w:pPr>
          </w:p>
        </w:tc>
        <w:tc>
          <w:tcPr>
            <w:tcW w:w="303" w:type="pct"/>
            <w:shd w:val="clear" w:color="auto" w:fill="auto"/>
            <w:vAlign w:val="center"/>
          </w:tcPr>
          <w:p>
            <w:pPr>
              <w:spacing w:line="300" w:lineRule="exact"/>
              <w:jc w:val="center"/>
              <w:rPr>
                <w:rFonts w:ascii="仿宋_GB2312" w:eastAsia="仿宋_GB2312" w:cs="Times New Roman"/>
                <w:sz w:val="28"/>
                <w:szCs w:val="28"/>
              </w:rPr>
            </w:pPr>
          </w:p>
        </w:tc>
        <w:tc>
          <w:tcPr>
            <w:tcW w:w="310" w:type="pct"/>
            <w:shd w:val="clear" w:color="auto" w:fill="auto"/>
            <w:vAlign w:val="center"/>
          </w:tcPr>
          <w:p>
            <w:pPr>
              <w:spacing w:line="300" w:lineRule="exact"/>
              <w:jc w:val="center"/>
              <w:rPr>
                <w:rFonts w:ascii="仿宋_GB2312" w:eastAsia="仿宋_GB2312" w:cs="Times New Roman"/>
                <w:sz w:val="28"/>
                <w:szCs w:val="28"/>
              </w:rPr>
            </w:pPr>
          </w:p>
        </w:tc>
        <w:tc>
          <w:tcPr>
            <w:tcW w:w="310" w:type="pct"/>
            <w:shd w:val="clear" w:color="auto" w:fill="auto"/>
            <w:vAlign w:val="center"/>
          </w:tcPr>
          <w:p>
            <w:pPr>
              <w:spacing w:line="300" w:lineRule="exact"/>
              <w:jc w:val="center"/>
              <w:rPr>
                <w:rFonts w:ascii="仿宋_GB2312" w:eastAsia="仿宋_GB2312" w:cs="Times New Roman"/>
                <w:sz w:val="28"/>
                <w:szCs w:val="28"/>
              </w:rPr>
            </w:pPr>
          </w:p>
        </w:tc>
        <w:tc>
          <w:tcPr>
            <w:tcW w:w="310" w:type="pct"/>
            <w:shd w:val="clear" w:color="auto" w:fill="auto"/>
            <w:vAlign w:val="center"/>
          </w:tcPr>
          <w:p>
            <w:pPr>
              <w:spacing w:line="300" w:lineRule="exact"/>
              <w:jc w:val="center"/>
              <w:rPr>
                <w:rFonts w:ascii="仿宋_GB2312" w:eastAsia="仿宋_GB2312" w:cs="Times New Roman"/>
                <w:sz w:val="28"/>
                <w:szCs w:val="28"/>
              </w:rPr>
            </w:pPr>
          </w:p>
        </w:tc>
        <w:tc>
          <w:tcPr>
            <w:tcW w:w="310" w:type="pct"/>
            <w:shd w:val="clear" w:color="auto" w:fill="auto"/>
            <w:vAlign w:val="center"/>
          </w:tcPr>
          <w:p>
            <w:pPr>
              <w:spacing w:line="300" w:lineRule="exact"/>
              <w:jc w:val="center"/>
              <w:rPr>
                <w:rFonts w:ascii="仿宋_GB2312" w:eastAsia="仿宋_GB2312" w:cs="Times New Roman"/>
                <w:sz w:val="28"/>
                <w:szCs w:val="28"/>
              </w:rPr>
            </w:pPr>
          </w:p>
        </w:tc>
        <w:tc>
          <w:tcPr>
            <w:tcW w:w="282" w:type="pct"/>
            <w:shd w:val="clear" w:color="auto" w:fill="auto"/>
            <w:vAlign w:val="center"/>
          </w:tcPr>
          <w:p>
            <w:pPr>
              <w:spacing w:line="300" w:lineRule="exact"/>
              <w:jc w:val="center"/>
              <w:rPr>
                <w:rFonts w:ascii="仿宋_GB2312" w:eastAsia="仿宋_GB2312" w:cs="Times New Roman"/>
                <w:sz w:val="28"/>
                <w:szCs w:val="28"/>
              </w:rPr>
            </w:pPr>
          </w:p>
        </w:tc>
        <w:tc>
          <w:tcPr>
            <w:tcW w:w="304" w:type="pct"/>
            <w:shd w:val="clear" w:color="auto" w:fill="auto"/>
            <w:vAlign w:val="center"/>
          </w:tcPr>
          <w:p>
            <w:pPr>
              <w:spacing w:line="300" w:lineRule="exact"/>
              <w:jc w:val="center"/>
              <w:rPr>
                <w:rFonts w:ascii="仿宋_GB2312" w:eastAsia="仿宋_GB2312" w:cs="Times New Roman"/>
                <w:sz w:val="28"/>
                <w:szCs w:val="28"/>
              </w:rPr>
            </w:pPr>
          </w:p>
        </w:tc>
        <w:tc>
          <w:tcPr>
            <w:tcW w:w="304" w:type="pct"/>
            <w:shd w:val="clear" w:color="auto" w:fill="auto"/>
            <w:vAlign w:val="center"/>
          </w:tcPr>
          <w:p>
            <w:pPr>
              <w:spacing w:line="300" w:lineRule="exact"/>
              <w:jc w:val="center"/>
              <w:rPr>
                <w:rFonts w:ascii="仿宋_GB2312" w:eastAsia="仿宋_GB2312" w:cs="Times New Roman"/>
                <w:sz w:val="28"/>
                <w:szCs w:val="28"/>
              </w:rPr>
            </w:pPr>
          </w:p>
        </w:tc>
        <w:tc>
          <w:tcPr>
            <w:tcW w:w="286" w:type="pct"/>
            <w:shd w:val="clear" w:color="auto" w:fill="auto"/>
            <w:vAlign w:val="center"/>
          </w:tcPr>
          <w:p>
            <w:pPr>
              <w:spacing w:line="300" w:lineRule="exact"/>
              <w:jc w:val="center"/>
              <w:rPr>
                <w:rFonts w:ascii="仿宋_GB2312" w:eastAsia="仿宋_GB2312" w:cs="Times New Roman"/>
                <w:sz w:val="28"/>
                <w:szCs w:val="28"/>
              </w:rPr>
            </w:pPr>
          </w:p>
        </w:tc>
      </w:tr>
    </w:tbl>
    <w:p>
      <w:pPr>
        <w:widowControl/>
        <w:spacing w:line="360" w:lineRule="atLeast"/>
        <w:jc w:val="left"/>
        <w:rPr>
          <w:rFonts w:ascii="黑体" w:eastAsia="黑体" w:cs="宋体"/>
          <w:b/>
          <w:bCs/>
          <w:color w:val="000000"/>
          <w:kern w:val="0"/>
          <w:sz w:val="32"/>
          <w:szCs w:val="32"/>
        </w:rPr>
      </w:pPr>
    </w:p>
    <w:p>
      <w:pPr>
        <w:widowControl/>
        <w:spacing w:line="360" w:lineRule="atLeast"/>
        <w:jc w:val="left"/>
        <w:rPr>
          <w:rFonts w:ascii="仿宋_GB2312" w:eastAsia="仿宋_GB2312" w:cs="宋体"/>
          <w:color w:val="000000"/>
          <w:kern w:val="0"/>
          <w:sz w:val="32"/>
          <w:szCs w:val="32"/>
        </w:rPr>
      </w:pPr>
      <w:r>
        <w:rPr>
          <w:rFonts w:ascii="黑体" w:eastAsia="黑体" w:cs="宋体"/>
          <w:b/>
          <w:bCs/>
          <w:color w:val="000000"/>
          <w:kern w:val="0"/>
          <w:sz w:val="32"/>
          <w:szCs w:val="32"/>
        </w:rPr>
        <w:br w:type="page"/>
      </w:r>
      <w:r>
        <w:rPr>
          <w:rFonts w:hint="eastAsia" w:ascii="黑体" w:eastAsia="黑体" w:cs="宋体"/>
          <w:b/>
          <w:bCs/>
          <w:color w:val="000000"/>
          <w:kern w:val="0"/>
          <w:sz w:val="32"/>
          <w:szCs w:val="32"/>
        </w:rPr>
        <w:t>七、国有资产信息</w:t>
      </w:r>
      <w:r>
        <w:rPr>
          <w:rFonts w:hint="eastAsia" w:ascii="黑体" w:eastAsia="黑体"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我部门（含所属单位）上年末固定资产金额为1121.29万元，我部门本年度无拟购置固定资产，详见下表。</w:t>
      </w:r>
    </w:p>
    <w:tbl>
      <w:tblPr>
        <w:tblStyle w:val="4"/>
        <w:tblW w:w="10385" w:type="dxa"/>
        <w:tblCellSpacing w:w="0" w:type="dxa"/>
        <w:tblInd w:w="0" w:type="dxa"/>
        <w:tblLayout w:type="autofit"/>
        <w:tblCellMar>
          <w:top w:w="0" w:type="dxa"/>
          <w:left w:w="0" w:type="dxa"/>
          <w:bottom w:w="0" w:type="dxa"/>
          <w:right w:w="0" w:type="dxa"/>
        </w:tblCellMar>
      </w:tblPr>
      <w:tblGrid>
        <w:gridCol w:w="4040"/>
        <w:gridCol w:w="2600"/>
        <w:gridCol w:w="3865"/>
      </w:tblGrid>
      <w:tr>
        <w:tblPrEx>
          <w:tblCellMar>
            <w:top w:w="0" w:type="dxa"/>
            <w:left w:w="0" w:type="dxa"/>
            <w:bottom w:w="0" w:type="dxa"/>
            <w:right w:w="0" w:type="dxa"/>
          </w:tblCellMar>
        </w:tblPrEx>
        <w:trPr>
          <w:trHeight w:val="705" w:hRule="atLeast"/>
          <w:tblCellSpacing w:w="0" w:type="dxa"/>
        </w:trPr>
        <w:tc>
          <w:tcPr>
            <w:tcW w:w="10415" w:type="dxa"/>
            <w:gridSpan w:val="3"/>
            <w:noWrap/>
            <w:vAlign w:val="center"/>
          </w:tcPr>
          <w:p>
            <w:pPr>
              <w:widowControl/>
              <w:jc w:val="center"/>
              <w:rPr>
                <w:rFonts w:ascii="仿宋_GB2312" w:eastAsia="仿宋_GB2312" w:cs="宋体"/>
                <w:kern w:val="0"/>
                <w:sz w:val="28"/>
                <w:szCs w:val="28"/>
              </w:rPr>
            </w:pPr>
            <w:r>
              <w:rPr>
                <w:rFonts w:hint="eastAsia" w:ascii="仿宋_GB2312" w:eastAsia="仿宋_GB2312" w:cs="宋体"/>
                <w:b/>
                <w:bCs/>
                <w:kern w:val="0"/>
                <w:sz w:val="28"/>
                <w:szCs w:val="28"/>
              </w:rPr>
              <w:t>廊坊市广阳区预算部门固定资产占用情况表</w:t>
            </w:r>
          </w:p>
        </w:tc>
      </w:tr>
      <w:tr>
        <w:tblPrEx>
          <w:tblCellMar>
            <w:top w:w="0" w:type="dxa"/>
            <w:left w:w="0" w:type="dxa"/>
            <w:bottom w:w="0" w:type="dxa"/>
            <w:right w:w="0" w:type="dxa"/>
          </w:tblCellMar>
        </w:tblPrEx>
        <w:trPr>
          <w:trHeight w:val="510" w:hRule="atLeast"/>
          <w:tblCellSpacing w:w="0" w:type="dxa"/>
        </w:trPr>
        <w:tc>
          <w:tcPr>
            <w:tcW w:w="6585" w:type="dxa"/>
            <w:gridSpan w:val="2"/>
            <w:noWrap/>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编制部门：</w:t>
            </w:r>
            <w:r>
              <w:rPr>
                <w:rFonts w:hint="eastAsia" w:ascii="仿宋_GB2312" w:eastAsia="仿宋_GB2312" w:cs="宋体"/>
                <w:b/>
                <w:bCs/>
                <w:kern w:val="0"/>
                <w:sz w:val="28"/>
                <w:szCs w:val="28"/>
              </w:rPr>
              <w:t>廊坊市广阳区九州镇人民政府</w:t>
            </w:r>
          </w:p>
        </w:tc>
        <w:tc>
          <w:tcPr>
            <w:tcW w:w="3845" w:type="dxa"/>
            <w:noWrap/>
            <w:vAlign w:val="center"/>
          </w:tcPr>
          <w:p>
            <w:pPr>
              <w:widowControl/>
              <w:jc w:val="left"/>
              <w:rPr>
                <w:rFonts w:ascii="宋体" w:hAnsi="宋体" w:eastAsia="仿宋_GB2312" w:cs="宋体"/>
                <w:kern w:val="0"/>
                <w:sz w:val="28"/>
                <w:szCs w:val="28"/>
              </w:rPr>
            </w:pPr>
            <w:r>
              <w:rPr>
                <w:rFonts w:hint="eastAsia" w:ascii="仿宋_GB2312" w:eastAsia="仿宋_GB2312" w:cs="宋体"/>
                <w:kern w:val="0"/>
                <w:sz w:val="28"/>
                <w:szCs w:val="28"/>
              </w:rPr>
              <w:t>截止时间：2016年12月31日</w:t>
            </w:r>
            <w:r>
              <w:rPr>
                <w:rFonts w:ascii="宋体" w:hAnsi="宋体" w:eastAsia="仿宋_GB2312" w:cs="宋体"/>
                <w:kern w:val="0"/>
                <w:sz w:val="28"/>
                <w:szCs w:val="28"/>
              </w:rPr>
              <w:t> </w:t>
            </w:r>
          </w:p>
        </w:tc>
      </w:tr>
      <w:tr>
        <w:tblPrEx>
          <w:tblCellMar>
            <w:top w:w="0" w:type="dxa"/>
            <w:left w:w="0" w:type="dxa"/>
            <w:bottom w:w="0" w:type="dxa"/>
            <w:right w:w="0" w:type="dxa"/>
          </w:tblCellMar>
        </w:tblPrEx>
        <w:trPr>
          <w:trHeight w:val="645" w:hRule="atLeast"/>
          <w:tblCellSpacing w:w="0" w:type="dxa"/>
        </w:trPr>
        <w:tc>
          <w:tcPr>
            <w:tcW w:w="4020"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项</w:t>
            </w:r>
            <w:r>
              <w:rPr>
                <w:rFonts w:ascii="宋体" w:hAnsi="宋体" w:eastAsia="仿宋_GB2312" w:cs="宋体"/>
                <w:b/>
                <w:bCs/>
                <w:kern w:val="0"/>
                <w:sz w:val="28"/>
                <w:szCs w:val="28"/>
              </w:rPr>
              <w:t xml:space="preserve">   </w:t>
            </w:r>
            <w:r>
              <w:rPr>
                <w:rFonts w:hint="eastAsia" w:ascii="仿宋_GB2312" w:eastAsia="仿宋_GB2312" w:cs="宋体"/>
                <w:b/>
                <w:bCs/>
                <w:kern w:val="0"/>
                <w:sz w:val="28"/>
                <w:szCs w:val="28"/>
              </w:rPr>
              <w:t>目</w:t>
            </w:r>
          </w:p>
        </w:tc>
        <w:tc>
          <w:tcPr>
            <w:tcW w:w="2580"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数量</w:t>
            </w:r>
          </w:p>
        </w:tc>
        <w:tc>
          <w:tcPr>
            <w:tcW w:w="3845"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b/>
                <w:bCs/>
                <w:kern w:val="0"/>
                <w:sz w:val="28"/>
                <w:szCs w:val="28"/>
              </w:rPr>
              <w:t>价值（金额单位：万元）</w:t>
            </w:r>
          </w:p>
        </w:tc>
      </w:tr>
      <w:tr>
        <w:tblPrEx>
          <w:tblCellMar>
            <w:top w:w="0" w:type="dxa"/>
            <w:left w:w="0" w:type="dxa"/>
            <w:bottom w:w="0" w:type="dxa"/>
            <w:right w:w="0" w:type="dxa"/>
          </w:tblCellMar>
        </w:tblPrEx>
        <w:trPr>
          <w:trHeight w:val="645" w:hRule="atLeast"/>
          <w:tblCellSpacing w:w="0" w:type="dxa"/>
        </w:trPr>
        <w:tc>
          <w:tcPr>
            <w:tcW w:w="4020"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资产总额</w:t>
            </w:r>
          </w:p>
        </w:tc>
        <w:tc>
          <w:tcPr>
            <w:tcW w:w="2580"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w:t>
            </w:r>
          </w:p>
        </w:tc>
        <w:tc>
          <w:tcPr>
            <w:tcW w:w="3845"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1121.29</w:t>
            </w:r>
          </w:p>
        </w:tc>
      </w:tr>
      <w:tr>
        <w:tblPrEx>
          <w:tblCellMar>
            <w:top w:w="0" w:type="dxa"/>
            <w:left w:w="0" w:type="dxa"/>
            <w:bottom w:w="0" w:type="dxa"/>
            <w:right w:w="0" w:type="dxa"/>
          </w:tblCellMar>
        </w:tblPrEx>
        <w:trPr>
          <w:trHeight w:val="645" w:hRule="atLeast"/>
          <w:tblCellSpacing w:w="0" w:type="dxa"/>
        </w:trPr>
        <w:tc>
          <w:tcPr>
            <w:tcW w:w="4020"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1、房屋（平方米）</w:t>
            </w:r>
          </w:p>
        </w:tc>
        <w:tc>
          <w:tcPr>
            <w:tcW w:w="2580"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24128</w:t>
            </w:r>
          </w:p>
        </w:tc>
        <w:tc>
          <w:tcPr>
            <w:tcW w:w="3845"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710.04</w:t>
            </w:r>
          </w:p>
        </w:tc>
      </w:tr>
      <w:tr>
        <w:tblPrEx>
          <w:tblCellMar>
            <w:top w:w="0" w:type="dxa"/>
            <w:left w:w="0" w:type="dxa"/>
            <w:bottom w:w="0" w:type="dxa"/>
            <w:right w:w="0" w:type="dxa"/>
          </w:tblCellMar>
        </w:tblPrEx>
        <w:trPr>
          <w:trHeight w:val="645" w:hRule="atLeast"/>
          <w:tblCellSpacing w:w="0" w:type="dxa"/>
        </w:trPr>
        <w:tc>
          <w:tcPr>
            <w:tcW w:w="4020"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ascii="宋体" w:hAnsi="宋体" w:eastAsia="仿宋_GB2312" w:cs="宋体"/>
                <w:kern w:val="0"/>
                <w:sz w:val="28"/>
                <w:szCs w:val="28"/>
              </w:rPr>
              <w:t xml:space="preserve">   </w:t>
            </w:r>
            <w:r>
              <w:rPr>
                <w:rFonts w:hint="eastAsia" w:ascii="仿宋_GB2312" w:eastAsia="仿宋_GB2312" w:cs="宋体"/>
                <w:kern w:val="0"/>
                <w:sz w:val="28"/>
                <w:szCs w:val="28"/>
              </w:rPr>
              <w:t>其中：办公用房（平方米）</w:t>
            </w:r>
          </w:p>
        </w:tc>
        <w:tc>
          <w:tcPr>
            <w:tcW w:w="2580"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24128</w:t>
            </w:r>
          </w:p>
        </w:tc>
        <w:tc>
          <w:tcPr>
            <w:tcW w:w="3845"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710.04</w:t>
            </w:r>
          </w:p>
        </w:tc>
      </w:tr>
      <w:tr>
        <w:tblPrEx>
          <w:tblCellMar>
            <w:top w:w="0" w:type="dxa"/>
            <w:left w:w="0" w:type="dxa"/>
            <w:bottom w:w="0" w:type="dxa"/>
            <w:right w:w="0" w:type="dxa"/>
          </w:tblCellMar>
        </w:tblPrEx>
        <w:trPr>
          <w:trHeight w:val="645" w:hRule="atLeast"/>
          <w:tblCellSpacing w:w="0" w:type="dxa"/>
        </w:trPr>
        <w:tc>
          <w:tcPr>
            <w:tcW w:w="4020"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2、车辆（台、辆）</w:t>
            </w:r>
          </w:p>
        </w:tc>
        <w:tc>
          <w:tcPr>
            <w:tcW w:w="2580"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7</w:t>
            </w:r>
          </w:p>
        </w:tc>
        <w:tc>
          <w:tcPr>
            <w:tcW w:w="3845"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99.53</w:t>
            </w:r>
          </w:p>
        </w:tc>
      </w:tr>
      <w:tr>
        <w:tblPrEx>
          <w:tblCellMar>
            <w:top w:w="0" w:type="dxa"/>
            <w:left w:w="0" w:type="dxa"/>
            <w:bottom w:w="0" w:type="dxa"/>
            <w:right w:w="0" w:type="dxa"/>
          </w:tblCellMar>
        </w:tblPrEx>
        <w:trPr>
          <w:trHeight w:val="645" w:hRule="atLeast"/>
          <w:tblCellSpacing w:w="0" w:type="dxa"/>
        </w:trPr>
        <w:tc>
          <w:tcPr>
            <w:tcW w:w="4020"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3、单价在50万元以上的设备</w:t>
            </w:r>
          </w:p>
        </w:tc>
        <w:tc>
          <w:tcPr>
            <w:tcW w:w="2580"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0</w:t>
            </w:r>
          </w:p>
        </w:tc>
        <w:tc>
          <w:tcPr>
            <w:tcW w:w="3845"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0.00</w:t>
            </w:r>
          </w:p>
        </w:tc>
      </w:tr>
      <w:tr>
        <w:tblPrEx>
          <w:tblCellMar>
            <w:top w:w="0" w:type="dxa"/>
            <w:left w:w="0" w:type="dxa"/>
            <w:bottom w:w="0" w:type="dxa"/>
            <w:right w:w="0" w:type="dxa"/>
          </w:tblCellMar>
        </w:tblPrEx>
        <w:trPr>
          <w:trHeight w:val="645" w:hRule="atLeast"/>
          <w:tblCellSpacing w:w="0" w:type="dxa"/>
        </w:trPr>
        <w:tc>
          <w:tcPr>
            <w:tcW w:w="4020"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4、其他固定资产</w:t>
            </w:r>
          </w:p>
        </w:tc>
        <w:tc>
          <w:tcPr>
            <w:tcW w:w="2580"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宋体" w:hAnsi="宋体" w:eastAsia="仿宋_GB2312" w:cs="宋体"/>
                <w:kern w:val="0"/>
                <w:sz w:val="28"/>
                <w:szCs w:val="28"/>
              </w:rPr>
            </w:pPr>
            <w:r>
              <w:rPr>
                <w:rFonts w:ascii="宋体" w:hAnsi="宋体" w:eastAsia="仿宋_GB2312" w:cs="宋体"/>
                <w:kern w:val="0"/>
                <w:sz w:val="28"/>
                <w:szCs w:val="28"/>
              </w:rPr>
              <w:t> </w:t>
            </w:r>
          </w:p>
        </w:tc>
        <w:tc>
          <w:tcPr>
            <w:tcW w:w="3845"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仿宋_GB2312" w:eastAsia="仿宋_GB2312" w:cs="宋体"/>
                <w:kern w:val="0"/>
                <w:sz w:val="28"/>
                <w:szCs w:val="28"/>
              </w:rPr>
            </w:pPr>
            <w:r>
              <w:rPr>
                <w:rFonts w:hint="eastAsia" w:ascii="仿宋_GB2312" w:eastAsia="仿宋_GB2312" w:cs="宋体"/>
                <w:kern w:val="0"/>
                <w:sz w:val="28"/>
                <w:szCs w:val="28"/>
              </w:rPr>
              <w:t>311.72</w:t>
            </w:r>
          </w:p>
        </w:tc>
      </w:tr>
    </w:tbl>
    <w:p>
      <w:pPr>
        <w:pStyle w:val="8"/>
        <w:rPr>
          <w:rFonts w:ascii="仿宋_GB2312" w:eastAsia="仿宋_GB2312"/>
          <w:b/>
          <w:bCs/>
          <w:sz w:val="32"/>
          <w:szCs w:val="32"/>
        </w:rPr>
      </w:pPr>
      <w:r>
        <w:rPr>
          <w:rFonts w:hint="eastAsia" w:ascii="黑体" w:eastAsia="黑体" w:cs="宋体"/>
          <w:b/>
          <w:bCs/>
          <w:sz w:val="32"/>
          <w:szCs w:val="32"/>
        </w:rPr>
        <w:t>八、名词解释</w:t>
      </w:r>
      <w:r>
        <w:rPr>
          <w:rFonts w:hint="eastAsia" w:ascii="黑体" w:eastAsia="黑体" w:cs="宋体"/>
          <w:sz w:val="32"/>
          <w:szCs w:val="32"/>
        </w:rPr>
        <w:br w:type="textWrapping"/>
      </w:r>
      <w:r>
        <w:rPr>
          <w:rFonts w:hint="eastAsia"/>
          <w:b/>
          <w:bCs/>
          <w:sz w:val="32"/>
          <w:szCs w:val="32"/>
        </w:rPr>
        <w:t xml:space="preserve">  </w:t>
      </w:r>
      <w:r>
        <w:rPr>
          <w:b/>
          <w:bCs/>
          <w:sz w:val="32"/>
          <w:szCs w:val="32"/>
        </w:rPr>
        <w:t xml:space="preserve"> </w:t>
      </w:r>
      <w:r>
        <w:rPr>
          <w:rFonts w:hint="eastAsia"/>
          <w:b/>
          <w:bCs/>
          <w:sz w:val="32"/>
          <w:szCs w:val="32"/>
        </w:rPr>
        <w:t xml:space="preserve"> </w:t>
      </w:r>
      <w:r>
        <w:rPr>
          <w:rFonts w:hint="eastAsia" w:ascii="仿宋_GB2312" w:eastAsia="仿宋_GB2312"/>
          <w:b/>
          <w:bCs/>
          <w:sz w:val="32"/>
          <w:szCs w:val="32"/>
        </w:rPr>
        <w:t>1</w:t>
      </w:r>
      <w:r>
        <w:rPr>
          <w:rFonts w:hint="eastAsia" w:ascii="仿宋_GB2312" w:eastAsia="仿宋_GB2312" w:cs="FZFangSong-Z02"/>
          <w:sz w:val="32"/>
          <w:szCs w:val="32"/>
        </w:rPr>
        <w:t>、一般公共预算拨款收入：指市级财政当年拨付的资金。</w:t>
      </w:r>
    </w:p>
    <w:p>
      <w:pPr>
        <w:pStyle w:val="8"/>
        <w:rPr>
          <w:rFonts w:ascii="仿宋_GB2312" w:eastAsia="仿宋_GB2312" w:cs="FZFangSong-Z02"/>
          <w:sz w:val="32"/>
          <w:szCs w:val="32"/>
        </w:rPr>
      </w:pPr>
      <w:r>
        <w:rPr>
          <w:rFonts w:hint="eastAsia" w:ascii="仿宋_GB2312" w:eastAsia="仿宋_GB2312"/>
          <w:b/>
          <w:bCs/>
          <w:sz w:val="32"/>
          <w:szCs w:val="32"/>
        </w:rPr>
        <w:t xml:space="preserve">    2</w:t>
      </w:r>
      <w:r>
        <w:rPr>
          <w:rFonts w:hint="eastAsia" w:ascii="仿宋_GB2312" w:eastAsia="仿宋_GB2312" w:cs="FZFangSong-Z02"/>
          <w:sz w:val="32"/>
          <w:szCs w:val="32"/>
        </w:rPr>
        <w:t>、事业收入：指事业单位开展专业业务活动及辅助活动所取得的收入。</w:t>
      </w:r>
    </w:p>
    <w:p>
      <w:pPr>
        <w:pStyle w:val="8"/>
        <w:rPr>
          <w:rFonts w:ascii="仿宋_GB2312" w:eastAsia="仿宋_GB2312" w:cs="FZFangSong-Z02"/>
          <w:sz w:val="32"/>
          <w:szCs w:val="32"/>
        </w:rPr>
      </w:pPr>
      <w:r>
        <w:rPr>
          <w:rFonts w:hint="eastAsia" w:ascii="仿宋_GB2312" w:eastAsia="仿宋_GB2312"/>
          <w:b/>
          <w:bCs/>
          <w:sz w:val="32"/>
          <w:szCs w:val="32"/>
        </w:rPr>
        <w:t xml:space="preserve">    3</w:t>
      </w:r>
      <w:r>
        <w:rPr>
          <w:rFonts w:hint="eastAsia" w:ascii="仿宋_GB2312" w:eastAsia="仿宋_GB2312" w:cs="FZFangSong-Z02"/>
          <w:sz w:val="32"/>
          <w:szCs w:val="32"/>
        </w:rPr>
        <w:t>、其他收入：指除上述</w:t>
      </w:r>
      <w:r>
        <w:rPr>
          <w:rFonts w:hint="eastAsia" w:ascii="仿宋_GB2312" w:eastAsia="仿宋_GB2312"/>
          <w:sz w:val="32"/>
          <w:szCs w:val="32"/>
        </w:rPr>
        <w:t>“</w:t>
      </w:r>
      <w:r>
        <w:rPr>
          <w:rFonts w:hint="eastAsia" w:ascii="仿宋_GB2312" w:eastAsia="仿宋_GB2312" w:cs="FZFangSong-Z02"/>
          <w:sz w:val="32"/>
          <w:szCs w:val="32"/>
        </w:rPr>
        <w:t>财政拨款收入</w:t>
      </w:r>
      <w:r>
        <w:rPr>
          <w:rFonts w:hint="eastAsia" w:ascii="仿宋_GB2312" w:eastAsia="仿宋_GB2312"/>
          <w:sz w:val="32"/>
          <w:szCs w:val="32"/>
        </w:rPr>
        <w:t>”</w:t>
      </w:r>
      <w:r>
        <w:rPr>
          <w:rFonts w:hint="eastAsia" w:ascii="仿宋_GB2312" w:eastAsia="仿宋_GB2312" w:cs="FZFangSong-Z02"/>
          <w:sz w:val="32"/>
          <w:szCs w:val="32"/>
        </w:rPr>
        <w:t>、</w:t>
      </w:r>
      <w:r>
        <w:rPr>
          <w:rFonts w:hint="eastAsia" w:ascii="仿宋_GB2312" w:eastAsia="仿宋_GB2312"/>
          <w:sz w:val="32"/>
          <w:szCs w:val="32"/>
        </w:rPr>
        <w:t>“</w:t>
      </w:r>
      <w:r>
        <w:rPr>
          <w:rFonts w:hint="eastAsia" w:ascii="仿宋_GB2312" w:eastAsia="仿宋_GB2312" w:cs="FZFangSong-Z02"/>
          <w:sz w:val="32"/>
          <w:szCs w:val="32"/>
        </w:rPr>
        <w:t>事业收入</w:t>
      </w:r>
      <w:r>
        <w:rPr>
          <w:rFonts w:hint="eastAsia" w:ascii="仿宋_GB2312" w:eastAsia="仿宋_GB2312"/>
          <w:sz w:val="32"/>
          <w:szCs w:val="32"/>
        </w:rPr>
        <w:t>”</w:t>
      </w:r>
      <w:r>
        <w:rPr>
          <w:rFonts w:hint="eastAsia" w:ascii="仿宋_GB2312" w:eastAsia="仿宋_GB2312" w:cs="FZFangSong-Z02"/>
          <w:sz w:val="32"/>
          <w:szCs w:val="32"/>
        </w:rPr>
        <w:t>等以外的收入。主要是按规定动用的租房收入、存款利息收入等。</w:t>
      </w:r>
    </w:p>
    <w:p>
      <w:pPr>
        <w:pStyle w:val="8"/>
        <w:rPr>
          <w:rFonts w:ascii="仿宋_GB2312" w:eastAsia="仿宋_GB2312" w:cs="FZFangSong-Z02"/>
          <w:sz w:val="32"/>
          <w:szCs w:val="32"/>
        </w:rPr>
      </w:pPr>
      <w:r>
        <w:rPr>
          <w:rFonts w:hint="eastAsia" w:ascii="仿宋_GB2312" w:eastAsia="仿宋_GB2312"/>
          <w:b/>
          <w:bCs/>
          <w:sz w:val="32"/>
          <w:szCs w:val="32"/>
        </w:rPr>
        <w:t xml:space="preserve">    4</w:t>
      </w:r>
      <w:r>
        <w:rPr>
          <w:rFonts w:hint="eastAsia" w:ascii="仿宋_GB2312" w:eastAsia="仿宋_GB2312" w:cs="FZFangSong-Z02"/>
          <w:sz w:val="32"/>
          <w:szCs w:val="32"/>
        </w:rPr>
        <w:t>、基本支出：</w:t>
      </w:r>
      <w:r>
        <w:rPr>
          <w:rFonts w:hint="eastAsia" w:ascii="仿宋_GB2312" w:eastAsia="仿宋_GB2312"/>
          <w:sz w:val="32"/>
          <w:szCs w:val="32"/>
        </w:rPr>
        <w:t>指为保障机构正常运转、完成日常工作任务而发生的人员支出和公用支出。</w:t>
      </w:r>
    </w:p>
    <w:p>
      <w:pPr>
        <w:rPr>
          <w:rFonts w:ascii="仿宋_GB2312" w:eastAsia="仿宋_GB2312"/>
          <w:sz w:val="32"/>
          <w:szCs w:val="32"/>
        </w:rPr>
      </w:pPr>
      <w:r>
        <w:rPr>
          <w:rFonts w:hint="eastAsia" w:ascii="仿宋_GB2312" w:eastAsia="仿宋_GB2312"/>
          <w:b/>
          <w:bCs/>
          <w:sz w:val="32"/>
          <w:szCs w:val="32"/>
        </w:rPr>
        <w:t xml:space="preserve">    5</w:t>
      </w:r>
      <w:r>
        <w:rPr>
          <w:rFonts w:hint="eastAsia" w:ascii="仿宋_GB2312" w:eastAsia="仿宋_GB2312" w:cs="FZFangSong-Z02"/>
          <w:sz w:val="32"/>
          <w:szCs w:val="32"/>
        </w:rPr>
        <w:t>、项目支出：</w:t>
      </w:r>
      <w:r>
        <w:rPr>
          <w:rFonts w:hint="eastAsia" w:ascii="仿宋_GB2312" w:eastAsia="仿宋_GB2312"/>
          <w:sz w:val="32"/>
          <w:szCs w:val="32"/>
        </w:rPr>
        <w:t>指在基本支出之外为完成特定行政任务和事业发展目标所发生的支出。</w:t>
      </w:r>
    </w:p>
    <w:p>
      <w:pPr>
        <w:pStyle w:val="8"/>
        <w:rPr>
          <w:rFonts w:ascii="仿宋_GB2312" w:eastAsia="仿宋_GB2312"/>
          <w:sz w:val="32"/>
          <w:szCs w:val="32"/>
        </w:rPr>
      </w:pPr>
      <w:r>
        <w:rPr>
          <w:rFonts w:hint="eastAsia" w:ascii="仿宋_GB2312" w:eastAsia="仿宋_GB2312"/>
          <w:b/>
          <w:bCs/>
          <w:sz w:val="32"/>
          <w:szCs w:val="32"/>
        </w:rPr>
        <w:t xml:space="preserve">    6</w:t>
      </w:r>
      <w:r>
        <w:rPr>
          <w:rFonts w:hint="eastAsia" w:ascii="仿宋_GB2312" w:eastAsia="仿宋_GB2312" w:cs="FZFangSong-Z02"/>
          <w:sz w:val="32"/>
          <w:szCs w:val="32"/>
        </w:rPr>
        <w:t>、上缴上级支出：</w:t>
      </w:r>
      <w:r>
        <w:rPr>
          <w:rFonts w:hint="eastAsia" w:ascii="仿宋_GB2312" w:eastAsia="仿宋_GB2312"/>
          <w:sz w:val="32"/>
          <w:szCs w:val="32"/>
        </w:rPr>
        <w:t>指下级单位上缴上级的支出。</w:t>
      </w:r>
    </w:p>
    <w:p>
      <w:pPr>
        <w:pStyle w:val="8"/>
        <w:rPr>
          <w:rFonts w:ascii="仿宋_GB2312" w:eastAsia="仿宋_GB2312" w:cs="FZFangSong-Z02"/>
          <w:sz w:val="32"/>
          <w:szCs w:val="32"/>
        </w:rPr>
      </w:pPr>
      <w:r>
        <w:rPr>
          <w:rFonts w:hint="eastAsia" w:ascii="仿宋_GB2312" w:eastAsia="仿宋_GB2312"/>
          <w:b/>
          <w:bCs/>
          <w:sz w:val="32"/>
          <w:szCs w:val="32"/>
        </w:rPr>
        <w:t xml:space="preserve">    7</w:t>
      </w:r>
      <w:r>
        <w:rPr>
          <w:rFonts w:hint="eastAsia" w:ascii="仿宋_GB2312" w:eastAsia="仿宋_GB2312" w:cs="FZFangSong-Z02"/>
          <w:sz w:val="32"/>
          <w:szCs w:val="32"/>
        </w:rPr>
        <w:t>、</w:t>
      </w:r>
      <w:r>
        <w:rPr>
          <w:rFonts w:hint="eastAsia" w:ascii="仿宋_GB2312" w:eastAsia="仿宋_GB2312"/>
          <w:b/>
          <w:bCs/>
          <w:sz w:val="32"/>
          <w:szCs w:val="32"/>
        </w:rPr>
        <w:t>“</w:t>
      </w:r>
      <w:r>
        <w:rPr>
          <w:rFonts w:hint="eastAsia" w:ascii="仿宋_GB2312" w:eastAsia="仿宋_GB2312" w:cs="FZFangSong-Z02"/>
          <w:sz w:val="32"/>
          <w:szCs w:val="32"/>
        </w:rPr>
        <w:t>三公</w:t>
      </w:r>
      <w:r>
        <w:rPr>
          <w:rFonts w:hint="eastAsia" w:ascii="仿宋_GB2312" w:eastAsia="仿宋_GB2312"/>
          <w:b/>
          <w:bCs/>
          <w:sz w:val="32"/>
          <w:szCs w:val="32"/>
        </w:rPr>
        <w:t>”</w:t>
      </w:r>
      <w:r>
        <w:rPr>
          <w:rFonts w:hint="eastAsia" w:ascii="仿宋_GB2312" w:eastAsia="仿宋_GB2312" w:cs="FZFangSong-Z02"/>
          <w:sz w:val="32"/>
          <w:szCs w:val="32"/>
        </w:rPr>
        <w:t>经费：纳入市级财政预算管理的</w:t>
      </w:r>
      <w:r>
        <w:rPr>
          <w:rFonts w:hint="eastAsia" w:ascii="仿宋_GB2312" w:eastAsia="仿宋_GB2312"/>
          <w:sz w:val="32"/>
          <w:szCs w:val="32"/>
        </w:rPr>
        <w:t>“</w:t>
      </w:r>
      <w:r>
        <w:rPr>
          <w:rFonts w:hint="eastAsia" w:ascii="仿宋_GB2312" w:eastAsia="仿宋_GB2312" w:cs="FZFangSong-Z02"/>
          <w:sz w:val="32"/>
          <w:szCs w:val="32"/>
        </w:rPr>
        <w:t>三公</w:t>
      </w:r>
      <w:r>
        <w:rPr>
          <w:rFonts w:hint="eastAsia" w:ascii="仿宋_GB2312" w:eastAsia="仿宋_GB2312"/>
          <w:sz w:val="32"/>
          <w:szCs w:val="32"/>
        </w:rPr>
        <w:t>”</w:t>
      </w:r>
      <w:r>
        <w:rPr>
          <w:rFonts w:hint="eastAsia" w:ascii="仿宋_GB2312" w:eastAsia="仿宋_GB2312" w:cs="FZFangSong-Z02"/>
          <w:sz w:val="32"/>
          <w:szCs w:val="32"/>
        </w:rPr>
        <w:t>经费，是指市级部门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pPr>
        <w:rPr>
          <w:rFonts w:ascii="仿宋_GB2312" w:eastAsia="仿宋_GB2312" w:cs="FZFangSong-Z02"/>
          <w:sz w:val="32"/>
          <w:szCs w:val="32"/>
        </w:rPr>
      </w:pPr>
      <w:r>
        <w:rPr>
          <w:rFonts w:hint="eastAsia" w:ascii="仿宋_GB2312" w:eastAsia="仿宋_GB2312"/>
          <w:b/>
          <w:bCs/>
          <w:sz w:val="32"/>
          <w:szCs w:val="32"/>
        </w:rPr>
        <w:t xml:space="preserve">    8</w:t>
      </w:r>
      <w:r>
        <w:rPr>
          <w:rFonts w:hint="eastAsia" w:ascii="仿宋_GB2312" w:eastAsia="仿宋_GB2312" w:cs="FZFangSong-Z02"/>
          <w:sz w:val="32"/>
          <w:szCs w:val="32"/>
        </w:rPr>
        <w:t>、机关运行费：为保障行政单位（包括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w:t>
      </w:r>
      <w:r>
        <w:rPr>
          <w:rFonts w:hint="eastAsia" w:ascii="仿宋_GB2312" w:eastAsia="仿宋_GB2312"/>
          <w:sz w:val="32"/>
          <w:szCs w:val="32"/>
        </w:rPr>
        <w:t>其他费用。</w:t>
      </w:r>
    </w:p>
    <w:p>
      <w:pPr>
        <w:widowControl/>
        <w:spacing w:line="360" w:lineRule="atLeast"/>
        <w:jc w:val="left"/>
        <w:rPr>
          <w:rFonts w:ascii="仿宋_GB2312" w:eastAsia="仿宋_GB2312" w:cs="宋体"/>
          <w:color w:val="000000"/>
          <w:kern w:val="0"/>
          <w:sz w:val="32"/>
          <w:szCs w:val="32"/>
        </w:rPr>
      </w:pPr>
      <w:r>
        <w:rPr>
          <w:rFonts w:hint="eastAsia" w:ascii="黑体" w:eastAsia="黑体" w:cs="宋体"/>
          <w:b/>
          <w:bCs/>
          <w:color w:val="000000"/>
          <w:kern w:val="0"/>
          <w:sz w:val="32"/>
          <w:szCs w:val="32"/>
        </w:rPr>
        <w:t>九、其它需要说明的事项</w:t>
      </w:r>
      <w:r>
        <w:rPr>
          <w:rFonts w:hint="eastAsia" w:ascii="黑体" w:eastAsia="黑体" w:cs="宋体"/>
          <w:color w:val="000000"/>
          <w:kern w:val="0"/>
          <w:sz w:val="32"/>
          <w:szCs w:val="32"/>
        </w:rPr>
        <w:br w:type="textWrapping"/>
      </w:r>
      <w:r>
        <w:rPr>
          <w:rFonts w:hint="eastAsia" w:ascii="宋体" w:hAnsi="宋体" w:eastAsia="仿宋_GB2312" w:cs="宋体"/>
          <w:color w:val="000000"/>
          <w:kern w:val="0"/>
          <w:sz w:val="32"/>
          <w:szCs w:val="32"/>
        </w:rPr>
        <w:t xml:space="preserve">    </w:t>
      </w:r>
      <w:r>
        <w:rPr>
          <w:rFonts w:hint="eastAsia" w:ascii="仿宋_GB2312" w:eastAsia="仿宋_GB2312" w:cs="宋体"/>
          <w:color w:val="000000"/>
          <w:kern w:val="0"/>
          <w:sz w:val="32"/>
          <w:szCs w:val="32"/>
        </w:rPr>
        <w:t>无其它需要说明的事项。</w:t>
      </w:r>
    </w:p>
    <w:p>
      <w:pPr>
        <w:rPr>
          <w:rFonts w:ascii="仿宋_GB2312" w:eastAsia="仿宋_GB2312"/>
          <w:sz w:val="32"/>
          <w:szCs w:val="32"/>
        </w:rPr>
      </w:pPr>
    </w:p>
    <w:sectPr>
      <w:pgSz w:w="16838" w:h="11906" w:orient="landscape"/>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FZFangSong-Z02">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03F0"/>
    <w:rsid w:val="001803F0"/>
    <w:rsid w:val="00D90D09"/>
    <w:rsid w:val="00E87F1B"/>
    <w:rsid w:val="2BC865A5"/>
    <w:rsid w:val="4AED651A"/>
    <w:rsid w:val="53075E75"/>
    <w:rsid w:val="55C524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Calibri" w:hAnsi="Calibri" w:eastAsia="宋体" w:cs="Arial"/>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6">
    <w:name w:val="Strong"/>
    <w:basedOn w:val="5"/>
    <w:qFormat/>
    <w:uiPriority w:val="0"/>
    <w:rPr>
      <w:b/>
      <w:bCs/>
    </w:rPr>
  </w:style>
  <w:style w:type="character" w:customStyle="1" w:styleId="7">
    <w:name w:val="apple-converted-space"/>
    <w:basedOn w:val="5"/>
    <w:qFormat/>
    <w:uiPriority w:val="0"/>
  </w:style>
  <w:style w:type="paragraph" w:customStyle="1" w:styleId="8">
    <w:name w:val="Default"/>
    <w:next w:val="3"/>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167</Pages>
  <Words>2469</Words>
  <Characters>14079</Characters>
  <Lines>117</Lines>
  <Paragraphs>33</Paragraphs>
  <TotalTime>8</TotalTime>
  <ScaleCrop>false</ScaleCrop>
  <LinksUpToDate>false</LinksUpToDate>
  <CharactersWithSpaces>16515</CharactersWithSpaces>
  <Application>WPS Office_11.8.2.10972_F1E327BC-269C-435d-A152-05C5408002CA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2017-10-27T09:57:00Z</dcterms:created>
  <dc:creator>lenovo</dc:creator>
  <cp:lastModifiedBy>Administrator</cp:lastModifiedBy>
  <dcterms:modified xsi:type="dcterms:W3CDTF">2024-01-18T02:04:51Z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2052-11.8.2.10972</vt:lpwstr>
  </property>
  <property fmtid="{D5CDD505-2E9C-101B-9397-08002B2CF9AE}" pid="3" name="ICV">
    <vt:lpwstr>BD1272FD0F234D43A5B3DB79A193A1F4</vt:lpwstr>
  </property>
</Properties>
</file>