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sectPr>
          <w:headerReference r:id="rId3" w:type="default"/>
          <w:pgSz w:w="11906" w:h="16838"/>
          <w:pgMar w:top="0" w:right="0" w:bottom="0" w:left="0" w:header="851" w:footer="992" w:gutter="0"/>
          <w:cols w:space="720" w:num="1"/>
          <w:titlePg/>
          <w:docGrid w:linePitch="312" w:charSpace="0"/>
        </w:sectPr>
      </w:pPr>
      <w:r>
        <w:rPr>
          <w:color w:val="000000"/>
        </w:rPr>
        <w:pict>
          <v:group id="_x0000_s1035" o:spid="_x0000_s1035" o:spt="203" style="position:absolute;left:0pt;margin-left:-2.45pt;margin-top:-50.75pt;height:359.25pt;width:600.25pt;z-index:-251648000;mso-width-relative:page;mso-height-relative:page;" coordsize="7623175,3917950" o:gfxdata="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QIMCN2QAAAAgBAAAPAAAAAAAAAAEAIAAAACIAAABkcnMvZG93bnJldi54&#10;bWxQSwECFAAUAAAACACHTuJA1gMxw90CAADJBwAADgAAAAAAAAABACAAAAAoAQAAZHJzL2Uyb0Rv&#10;Yy54bWxQSwUGAAAAAAYABgBZAQAAdwYAAAAA&#10;">
            <o:lock v:ext="edit"/>
            <v:rect id="_x0000_s1037" o:spid="_x0000_s1037" o:spt="1" style="position:absolute;left:0;top:0;height:3917950;width:7623175;" fillcolor="#FDBC11" filled="t" stroked="f" coordsize="21600,21600" o:gfxdata="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iNkvQAA&#10;ANsAAAAPAAAAAAAAAAEAIAAAACIAAABkcnMvZG93bnJldi54bWxQSwECFAAUAAAACACHTuJAMy8F&#10;njsAAAA5AAAAEAAAAAAAAAABACAAAAAMAQAAZHJzL3NoYXBleG1sLnhtbFBLBQYAAAAABgAGAFsB&#10;AAC2AwAAAAA=&#10;">
              <v:path/>
              <v:fill on="t" focussize="0,0"/>
              <v:stroke on="f"/>
              <v:imagedata o:title=""/>
              <o:lock v:ext="edit"/>
            </v:rect>
            <v:rect id="文本框 40" o:spid="_x0000_s1036" o:spt="1" style="position:absolute;left:2289810;top:3008630;height:883920;width:5132705;" filled="f" stroked="f" coordsize="21600,21600" o:gfxdata="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hFm7sAAADb&#10;AAAADwAAAAAAAAABACAAAAAiAAAAZHJzL2Rvd25yZXYueG1sUEsBAhQAFAAAAAgAh07iQDMvBZ47&#10;AAAAOQAAABAAAAAAAAAAAQAgAAAACgEAAGRycy9zaGFwZXhtbC54bWxQSwUGAAAAAAYABgBbAQAA&#10;tAMAAAAA&#10;">
              <v:path/>
              <v:fill on="f" focussize="0,0"/>
              <v:stroke on="f"/>
              <v:imagedata o:title=""/>
              <o:lock v:ext="edit"/>
              <v:textbox>
                <w:txbxContent>
                  <w:p>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rect>
          </v:group>
        </w:pict>
      </w:r>
      <w:r>
        <w:rPr>
          <w:color w:val="000000"/>
        </w:rPr>
        <w:pict>
          <v:rect id="文本框 10" o:spid="_x0000_s1026" o:spt="1" style="position:absolute;left:0pt;margin-left:106.25pt;margin-top:693.55pt;height:38.4pt;width:404.15pt;z-index:251663360;mso-width-relative:page;mso-height-relative:page;" filled="f" stroked="f" coordsize="21600,21600" o:gfxdata="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xwjfPcAAAADgEAAA8AAAAA&#10;AAAAAQAgAAAAIgAAAGRycy9kb3ducmV2LnhtbFBLAQIUABQAAAAIAIdO4kDUAtC/EAIAAAkEAAAO&#10;AAAAAAAAAAEAIAAAACsBAABkcnMvZTJvRG9jLnhtbFBLBQYAAAAABgAGAFkBAACtBQAAAAA=&#10;">
            <v:path/>
            <v:fill on="f" focussize="0,0"/>
            <v:stroke on="f"/>
            <v:imagedata o:title=""/>
            <o:lock v:ext="edit"/>
            <v:textbox style="mso-fit-shape-to-text:t;">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v:textbox>
          </v:rect>
        </w:pict>
      </w:r>
      <w:r>
        <w:rPr>
          <w:color w:val="000000"/>
        </w:rPr>
        <w:pict>
          <v:shape id="椭圆 8" o:spid="_x0000_s1043" o:spt="3" type="#_x0000_t3" style="position:absolute;left:0pt;margin-left:53.5pt;margin-top:232.45pt;height:121.95pt;width:121.95pt;z-index:251664384;v-text-anchor:middle;mso-width-relative:page;mso-height-relative:page;" stroked="f" coordsize="21600,21600" o:gfxdata="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DD6I2QAA&#10;AAsBAAAPAAAAAAAAAAEAIAAAACIAAABkcnMvZG93bnJldi54bWxQSwECFAAUAAAACACHTuJAtXbZ&#10;Hh0CAAA0BAAADgAAAAAAAAABACAAAAAoAQAAZHJzL2Uyb0RvYy54bWxQSwUGAAAAAAYABgBZAQAA&#10;twUAAAAA&#10;">
            <v:path/>
            <v:fill focussize="0,0"/>
            <v:stroke on="f"/>
            <v:imagedata o:title=""/>
            <o:lock v:ext="edit"/>
            <v:textbox>
              <w:txbxContent>
                <w:p>
                  <w:pPr>
                    <w:jc w:val="center"/>
                  </w:pPr>
                </w:p>
              </w:txbxContent>
            </v:textbox>
          </v:shape>
        </w:pict>
      </w:r>
      <w:r>
        <w:rPr>
          <w:color w:val="000000"/>
        </w:rPr>
        <w:pict>
          <v:rect id="矩形 14" o:spid="_x0000_s1042" o:spt="1" style="position:absolute;left:0pt;margin-left:33.6pt;margin-top:256.75pt;height:54pt;width:160.65pt;z-index:251665408;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ZhTC9kAAAAKAQAADwAAAAAAAAABACAA&#10;AAAiAAAAZHJzL2Rvd25yZXYueG1sUEsBAhQAFAAAAAgAh07iQE0M9q8MAgAABgQAAA4AAAAAAAAA&#10;AQAgAAAAKAEAAGRycy9lMm9Eb2MueG1sUEsFBgAAAAAGAAYAWQEAAKYFA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w:r>
      <w:r>
        <w:rPr>
          <w:color w:val="000000"/>
        </w:rPr>
        <w:pict>
          <v:shape id="椭圆 9" o:spid="_x0000_s1041" o:spt="3" type="#_x0000_t3" style="position:absolute;left:0pt;margin-left:62.2pt;margin-top:242.75pt;height:103.45pt;width:103.45pt;z-index:251666432;v-text-anchor:middle;mso-width-relative:page;mso-height-relative:page;" fillcolor="#1F2959" filled="t" stroked="f" coordsize="21600,21600" o:gfxdata="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CNu&#10;atsAAAALAQAADwAAAAAAAAABACAAAAAiAAAAZHJzL2Rvd25yZXYueG1sUEsBAhQAFAAAAAgAh07i&#10;QKJVWnQfAgAANAQAAA4AAAAAAAAAAQAgAAAAKgEAAGRycy9lMm9Eb2MueG1sUEsFBgAAAAAGAAYA&#10;WQEAALsFAAAAAA==&#10;">
            <v:path/>
            <v:fill on="t" focussize="0,0"/>
            <v:stroke on="f"/>
            <v:imagedata o:title=""/>
            <o:lock v:ext="edit"/>
            <v:textbox>
              <w:txbxContent>
                <w:p>
                  <w:pPr>
                    <w:jc w:val="center"/>
                    <w:rPr>
                      <w:sz w:val="52"/>
                      <w:szCs w:val="52"/>
                    </w:rPr>
                  </w:pPr>
                  <w:r>
                    <w:rPr>
                      <w:rFonts w:hint="eastAsia"/>
                      <w:sz w:val="52"/>
                      <w:szCs w:val="52"/>
                    </w:rPr>
                    <w:t>2019</w:t>
                  </w:r>
                </w:p>
              </w:txbxContent>
            </v:textbox>
          </v:shape>
        </w:pict>
      </w:r>
      <w:r>
        <w:rPr>
          <w:color w:val="000000"/>
        </w:rPr>
        <w:pict>
          <v:rect id="矩形 11" o:spid="_x0000_s1034" o:spt="1" style="position:absolute;left:0pt;margin-left:184.75pt;margin-top:286.6pt;height:22.8pt;width:15.15pt;mso-wrap-style:none;z-index:251669504;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bwIw3aAAAACwEAAA8AAAAAAAAAAQAgAAAA&#10;IgAAAGRycy9kb3ducmV2LnhtbFBLAQIUABQAAAAIAIdO4kB/w3uPCQIAAAMEAAAOAAAAAAAAAAEA&#10;IAAAACkBAABkcnMvZTJvRG9jLnhtbFBLBQYAAAAABgAGAFkBAACkBQAAAAA=&#10;">
            <v:path/>
            <v:fill on="f" focussize="0,0"/>
            <v:stroke on="f"/>
            <v:imagedata o:title=""/>
            <o:lock v:ext="edit"/>
            <v:textbox style="mso-fit-shape-to-text:t;">
              <w:txbxContent>
                <w:p/>
              </w:txbxContent>
            </v:textbox>
          </v:rect>
        </w:pic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color w:val="000000"/>
        </w:rPr>
        <w:pict>
          <v:group id="组合" o:spid="_x0000_s1038" o:spt="203" style="position:absolute;left:0pt;margin-left:-75.3pt;margin-top:683.6pt;height:3.55pt;width:595.25pt;z-index:251667456;mso-width-relative:page;mso-height-relative:page;" coordsize="7559675,272415"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TXJ8l2gAAAAwBAAAPAAAAAAAAAAEA&#10;IAAAACIAAABkcnMvZG93bnJldi54bWxQSwECFAAUAAAACACHTuJAcizOkbgCAADaBwAADgAAAAAA&#10;AAABACAAAAApAQAAZHJzL2Uyb0RvYy54bWxQSwUGAAAAAAYABgBZAQAAUwYAAAAA&#10;">
            <o:lock v:ext="edit"/>
            <v:rect id="_x0000_s1040" o:spid="_x0000_s1040" o:spt="1" style="position:absolute;left:0;top:0;height:271780;width:714375;" fillcolor="#FDBC11" filled="t" stroked="f" coordsize="21600,21600" o:gfxdata="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qsRW8AAAA&#10;2wAAAA8AAAAAAAAAAQAgAAAAIgAAAGRycy9kb3ducmV2LnhtbFBLAQIUABQAAAAIAIdO4kAzLwWe&#10;OwAAADkAAAAQAAAAAAAAAAEAIAAAAAsBAABkcnMvc2hhcGV4bWwueG1sUEsFBgAAAAAGAAYAWwEA&#10;ALUDAAAAAA==&#10;">
              <v:path/>
              <v:fill on="t" focussize="0,0"/>
              <v:stroke on="f"/>
              <v:imagedata o:title=""/>
              <o:lock v:ext="edit"/>
            </v:rect>
            <v:rect id="_x0000_s1039" o:spid="_x0000_s1039" o:spt="1" style="position:absolute;left:714375;top:634;height:271780;width:6845300;" fillcolor="#1F2959" filled="t" stroked="f" coordsize="21600,21600" o:gfxdata="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UqMbsAAADb&#10;AAAADwAAAAAAAAABACAAAAAiAAAAZHJzL2Rvd25yZXYueG1sUEsBAhQAFAAAAAgAh07iQDMvBZ47&#10;AAAAOQAAABAAAAAAAAAAAQAgAAAACgEAAGRycy9zaGFwZXhtbC54bWxQSwUGAAAAAAYABgBbAQAA&#10;tAMAAAAA&#10;">
              <v:path/>
              <v:fill on="t" focussize="0,0"/>
              <v:stroke on="f"/>
              <v:imagedata o:title=""/>
              <o:lock v:ext="edit"/>
            </v:rect>
          </v:group>
        </w:pict>
      </w:r>
      <w:r>
        <w:rPr>
          <w:rFonts w:hint="eastAsia" w:ascii="黑体" w:eastAsia="黑体" w:cs="Times New Roman"/>
          <w:color w:val="000000"/>
          <w:sz w:val="48"/>
          <w:szCs w:val="48"/>
        </w:rPr>
        <w:br w:type="page"/>
      </w:r>
    </w:p>
    <w:p>
      <w:pPr>
        <w:tabs>
          <w:tab w:val="left" w:pos="2728"/>
        </w:tabs>
        <w:rPr>
          <w:rFonts w:ascii="黑体" w:eastAsia="黑体" w:cs="Times New Roman"/>
          <w:color w:val="000000"/>
          <w:sz w:val="48"/>
          <w:szCs w:val="48"/>
        </w:rPr>
      </w:pPr>
      <w:r>
        <w:rPr>
          <w:rFonts w:hint="eastAsia" w:ascii="黑体" w:eastAsia="黑体" w:cs="Times New Roman"/>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spacing w:line="480" w:lineRule="auto"/>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廊坊市广阳区卫生健康局</w:t>
      </w:r>
    </w:p>
    <w:p>
      <w:pPr>
        <w:snapToGrid w:val="0"/>
        <w:jc w:val="center"/>
        <w:rPr>
          <w:rFonts w:asci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720" w:num="1"/>
          <w:titlePg/>
          <w:docGrid w:linePitch="312" w:charSpace="0"/>
        </w:sectPr>
      </w:pPr>
      <w:r>
        <w:rPr>
          <w:rFonts w:hint="eastAsia" w:ascii="楷体_GB2312" w:eastAsia="楷体_GB2312" w:cs="楷体_GB2312"/>
          <w:color w:val="000000"/>
          <w:kern w:val="0"/>
          <w:sz w:val="44"/>
          <w:szCs w:val="44"/>
        </w:rPr>
        <w:t>二〇二〇年十一月</w:t>
      </w:r>
    </w:p>
    <w:p>
      <w:pPr>
        <w:widowControl/>
        <w:spacing w:line="600" w:lineRule="exact"/>
        <w:jc w:val="left"/>
        <w:rPr>
          <w:rFonts w:ascii="黑体" w:eastAsia="黑体" w:cs="黑体"/>
          <w:color w:val="000000"/>
          <w:sz w:val="56"/>
          <w:szCs w:val="7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720" w:num="1"/>
          <w:titlePg/>
          <w:docGrid w:linePitch="312" w:charSpace="0"/>
        </w:sectPr>
      </w:pPr>
    </w:p>
    <w:p>
      <w:pPr>
        <w:rPr>
          <w:rFonts w:ascii="黑体" w:eastAsia="黑体" w:cs="Times New Roman"/>
          <w:color w:val="000000"/>
          <w:sz w:val="48"/>
          <w:szCs w:val="48"/>
        </w:rPr>
      </w:pPr>
    </w:p>
    <w:p>
      <w:pPr>
        <w:tabs>
          <w:tab w:val="left" w:pos="2728"/>
        </w:tabs>
        <w:jc w:val="center"/>
        <w:rPr>
          <w:rFonts w:ascii="黑体" w:eastAsia="黑体" w:cs="Times New Roman"/>
          <w:color w:val="000000"/>
          <w:sz w:val="48"/>
          <w:szCs w:val="48"/>
        </w:rPr>
      </w:pPr>
    </w:p>
    <w:p>
      <w:pPr>
        <w:tabs>
          <w:tab w:val="left" w:pos="2728"/>
        </w:tabs>
        <w:spacing w:line="584" w:lineRule="exact"/>
        <w:jc w:val="center"/>
        <w:rPr>
          <w:rFonts w:ascii="Times New Roman" w:eastAsia="黑体" w:cs="Times New Roman"/>
          <w:color w:val="000000"/>
          <w:sz w:val="32"/>
          <w:szCs w:val="32"/>
        </w:rPr>
      </w:pPr>
      <w:r>
        <w:rPr>
          <w:rFonts w:hint="eastAsia" w:ascii="黑体" w:eastAsia="黑体" w:cs="Times New Roman"/>
          <w:color w:val="000000"/>
          <w:sz w:val="48"/>
          <w:szCs w:val="48"/>
        </w:rPr>
        <w:t>目    录</w:t>
      </w:r>
    </w:p>
    <w:p>
      <w:pPr>
        <w:widowControl/>
        <w:spacing w:after="160" w:line="584" w:lineRule="exact"/>
        <w:ind w:firstLine="640" w:firstLineChars="200"/>
        <w:rPr>
          <w:rFonts w:ascii="Times New Roman" w:eastAsia="仿宋_GB2312" w:cs="Times New Roman"/>
          <w:color w:val="000000"/>
          <w:sz w:val="24"/>
          <w:szCs w:val="32"/>
        </w:rPr>
      </w:pPr>
      <w:r>
        <w:rPr>
          <w:rFonts w:ascii="Times New Roman" w:eastAsia="黑体" w:cs="Times New Roman"/>
          <w:color w:val="000000"/>
          <w:sz w:val="32"/>
          <w:szCs w:val="32"/>
        </w:rPr>
        <w:t>第一部分   部门概况</w:t>
      </w:r>
    </w:p>
    <w:p>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hint="eastAsia" w:ascii="Times New Roman" w:eastAsia="仿宋_GB2312" w:cs="Times New Roman"/>
          <w:color w:val="000000"/>
          <w:sz w:val="32"/>
          <w:szCs w:val="32"/>
        </w:rPr>
        <w:t>职责</w:t>
      </w:r>
    </w:p>
    <w:p>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机构设置</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第二部分   201</w:t>
      </w:r>
      <w:r>
        <w:rPr>
          <w:rFonts w:hint="eastAsia" w:ascii="Times New Roman" w:eastAsia="黑体" w:cs="Times New Roman"/>
          <w:color w:val="000000"/>
          <w:sz w:val="32"/>
          <w:szCs w:val="32"/>
        </w:rPr>
        <w:t>9年度</w:t>
      </w:r>
      <w:r>
        <w:rPr>
          <w:rFonts w:ascii="Times New Roman" w:eastAsia="黑体" w:cs="Times New Roman"/>
          <w:color w:val="000000"/>
          <w:sz w:val="32"/>
          <w:szCs w:val="32"/>
        </w:rPr>
        <w:t>部门决算情况说明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“三公”经费支出决算情况说明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w:t>
      </w:r>
      <w:r>
        <w:rPr>
          <w:rFonts w:ascii="Times New Roman" w:eastAsia="仿宋_GB2312" w:cs="Times New Roman"/>
          <w:color w:val="000000"/>
          <w:sz w:val="32"/>
          <w:szCs w:val="32"/>
        </w:rPr>
        <w:t>、其他重要事项的说明</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名词解释</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rPr>
        <w:t>四</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201</w:t>
      </w:r>
      <w:r>
        <w:rPr>
          <w:rFonts w:hint="eastAsia" w:ascii="Times New Roman" w:eastAsia="黑体" w:cs="Times New Roman"/>
          <w:color w:val="000000"/>
          <w:sz w:val="32"/>
          <w:szCs w:val="32"/>
        </w:rPr>
        <w:t>9</w:t>
      </w:r>
      <w:r>
        <w:rPr>
          <w:rFonts w:ascii="Times New Roman" w:eastAsia="黑体" w:cs="Times New Roman"/>
          <w:color w:val="000000"/>
          <w:sz w:val="32"/>
          <w:szCs w:val="32"/>
        </w:rPr>
        <w:t>年度部门决算报表</w:t>
      </w:r>
    </w:p>
    <w:p>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预算绩效</w:t>
      </w:r>
      <w:r>
        <w:rPr>
          <w:rFonts w:ascii="Times New Roman" w:eastAsia="黑体" w:cs="Times New Roman"/>
          <w:color w:val="000000"/>
          <w:sz w:val="32"/>
          <w:szCs w:val="32"/>
        </w:rPr>
        <w:t>公开内容</w:t>
      </w:r>
    </w:p>
    <w:p>
      <w:pPr>
        <w:widowControl/>
        <w:spacing w:after="160" w:line="580" w:lineRule="exact"/>
        <w:ind w:firstLine="640" w:firstLineChars="200"/>
        <w:rPr>
          <w:rFonts w:ascii="Times New Roman" w:eastAsia="黑体" w:cs="Times New Roman"/>
          <w:color w:val="000000"/>
          <w:sz w:val="32"/>
          <w:szCs w:val="32"/>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cols w:space="720" w:num="1"/>
          <w:titlePg/>
          <w:docGrid w:linePitch="312" w:charSpace="0"/>
        </w:sectPr>
      </w:pPr>
    </w:p>
    <w:p>
      <w:pPr>
        <w:rPr>
          <w:color w:val="000000"/>
        </w:rPr>
      </w:pPr>
      <w:r>
        <w:rPr>
          <w:color w:val="000000"/>
          <w:sz w:val="72"/>
        </w:rPr>
        <w:pict>
          <v:rect id="文本框 143" o:spid="_x0000_s1033" o:spt="1" style="position:absolute;left:0pt;margin-left:-85.7pt;margin-top:80.65pt;height:263.1pt;width:613.65pt;z-index:251670528;v-text-anchor:middle;mso-width-relative:page;mso-height-relative:page;" fillcolor="#FFD966" filled="t" stroked="t" coordsize="21600,21600" o:gfxdata="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xa/7tsAAAANAQAADwAA&#10;AAAAAAABACAAAAAiAAAAZHJzL2Rvd25yZXYueG1sUEsBAhQAFAAAAAgAh07iQIObNaRMAgAAqQQA&#10;AA4AAAAAAAAAAQAgAAAAKgEAAGRycy9lMm9Eb2MueG1sUEsFBgAAAAAGAAYAWQEAAOgFAAAAAA==&#10;">
            <v:path/>
            <v:fill type="pattern" on="t" o:title="image2" focussize="0,0" r:id="rId32"/>
            <v:stroke weight="1pt" color="#FFD966" joinstyle="round"/>
            <v:imagedata o:title=""/>
            <o:lock v:ext="edit"/>
            <v:textbox>
              <w:txbxContent>
                <w:p>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rect>
        </w:pict>
      </w:r>
      <w:r>
        <w:rPr>
          <w:color w:val="000000"/>
        </w:rPr>
        <w:br w:type="page"/>
      </w:r>
    </w:p>
    <w:p>
      <w:pPr>
        <w:pStyle w:val="3"/>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pPr>
        <w:spacing w:line="560" w:lineRule="exact"/>
        <w:ind w:firstLine="640" w:firstLineChars="200"/>
        <w:rPr>
          <w:rFonts w:eastAsia="仿宋_GB2312"/>
          <w:sz w:val="32"/>
          <w:szCs w:val="32"/>
        </w:rPr>
      </w:pPr>
      <w:r>
        <w:rPr>
          <w:rFonts w:eastAsia="仿宋"/>
          <w:sz w:val="32"/>
          <w:szCs w:val="32"/>
        </w:rPr>
        <w:t>贯彻落实党中央和省、市、区委关于卫生健康工作的方针政策和决策部署，坚持加强党对卫生健康工作的集中统一领导。主要职责是：</w:t>
      </w:r>
    </w:p>
    <w:p>
      <w:pPr>
        <w:spacing w:line="560" w:lineRule="exact"/>
        <w:ind w:firstLine="640" w:firstLineChars="200"/>
        <w:rPr>
          <w:rFonts w:eastAsia="仿宋"/>
          <w:sz w:val="32"/>
          <w:szCs w:val="32"/>
        </w:rPr>
      </w:pPr>
      <w:r>
        <w:rPr>
          <w:rFonts w:eastAsia="仿宋"/>
          <w:sz w:val="32"/>
          <w:szCs w:val="32"/>
        </w:rPr>
        <w:t>（一）组织拟订全区国民健康政策，拟订全区卫生健康事业发展地方性有关规定和办法，拟订全区卫生健康规划和政策措施，依法制定地方有关标准和技术规范并组织实施。制定并组织实施推进卫生健康基本公共服务均等化、普惠化、便捷化和公共资源向基层延伸等政策措施。</w:t>
      </w:r>
    </w:p>
    <w:p>
      <w:pPr>
        <w:spacing w:line="560" w:lineRule="exact"/>
        <w:ind w:firstLine="640" w:firstLineChars="200"/>
        <w:rPr>
          <w:rFonts w:eastAsia="仿宋"/>
          <w:sz w:val="32"/>
          <w:szCs w:val="32"/>
        </w:rPr>
      </w:pPr>
      <w:r>
        <w:rPr>
          <w:rFonts w:eastAsia="仿宋"/>
          <w:sz w:val="32"/>
          <w:szCs w:val="32"/>
        </w:rP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60" w:lineRule="exact"/>
        <w:ind w:firstLine="640" w:firstLineChars="200"/>
        <w:rPr>
          <w:rFonts w:eastAsia="仿宋"/>
          <w:sz w:val="32"/>
          <w:szCs w:val="32"/>
        </w:rPr>
      </w:pPr>
      <w:r>
        <w:rPr>
          <w:rFonts w:eastAsia="仿宋"/>
          <w:sz w:val="32"/>
          <w:szCs w:val="32"/>
        </w:rPr>
        <w:t>（三）拟定并组织落实疾病预防控制规划、国家免疫规划以及危害人民健康的公共卫生问题的干预措施。负责卫生应急工作，组织指导突发公共卫生事件的预防控制和医疗卫生救援。</w:t>
      </w:r>
    </w:p>
    <w:p>
      <w:pPr>
        <w:spacing w:line="560" w:lineRule="exact"/>
        <w:ind w:firstLine="640" w:firstLineChars="200"/>
        <w:rPr>
          <w:rFonts w:eastAsia="仿宋"/>
          <w:sz w:val="32"/>
          <w:szCs w:val="32"/>
        </w:rPr>
      </w:pPr>
      <w:r>
        <w:rPr>
          <w:rFonts w:eastAsia="仿宋"/>
          <w:sz w:val="32"/>
          <w:szCs w:val="32"/>
        </w:rPr>
        <w:t>（四）组织拟订并协调落实应对人口老龄化政策措施，负责推进老年健康服务体系建设和医养结合工作。</w:t>
      </w:r>
    </w:p>
    <w:p>
      <w:pPr>
        <w:spacing w:line="560" w:lineRule="exact"/>
        <w:ind w:firstLine="640" w:firstLineChars="200"/>
        <w:rPr>
          <w:rFonts w:eastAsia="仿宋"/>
          <w:sz w:val="32"/>
          <w:szCs w:val="32"/>
        </w:rPr>
      </w:pPr>
      <w:r>
        <w:rPr>
          <w:rFonts w:eastAsia="仿宋"/>
          <w:sz w:val="32"/>
          <w:szCs w:val="32"/>
        </w:rPr>
        <w:t>（五）组织实施国家基本药物制度和省、市药物政策，开展药品使用监测、临床综合评价和短缺药品预警，提出全区基本药物价格政策的建议，参与拟订药品地方性有关规定和办法。组织开展食品安全风险监测，实施食品安全地方标准。</w:t>
      </w:r>
    </w:p>
    <w:p>
      <w:pPr>
        <w:spacing w:line="560" w:lineRule="exact"/>
        <w:ind w:firstLine="640" w:firstLineChars="200"/>
        <w:rPr>
          <w:rFonts w:eastAsia="仿宋"/>
          <w:sz w:val="32"/>
          <w:szCs w:val="32"/>
        </w:rPr>
      </w:pPr>
      <w:r>
        <w:rPr>
          <w:rFonts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pPr>
        <w:spacing w:line="560" w:lineRule="exact"/>
        <w:ind w:firstLine="640" w:firstLineChars="200"/>
        <w:rPr>
          <w:rFonts w:eastAsia="仿宋"/>
          <w:sz w:val="32"/>
          <w:szCs w:val="32"/>
        </w:rPr>
      </w:pPr>
      <w:r>
        <w:rPr>
          <w:rFonts w:eastAsia="仿宋"/>
          <w:sz w:val="32"/>
          <w:szCs w:val="32"/>
        </w:rPr>
        <w:t>（七）监督实施医疗机构、医疗服务行业管理办法，建立医疗服务评价和监督管理体系，会同区有关部门组织实施卫生健康专业技术人员资格标准。组织实施省、市医疗服务规范、标准和卫生健康专业技术人员执业规则、服务规范。</w:t>
      </w:r>
    </w:p>
    <w:p>
      <w:pPr>
        <w:spacing w:line="560" w:lineRule="exact"/>
        <w:ind w:firstLine="640" w:firstLineChars="200"/>
        <w:rPr>
          <w:rFonts w:eastAsia="仿宋"/>
          <w:sz w:val="32"/>
          <w:szCs w:val="32"/>
        </w:rPr>
      </w:pPr>
      <w:r>
        <w:rPr>
          <w:rFonts w:eastAsia="仿宋"/>
          <w:sz w:val="32"/>
          <w:szCs w:val="32"/>
        </w:rPr>
        <w:t>（八）负责计划生育管理和服务工作，开展人口监测预警，研究提出人口与家庭发展相关政策建议，完善全区计划生育政策。</w:t>
      </w:r>
    </w:p>
    <w:p>
      <w:pPr>
        <w:spacing w:line="560" w:lineRule="exact"/>
        <w:ind w:firstLine="640" w:firstLineChars="200"/>
        <w:rPr>
          <w:rFonts w:eastAsia="仿宋"/>
          <w:sz w:val="32"/>
          <w:szCs w:val="32"/>
        </w:rPr>
      </w:pPr>
      <w:r>
        <w:rPr>
          <w:rFonts w:eastAsia="仿宋"/>
          <w:sz w:val="32"/>
          <w:szCs w:val="32"/>
        </w:rPr>
        <w:t>（九）指导全区卫生健康工作，指导基层医疗卫生、妇幼健康服务体系和全科医生队伍建设。推进卫生健康科技创新发展。</w:t>
      </w:r>
    </w:p>
    <w:p>
      <w:pPr>
        <w:spacing w:line="560" w:lineRule="exact"/>
        <w:ind w:firstLine="640" w:firstLineChars="200"/>
        <w:rPr>
          <w:rFonts w:eastAsia="仿宋"/>
          <w:sz w:val="32"/>
          <w:szCs w:val="32"/>
        </w:rPr>
      </w:pPr>
      <w:r>
        <w:rPr>
          <w:rFonts w:eastAsia="仿宋"/>
          <w:sz w:val="32"/>
          <w:szCs w:val="32"/>
        </w:rPr>
        <w:t>（十）组织拟订全区爱国卫生事业发展规划和目标，并组织实施；负责开展卫生创建、病媒生物防制工作，协调组织城乡环境整治等项工作。</w:t>
      </w:r>
    </w:p>
    <w:p>
      <w:pPr>
        <w:spacing w:line="560" w:lineRule="exact"/>
        <w:ind w:firstLine="640" w:firstLineChars="200"/>
        <w:rPr>
          <w:rFonts w:eastAsia="仿宋"/>
          <w:sz w:val="32"/>
          <w:szCs w:val="32"/>
        </w:rPr>
      </w:pPr>
      <w:r>
        <w:rPr>
          <w:rFonts w:eastAsia="仿宋"/>
          <w:sz w:val="32"/>
          <w:szCs w:val="32"/>
        </w:rPr>
        <w:t>（十一）指导广阳区计划生育协会的业务工作。</w:t>
      </w:r>
    </w:p>
    <w:p>
      <w:pPr>
        <w:spacing w:line="560" w:lineRule="exact"/>
        <w:ind w:firstLine="640" w:firstLineChars="200"/>
        <w:rPr>
          <w:rFonts w:eastAsia="仿宋"/>
          <w:sz w:val="32"/>
          <w:szCs w:val="32"/>
        </w:rPr>
      </w:pPr>
      <w:r>
        <w:rPr>
          <w:rFonts w:eastAsia="仿宋"/>
          <w:sz w:val="32"/>
          <w:szCs w:val="32"/>
        </w:rPr>
        <w:t>（十二）承担区计划生育领导小组、区深化医药卫生体制改革领导小组、区爱国卫生运动委员会和区防治艾滋病工作委员会、区地方病防治工作领导小组、区老龄工作委员会的日常工作。</w:t>
      </w:r>
    </w:p>
    <w:p>
      <w:pPr>
        <w:spacing w:line="560" w:lineRule="exact"/>
        <w:ind w:firstLine="640" w:firstLineChars="200"/>
        <w:rPr>
          <w:rFonts w:ascii="仿宋_GB2312" w:eastAsia="仿宋_GB2312" w:cs="ArialUnicodeMS"/>
          <w:color w:val="000000"/>
          <w:kern w:val="0"/>
          <w:sz w:val="32"/>
          <w:szCs w:val="32"/>
        </w:rPr>
      </w:pPr>
      <w:r>
        <w:rPr>
          <w:rFonts w:eastAsia="仿宋"/>
          <w:sz w:val="32"/>
          <w:szCs w:val="32"/>
        </w:rPr>
        <w:t>（十三）完成区委、区政府交办的其他任务。</w:t>
      </w:r>
    </w:p>
    <w:p>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从决算编报单位构成看，纳入2019 年度本部门决算汇编范围的独立核算单位（以下简称“单位”）共11个，具体情况如下：</w:t>
      </w:r>
    </w:p>
    <w:tbl>
      <w:tblPr>
        <w:tblStyle w:val="7"/>
        <w:tblpPr w:leftFromText="180" w:rightFromText="180" w:vertAnchor="text" w:horzAnchor="page" w:tblpXSpec="center" w:tblpY="10"/>
        <w:tblOverlap w:val="never"/>
        <w:tblW w:w="4998"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3293"/>
        <w:gridCol w:w="2311"/>
        <w:gridCol w:w="252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513" w:type="pct"/>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1818" w:type="pct"/>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1276" w:type="pct"/>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1391" w:type="pct"/>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3" w:type="pct"/>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1818"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廊坊市广阳区卫生健康局(本级)</w:t>
            </w:r>
          </w:p>
        </w:tc>
        <w:tc>
          <w:tcPr>
            <w:tcW w:w="1276"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1391"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3" w:type="pct"/>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2</w:t>
            </w:r>
          </w:p>
        </w:tc>
        <w:tc>
          <w:tcPr>
            <w:tcW w:w="1818"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廊坊市广阳区卫生防疫站</w:t>
            </w:r>
          </w:p>
        </w:tc>
        <w:tc>
          <w:tcPr>
            <w:tcW w:w="1276"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3" w:type="pct"/>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3</w:t>
            </w:r>
          </w:p>
        </w:tc>
        <w:tc>
          <w:tcPr>
            <w:tcW w:w="1818"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廊坊市广阳区消杀服务站</w:t>
            </w:r>
          </w:p>
        </w:tc>
        <w:tc>
          <w:tcPr>
            <w:tcW w:w="1276"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3" w:type="pct"/>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4</w:t>
            </w:r>
          </w:p>
        </w:tc>
        <w:tc>
          <w:tcPr>
            <w:tcW w:w="1818"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廊坊市广阳区人民医院</w:t>
            </w:r>
          </w:p>
        </w:tc>
        <w:tc>
          <w:tcPr>
            <w:tcW w:w="1276"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3" w:type="pct"/>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5</w:t>
            </w:r>
          </w:p>
        </w:tc>
        <w:tc>
          <w:tcPr>
            <w:tcW w:w="1818"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廊坊市广阳区妇幼保健院</w:t>
            </w:r>
          </w:p>
        </w:tc>
        <w:tc>
          <w:tcPr>
            <w:tcW w:w="1276"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3" w:type="pct"/>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6</w:t>
            </w:r>
          </w:p>
        </w:tc>
        <w:tc>
          <w:tcPr>
            <w:tcW w:w="1818"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廊坊市广阳区眼科医院</w:t>
            </w:r>
          </w:p>
        </w:tc>
        <w:tc>
          <w:tcPr>
            <w:tcW w:w="1276"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513" w:type="pct"/>
            <w:tcBorders>
              <w:bottom w:val="single" w:color="auto" w:sz="4" w:space="0"/>
            </w:tcBorders>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7</w:t>
            </w:r>
          </w:p>
        </w:tc>
        <w:tc>
          <w:tcPr>
            <w:tcW w:w="1818"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廊坊市广阳区万庄镇中心卫生院</w:t>
            </w:r>
          </w:p>
        </w:tc>
        <w:tc>
          <w:tcPr>
            <w:tcW w:w="1276"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财政性资金定额定项补助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513" w:type="pct"/>
            <w:tcBorders>
              <w:bottom w:val="single" w:color="auto" w:sz="4" w:space="0"/>
            </w:tcBorders>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8</w:t>
            </w:r>
          </w:p>
        </w:tc>
        <w:tc>
          <w:tcPr>
            <w:tcW w:w="1818"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廊坊市广阳区九州镇卫生院</w:t>
            </w:r>
          </w:p>
        </w:tc>
        <w:tc>
          <w:tcPr>
            <w:tcW w:w="1276"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财政性质资金定额或定向补助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513" w:type="pct"/>
            <w:tcBorders>
              <w:bottom w:val="single" w:color="auto" w:sz="4" w:space="0"/>
            </w:tcBorders>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9</w:t>
            </w:r>
          </w:p>
        </w:tc>
        <w:tc>
          <w:tcPr>
            <w:tcW w:w="1818"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廊坊市广阳区北旺乡卫生院</w:t>
            </w:r>
          </w:p>
        </w:tc>
        <w:tc>
          <w:tcPr>
            <w:tcW w:w="1276"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513" w:type="pct"/>
            <w:tcBorders>
              <w:bottom w:val="single" w:color="auto" w:sz="4" w:space="0"/>
            </w:tcBorders>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10</w:t>
            </w:r>
          </w:p>
        </w:tc>
        <w:tc>
          <w:tcPr>
            <w:tcW w:w="1818"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廊坊市广阳区南尖塔镇卫生院</w:t>
            </w:r>
          </w:p>
        </w:tc>
        <w:tc>
          <w:tcPr>
            <w:tcW w:w="1276"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财政性资金定额定项补助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513" w:type="pct"/>
            <w:tcBorders>
              <w:bottom w:val="single" w:color="auto" w:sz="4" w:space="0"/>
            </w:tcBorders>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11</w:t>
            </w:r>
          </w:p>
        </w:tc>
        <w:tc>
          <w:tcPr>
            <w:tcW w:w="1818"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广阳区九州镇卫生院白家务分院</w:t>
            </w:r>
          </w:p>
        </w:tc>
        <w:tc>
          <w:tcPr>
            <w:tcW w:w="1276"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1" w:type="pct"/>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5000" w:type="pct"/>
            <w:gridSpan w:val="4"/>
            <w:tcBorders>
              <w:top w:val="single" w:color="auto" w:sz="4" w:space="0"/>
              <w:left w:val="nil"/>
              <w:bottom w:val="nil"/>
              <w:right w:val="nil"/>
            </w:tcBorders>
          </w:tcPr>
          <w:p>
            <w:pPr>
              <w:spacing w:line="560" w:lineRule="exact"/>
              <w:ind w:firstLine="560" w:firstLineChars="200"/>
              <w:jc w:val="left"/>
              <w:rPr>
                <w:rFonts w:ascii="仿宋_GB2312" w:eastAsia="仿宋_GB2312" w:cs="ArialUnicodeMS"/>
                <w:color w:val="000000"/>
                <w:kern w:val="0"/>
                <w:sz w:val="28"/>
                <w:szCs w:val="28"/>
              </w:rPr>
            </w:pPr>
          </w:p>
        </w:tc>
      </w:tr>
    </w:tbl>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sectPr>
          <w:footerReference r:id="rId17" w:type="first"/>
          <w:headerReference r:id="rId15" w:type="default"/>
          <w:footerReference r:id="rId16" w:type="default"/>
          <w:pgSz w:w="11906" w:h="16838"/>
          <w:pgMar w:top="2041" w:right="1531" w:bottom="2041" w:left="1531" w:header="851" w:footer="992" w:gutter="0"/>
          <w:pgNumType w:fmt="numberInDash" w:start="1"/>
          <w:cols w:space="720" w:num="1"/>
          <w:titlePg/>
          <w:docGrid w:linePitch="312" w:charSpace="0"/>
        </w:sectPr>
      </w:pPr>
    </w:p>
    <w:p>
      <w:pPr>
        <w:widowControl/>
        <w:spacing w:after="160" w:line="580" w:lineRule="exact"/>
        <w:ind w:firstLine="640" w:firstLineChars="200"/>
        <w:rPr>
          <w:rFonts w:ascii="Times New Roman" w:eastAsia="黑体" w:cs="Times New Roman"/>
          <w:color w:val="000000"/>
          <w:sz w:val="32"/>
          <w:szCs w:val="32"/>
        </w:rPr>
        <w:sectPr>
          <w:headerReference r:id="rId18" w:type="default"/>
          <w:type w:val="continuous"/>
          <w:pgSz w:w="11906" w:h="16838"/>
          <w:pgMar w:top="2041" w:right="1531" w:bottom="2041" w:left="1531" w:header="851" w:footer="992" w:gutter="0"/>
          <w:pgNumType w:fmt="numberInDash"/>
          <w:cols w:space="720" w:num="1"/>
          <w:titlePg/>
          <w:docGrid w:linePitch="312" w:charSpace="0"/>
        </w:sectPr>
      </w:pPr>
    </w:p>
    <w:p>
      <w:pPr>
        <w:widowControl/>
        <w:spacing w:after="160" w:line="580" w:lineRule="exact"/>
        <w:ind w:firstLine="144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linePitch="312" w:charSpace="0"/>
        </w:sectPr>
      </w:pPr>
      <w:r>
        <w:rPr>
          <w:color w:val="000000"/>
          <w:sz w:val="72"/>
        </w:rPr>
        <w:pict>
          <v:rect id="文本框 151" o:spid="_x0000_s1032" o:spt="1" style="position:absolute;left:0pt;margin-left:-85.7pt;margin-top:238.1pt;height:173.25pt;width:613.65pt;z-index:251671552;mso-width-relative:page;mso-height-relative:page;" filled="f" stroked="f" coordsize="21600,21600"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ypK0veAAAADQEAAA8A&#10;AAAAAAAAAQAgAAAAIgAAAGRycy9kb3ducmV2LnhtbFBLAQIUABQAAAAIAIdO4kAQGU6BEQIAAAsE&#10;AAAOAAAAAAAAAAEAIAAAAC0BAABkcnMvZTJvRG9jLnhtbFBLBQYAAAAABgAGAFkBAACwBQAAAAA=&#10;">
            <v:path/>
            <v:fill on="f" focussize="0,0"/>
            <v:stroke on="f" weight="0.5pt" joinstyle="round"/>
            <v:imagedata o:title=""/>
            <o:lock v:ext="edit"/>
            <v:textbox>
              <w:txbxContent>
                <w:p>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pPr>
                    <w:widowControl/>
                    <w:jc w:val="center"/>
                    <w:rPr>
                      <w:rFonts w:ascii="黑体" w:eastAsia="黑体" w:cs="黑体"/>
                      <w:color w:val="000000"/>
                      <w:sz w:val="96"/>
                      <w:szCs w:val="96"/>
                    </w:rPr>
                  </w:pPr>
                </w:p>
              </w:txbxContent>
            </v:textbox>
          </v:rect>
        </w:pict>
      </w:r>
    </w:p>
    <w:p>
      <w:pPr>
        <w:widowControl/>
        <w:spacing w:line="580" w:lineRule="exact"/>
        <w:ind w:firstLine="640" w:firstLineChars="20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color w:val="000000"/>
          <w:sz w:val="72"/>
        </w:rPr>
        <w:pict>
          <v:rect id="文本框 187" o:spid="_x0000_s1031" o:spt="1" style="position:absolute;left:0pt;margin-left:-90.8pt;margin-top:4.35pt;height:263.1pt;width:613.65pt;z-index:251672576;v-text-anchor:middle;mso-width-relative:page;mso-height-relative:page;" fillcolor="#FFD966" filled="t" stroked="t" coordsize="21600,21600" o:gfxdata="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yzKYjcAAAACwEAAA8A&#10;AAAAAAAAAQAgAAAAIgAAAGRycy9kb3ducmV2LnhtbFBLAQIUABQAAAAIAIdO4kA9JXG8TAIAAKgE&#10;AAAOAAAAAAAAAAEAIAAAACsBAABkcnMvZTJvRG9jLnhtbFBLBQYAAAAABgAGAFkBAADpBQAAAAA=&#10;">
            <v:path/>
            <v:fill type="pattern" on="t" o:title="image2" focussize="0,0" r:id="rId32"/>
            <v:stroke weight="0.5pt" color="#FFD966" joinstyle="round"/>
            <v:imagedata o:title=""/>
            <o:lock v:ext="edit"/>
            <v:textbox>
              <w:txbxContent>
                <w:p>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txbxContent>
            </v:textbox>
          </v:rect>
        </w:pic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sz w:val="32"/>
          <w:szCs w:val="32"/>
        </w:rPr>
        <w:t>本部门2019年度收入30928.36万元。上年结转和结余2094.08万元。与2018年度决算相比，收入增加5889.87万元，增加23.52%，主要原因是2019年财政收入、事业收入、其他收入增加。支出30144.97万元，与2018年度决算相比，增加4286.38万元，增长16.58%，增长原因基本支出、项目支出增加。</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pPr>
        <w:adjustRightInd w:val="0"/>
        <w:snapToGrid w:val="0"/>
        <w:spacing w:line="580" w:lineRule="exact"/>
        <w:ind w:firstLine="640" w:firstLineChars="200"/>
        <w:rPr>
          <w:rFonts w:ascii="黑体" w:eastAsia="黑体" w:cs="Times New Roman"/>
          <w:b/>
          <w:bCs/>
          <w:color w:val="000000"/>
          <w:sz w:val="32"/>
          <w:szCs w:val="32"/>
        </w:rPr>
      </w:pPr>
      <w:r>
        <w:rPr>
          <w:rFonts w:hint="eastAsia" w:ascii="仿宋_GB2312" w:eastAsia="仿宋_GB2312" w:cs="DengXian-Regular"/>
          <w:color w:val="000000"/>
          <w:sz w:val="32"/>
          <w:szCs w:val="32"/>
        </w:rPr>
        <w:t>本部门2019年度本年收入合计30928.36万元，其中：财政拨款收入10898.97万元，占35.24%；事业收入19286.93万元，占62.36%；其他收入742.46万元，占2.4%。</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pPr>
        <w:keepNext/>
        <w:keepLines/>
        <w:snapToGrid w:val="0"/>
        <w:spacing w:line="580" w:lineRule="exact"/>
        <w:ind w:firstLine="640" w:firstLineChars="200"/>
        <w:outlineLvl w:val="1"/>
        <w:rPr>
          <w:rFonts w:ascii="黑体" w:eastAsia="黑体" w:cs="Times New Roman"/>
          <w:b/>
          <w:bCs/>
          <w:color w:val="000000"/>
          <w:sz w:val="32"/>
          <w:szCs w:val="32"/>
        </w:rPr>
      </w:pPr>
      <w:r>
        <w:rPr>
          <w:rFonts w:hint="eastAsia" w:ascii="仿宋_GB2312" w:eastAsia="仿宋_GB2312" w:cs="DengXian-Regular"/>
          <w:color w:val="000000"/>
          <w:sz w:val="32"/>
          <w:szCs w:val="32"/>
        </w:rPr>
        <w:t>本部门2019年度本年支出合计30144.97万元，其中：基本支出22757.48万元，占75.49%；项目支出7387.49万元，占24.51%。</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（一）财政拨款收支与2018 年度决算对比情况</w:t>
      </w:r>
    </w:p>
    <w:p>
      <w:pPr>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部门2019年度财政拨款本年收入10898.97万元,比2018年度增加3874.2万元，增长55.15%，主要是财政投入增加；本年支出10437.22万元，比2018年度增加2518.14万元，增加31.8%，主要是基本支出、项目支出增加。具体情况如下：</w:t>
      </w:r>
    </w:p>
    <w:p>
      <w:pPr>
        <w:numPr>
          <w:ilvl w:val="0"/>
          <w:numId w:val="1"/>
        </w:num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一般公共预算财政拨款本年收入10898.97万元，比上年增加3874.2万元；主要是财政投入增加；本年支出10228.99万元，比上年增加2718.73万元，增加36.2%，主要是基本支出、项目支出增加。</w:t>
      </w:r>
    </w:p>
    <w:p>
      <w:pPr>
        <w:numPr>
          <w:ilvl w:val="0"/>
          <w:numId w:val="1"/>
        </w:num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政府性基金预算财政拨款本年收入0万元，与上年无变化；本年支出208.23万元，比上年减少200.59万元，降低49.07%，主要是项目中期支出小。</w:t>
      </w:r>
    </w:p>
    <w:p>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财政拨款本年收入10898.97万元，完成年初预算的132.72%,比年初预算增加2687.14万元，决算数大于预算数主要原因是项目支出年中追加资金投入；本年支出10437.22万元，完成年初预算的127.1%,比年初预算增加2225.39万元，决算数大于预算数主要原因是年中项目追加资金投入，支出相应增加。</w:t>
      </w:r>
    </w:p>
    <w:p>
      <w:pPr>
        <w:numPr>
          <w:ilvl w:val="0"/>
          <w:numId w:val="2"/>
        </w:num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一般公共预算财政拨款本年收入完成年初预算132.72%，比年初预算增加2687.14万元，主要是项目支出年中追加资金投入；支出完成年初预算124.56%，比年初预算增加2017.16万元，主要是年中项目追加资金投入，支出相应增加。</w:t>
      </w:r>
    </w:p>
    <w:p>
      <w:pPr>
        <w:numPr>
          <w:ilvl w:val="0"/>
          <w:numId w:val="2"/>
        </w:num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政府性基金预算财政拨款本年收入无预算；支出比年初预算增加208.23万元，主要是本年支出上年结转的政府性基金。</w:t>
      </w:r>
    </w:p>
    <w:p>
      <w:pPr>
        <w:numPr>
          <w:ilvl w:val="0"/>
          <w:numId w:val="3"/>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2019年度财政拨款支出10437.22万元，社会保障和就业（类）支出806.41万元，占7.72%，；卫生健康（类）支出9333.51万元，占89.43%；住房保障（类）支出89.06万元，占0.85%；城乡社区（类）支出208.23万元，占2%。</w:t>
      </w:r>
    </w:p>
    <w:p>
      <w:pPr>
        <w:adjustRightInd w:val="0"/>
        <w:snapToGrid w:val="0"/>
        <w:spacing w:line="580" w:lineRule="exact"/>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年度财政拨款基本支出3472.69万元，其中：人员经费2530.34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942.35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本部门2019年度“三公”经费支出共计8.89万元，完成预算的92.51%,较预算减少0.72万元；较2018年度减少1.35万元，减少13.18%，主要是公务用车维修费用减少。具体情况如下：</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（一）因公出国（境）费支出0万元。</w:t>
      </w:r>
      <w:r>
        <w:rPr>
          <w:rFonts w:hint="eastAsia" w:ascii="仿宋_GB2312" w:eastAsia="仿宋_GB2312" w:cs="DengXian-Regular"/>
          <w:color w:val="000000"/>
          <w:sz w:val="32"/>
          <w:szCs w:val="32"/>
        </w:rPr>
        <w:t>本部门2019年度因公出国（境）团组0个、共0人，参加其他单位组织的因公出国（境）团组0个、共0人，无本单位组织的出国（境）团组。无因公出国（境）费支出，无预算安排,主要是无因公出国（境）费支出；与2018年度决算支出持平,主要是无因公出国（境）费支出。</w:t>
      </w:r>
    </w:p>
    <w:p>
      <w:pPr>
        <w:adjustRightInd w:val="0"/>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（二）公务用车购置及运行维护费支出8.89万元。</w:t>
      </w:r>
      <w:r>
        <w:rPr>
          <w:rFonts w:hint="eastAsia" w:ascii="仿宋_GB2312" w:eastAsia="仿宋_GB2312" w:cs="DengXian-Regular"/>
          <w:color w:val="000000"/>
          <w:sz w:val="32"/>
          <w:szCs w:val="32"/>
        </w:rPr>
        <w:t>本部门2019年度公务用车购置及运行维护费较预算减少0.72万元，降低7.49%；较上年减少1.35万元，减少13.18%,主要是公务用车维修费用减少。</w:t>
      </w:r>
      <w:r>
        <w:rPr>
          <w:rFonts w:hint="eastAsia" w:ascii="仿宋_GB2312" w:eastAsia="仿宋_GB2312" w:cs="DengXian-Bold"/>
          <w:b/>
          <w:bCs/>
          <w:color w:val="000000"/>
          <w:sz w:val="32"/>
          <w:szCs w:val="32"/>
        </w:rPr>
        <w:t>其中：</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本部门2019年度公务用车购置量0辆，发生“公务用车购置”经费支出0万元。公务用车购置费无预算安排,主要是无购置车辆，未发生公务用车购置费用；与2018年度决算支出持平，主要是无购置车辆。</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本部门2019年度单位公务用车保有量25辆。公车运行维护费支出较预算减少0.72万元，降低7.49%；较上年减少1.35万元，减少13.18%，主要是公务用车维修费用减少。</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（三）公务接待费支出0万元。</w:t>
      </w:r>
      <w:r>
        <w:rPr>
          <w:rFonts w:hint="eastAsia" w:ascii="仿宋_GB2312" w:eastAsia="仿宋_GB2312" w:cs="DengXian-Regular"/>
          <w:color w:val="000000"/>
          <w:sz w:val="32"/>
          <w:szCs w:val="32"/>
        </w:rPr>
        <w:t>本部门2019年度公务接待共0批次、0人次。公务接待费支出无预算安排；与2018年度决算支出持平,主要是无公务接待费用支出。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本部门2019年度机关运行经费支出61.15万元，比2018年度减少28.03万元，降低31.43%。主要原因是2019年房屋维修费用降低。</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pPr>
        <w:snapToGrid w:val="0"/>
        <w:spacing w:line="580" w:lineRule="exact"/>
        <w:ind w:firstLine="640" w:firstLineChars="200"/>
        <w:jc w:val="left"/>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本部门2019年度政府采购支出总额92.7万元，从采购类型来看，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45.9</w:t>
      </w:r>
      <w:r>
        <w:rPr>
          <w:rFonts w:ascii="仿宋_GB2312" w:eastAsia="仿宋_GB2312" w:cs="仿宋_GB2312"/>
          <w:color w:val="000000"/>
          <w:kern w:val="0"/>
          <w:sz w:val="32"/>
          <w:szCs w:val="32"/>
        </w:rPr>
        <w:t>万元、政府采购工程支出</w:t>
      </w:r>
      <w:r>
        <w:rPr>
          <w:rFonts w:hint="eastAsia" w:ascii="仿宋_GB2312" w:eastAsia="仿宋_GB2312" w:cs="仿宋_GB2312"/>
          <w:color w:val="000000"/>
          <w:kern w:val="0"/>
          <w:sz w:val="32"/>
          <w:szCs w:val="32"/>
        </w:rPr>
        <w:t>46.8</w:t>
      </w:r>
      <w:r>
        <w:rPr>
          <w:rFonts w:ascii="仿宋_GB2312" w:eastAsia="仿宋_GB2312" w:cs="仿宋_GB2312"/>
          <w:color w:val="000000"/>
          <w:kern w:val="0"/>
          <w:sz w:val="32"/>
          <w:szCs w:val="32"/>
        </w:rPr>
        <w:t>万元、政府采购服务支出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92.7</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92.7</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截至2019年12月31日，本部门共有车辆25辆，比上年增加5辆，主要是五个乡镇卫生院各增加了1辆救护车。其中，副部（省）级及以上领导用车0辆，主要领导干部用车0辆，机要通信用车0辆，应急保障用车5辆，执法执勤用车3辆，特种专业技术用车3辆，离退休干部用车0辆，其他用车14辆。</w:t>
      </w:r>
    </w:p>
    <w:p>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单位价值</w:t>
      </w:r>
      <w:r>
        <w:rPr>
          <w:rFonts w:hint="eastAsia"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万元以上通用设备0台（套），与上年无变化，单位价值</w:t>
      </w:r>
      <w:r>
        <w:rPr>
          <w:rFonts w:hint="eastAsia"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万元以上专用设备0台（套），与上年无变化。</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1. 本部门2019年度国有资本经营预算财政拨款无收支及结转结余情况，故国有资本经营预算财政拨款支出决算表以空表列示。</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linePitch="312" w:charSpace="0"/>
        </w:sectPr>
      </w:pPr>
    </w:p>
    <w:p>
      <w:pPr>
        <w:rPr>
          <w:rFonts w:ascii="黑体" w:eastAsia="黑体" w:cs="黑体"/>
          <w:color w:val="000000"/>
          <w:sz w:val="56"/>
          <w:szCs w:val="72"/>
        </w:rPr>
        <w:sectPr>
          <w:headerReference r:id="rId20" w:type="first"/>
          <w:footerReference r:id="rId22" w:type="first"/>
          <w:headerReference r:id="rId19" w:type="default"/>
          <w:footerReference r:id="rId21" w:type="default"/>
          <w:type w:val="continuous"/>
          <w:pgSz w:w="11906" w:h="16838"/>
          <w:pgMar w:top="2041" w:right="1531" w:bottom="2041" w:left="1531" w:header="851" w:footer="992" w:gutter="0"/>
          <w:pgNumType w:fmt="numberInDash"/>
          <w:cols w:space="720" w:num="1"/>
          <w:titlePg/>
          <w:docGrid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w:pict>
          <v:rect id="文本框 188" o:spid="_x0000_s1030" o:spt="1" style="position:absolute;left:0pt;margin-left:-80.45pt;margin-top:34.8pt;height:263.1pt;width:613.65pt;z-index:251673600;v-text-anchor:middle;mso-width-relative:page;mso-height-relative:page;" fillcolor="#FFD966" filled="t" stroked="t" coordsize="21600,21600"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LPhr2wAAAAwBAAAPAAAA&#10;AAAAAAEAIAAAACIAAABkcnMvZG93bnJldi54bWxQSwECFAAUAAAACACHTuJAsvZYKUsCAACpBAAA&#10;DgAAAAAAAAABACAAAAAqAQAAZHJzL2Uyb0RvYy54bWxQSwUGAAAAAAYABgBZAQAA5wUAAAAA&#10;">
            <v:path/>
            <v:fill type="pattern" on="t" o:title="image2" focussize="0,0" r:id="rId32"/>
            <v:stroke weight="0.5pt" color="#FFD966" joinstyle="round"/>
            <v:imagedata o:title=""/>
            <o:lock v:ext="edit"/>
            <v:textbox>
              <w:txbxContent>
                <w:p>
                  <w:pPr>
                    <w:widowControl/>
                    <w:jc w:val="center"/>
                  </w:pPr>
                  <w:r>
                    <w:rPr>
                      <w:rFonts w:hint="eastAsia" w:ascii="黑体" w:eastAsia="黑体" w:cs="黑体"/>
                      <w:color w:val="000000"/>
                      <w:sz w:val="90"/>
                      <w:szCs w:val="90"/>
                    </w:rPr>
                    <w:t>第三部分 相关名词解释</w:t>
                  </w:r>
                </w:p>
              </w:txbxContent>
            </v:textbox>
          </v:rect>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r:id="rId23" w:type="first"/>
          <w:pgSz w:w="11906" w:h="16838"/>
          <w:pgMar w:top="2041" w:right="1531" w:bottom="2041" w:left="1531" w:header="851" w:footer="992" w:gutter="0"/>
          <w:pgNumType w:fmt="numberInDash"/>
          <w:cols w:space="720" w:num="1"/>
          <w:titlePg/>
          <w:docGrid w:linePitch="312" w:charSpace="0"/>
        </w:sectPr>
      </w:pP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r:id="rId24" w:type="default"/>
          <w:pgSz w:w="11906" w:h="16838"/>
          <w:pgMar w:top="2098" w:right="1474" w:bottom="1985" w:left="1588" w:header="851" w:footer="992" w:gutter="0"/>
          <w:pgNumType w:fmt="numberInDash"/>
          <w:cols w:space="720" w:num="1"/>
          <w:docGrid w:linePitch="312" w:charSpace="0"/>
        </w:sectPr>
      </w:pPr>
    </w:p>
    <w:p>
      <w:pPr>
        <w:rPr>
          <w:color w:val="000000"/>
        </w:rPr>
      </w:pPr>
    </w:p>
    <w:p>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linePitch="312" w:charSpace="0"/>
        </w:sectPr>
      </w:pPr>
      <w:r>
        <w:rPr>
          <w:color w:val="000000"/>
          <w:sz w:val="72"/>
        </w:rPr>
        <w:pict>
          <v:rect id="文本框 229" o:spid="_x0000_s1029" o:spt="1" style="position:absolute;left:0pt;margin-left:-82.05pt;margin-top:111.85pt;height:263.1pt;width:613.65pt;z-index:251674624;v-text-anchor:middle;mso-width-relative:page;mso-height-relative:page;" fillcolor="#FFD966" filled="t" stroked="t" coordsize="21600,21600" o:gfxdata="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x9VEG3QAAAA0BAAAP&#10;AAAAAAAAAAEAIAAAACIAAABkcnMvZG93bnJldi54bWxQSwECFAAUAAAACACHTuJA8cPfkEwCAACp&#10;BAAADgAAAAAAAAABACAAAAAsAQAAZHJzL2Uyb0RvYy54bWxQSwUGAAAAAAYABgBZAQAA6gUAAAAA&#10;">
            <v:path/>
            <v:fill type="pattern" on="t" o:title="image2" focussize="0,0" r:id="rId32"/>
            <v:stroke weight="0.5pt" color="#FFD966" joinstyle="round"/>
            <v:imagedata o:title=""/>
            <o:lock v:ext="edit"/>
            <v:textbox>
              <w:txbxContent>
                <w:p>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pPr>
                    <w:widowControl/>
                    <w:jc w:val="center"/>
                  </w:pPr>
                  <w:r>
                    <w:rPr>
                      <w:rFonts w:hint="eastAsia" w:ascii="黑体" w:eastAsia="黑体" w:cs="黑体"/>
                      <w:color w:val="000000"/>
                      <w:sz w:val="90"/>
                      <w:szCs w:val="90"/>
                    </w:rPr>
                    <w:t>2019年度部门决算报表</w:t>
                  </w:r>
                </w:p>
              </w:txbxContent>
            </v:textbox>
          </v:rect>
        </w:pict>
      </w:r>
    </w:p>
    <w:tbl>
      <w:tblPr>
        <w:tblStyle w:val="7"/>
        <w:tblW w:w="5000" w:type="pct"/>
        <w:tblInd w:w="0" w:type="dxa"/>
        <w:tblLayout w:type="autofit"/>
        <w:tblCellMar>
          <w:top w:w="0" w:type="dxa"/>
          <w:left w:w="0" w:type="dxa"/>
          <w:bottom w:w="0" w:type="dxa"/>
          <w:right w:w="0" w:type="dxa"/>
        </w:tblCellMar>
      </w:tblPr>
      <w:tblGrid>
        <w:gridCol w:w="3430"/>
        <w:gridCol w:w="470"/>
        <w:gridCol w:w="910"/>
        <w:gridCol w:w="3330"/>
        <w:gridCol w:w="470"/>
        <w:gridCol w:w="1430"/>
      </w:tblGrid>
      <w:tr>
        <w:tblPrEx>
          <w:tblCellMar>
            <w:top w:w="0" w:type="dxa"/>
            <w:left w:w="0" w:type="dxa"/>
            <w:bottom w:w="0" w:type="dxa"/>
            <w:right w:w="0" w:type="dxa"/>
          </w:tblCellMar>
        </w:tblPrEx>
        <w:trPr>
          <w:trHeight w:val="390" w:hRule="atLeast"/>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b/>
                <w:bCs/>
                <w:color w:val="000000"/>
                <w:kern w:val="0"/>
                <w:sz w:val="30"/>
                <w:szCs w:val="30"/>
              </w:rPr>
              <w:t>收入支出决算总表</w:t>
            </w:r>
          </w:p>
        </w:tc>
      </w:tr>
      <w:tr>
        <w:tblPrEx>
          <w:tblCellMar>
            <w:top w:w="0" w:type="dxa"/>
            <w:left w:w="0" w:type="dxa"/>
            <w:bottom w:w="0" w:type="dxa"/>
            <w:right w:w="0" w:type="dxa"/>
          </w:tblCellMar>
        </w:tblPrEx>
        <w:trPr>
          <w:trHeight w:val="255" w:hRule="atLeast"/>
        </w:trPr>
        <w:tc>
          <w:tcPr>
            <w:tcW w:w="167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57"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7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20"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55" w:hRule="atLeast"/>
        </w:trPr>
        <w:tc>
          <w:tcPr>
            <w:tcW w:w="1674" w:type="pct"/>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部门：廊坊市广阳区卫生系统（汇总）</w:t>
            </w: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57"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7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20"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23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2631"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10898.97</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19286.93</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742.46</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806.41</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28921.26</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208.23</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89.06</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120</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30928.36</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30144.97</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2094.08</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2877.47</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33022.44</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33022.44</w:t>
            </w:r>
          </w:p>
        </w:tc>
      </w:tr>
      <w:tr>
        <w:tblPrEx>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注：本表反映部门本年度的总收支和年末结转结余情况。</w:t>
            </w:r>
          </w:p>
        </w:tc>
      </w:tr>
      <w:tr>
        <w:tblPrEx>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bl>
    <w:p>
      <w:pPr>
        <w:tabs>
          <w:tab w:val="left" w:pos="886"/>
        </w:tabs>
        <w:jc w:val="left"/>
        <w:rPr>
          <w:color w:val="000000"/>
        </w:rPr>
      </w:pPr>
    </w:p>
    <w:p>
      <w:pPr>
        <w:jc w:val="left"/>
        <w:rPr>
          <w:color w:val="000000"/>
        </w:rPr>
      </w:pPr>
    </w:p>
    <w:tbl>
      <w:tblPr>
        <w:tblStyle w:val="7"/>
        <w:tblW w:w="10065" w:type="dxa"/>
        <w:jc w:val="center"/>
        <w:tblLayout w:type="fixed"/>
        <w:tblCellMar>
          <w:top w:w="0" w:type="dxa"/>
          <w:left w:w="0" w:type="dxa"/>
          <w:bottom w:w="0" w:type="dxa"/>
          <w:right w:w="0" w:type="dxa"/>
        </w:tblCellMar>
      </w:tblPr>
      <w:tblGrid>
        <w:gridCol w:w="717"/>
        <w:gridCol w:w="50"/>
        <w:gridCol w:w="50"/>
        <w:gridCol w:w="4084"/>
        <w:gridCol w:w="958"/>
        <w:gridCol w:w="973"/>
        <w:gridCol w:w="554"/>
        <w:gridCol w:w="940"/>
        <w:gridCol w:w="468"/>
        <w:gridCol w:w="480"/>
        <w:gridCol w:w="791"/>
      </w:tblGrid>
      <w:tr>
        <w:tblPrEx>
          <w:tblCellMar>
            <w:top w:w="0" w:type="dxa"/>
            <w:left w:w="0" w:type="dxa"/>
            <w:bottom w:w="0" w:type="dxa"/>
            <w:right w:w="0" w:type="dxa"/>
          </w:tblCellMar>
        </w:tblPrEx>
        <w:trPr>
          <w:trHeight w:val="670" w:hRule="atLeast"/>
          <w:jc w:val="center"/>
        </w:trPr>
        <w:tc>
          <w:tcPr>
            <w:tcW w:w="10065"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71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0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7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71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0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hint="eastAsia" w:ascii="宋体" w:hAnsi="宋体" w:eastAsia="宋体" w:cs="宋体"/>
                <w:color w:val="000000"/>
                <w:kern w:val="0"/>
                <w:sz w:val="20"/>
                <w:szCs w:val="20"/>
              </w:rPr>
              <w:t>廊坊市广阳区卫生系统（汇总）</w:t>
            </w: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74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48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9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9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5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9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4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4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79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09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09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09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85" w:hRule="atLeast"/>
          <w:jc w:val="center"/>
        </w:trPr>
        <w:tc>
          <w:tcPr>
            <w:tcW w:w="489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9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489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30928.36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10898.97</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19286.93</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742.46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社会保障和就业支出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812.41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806.41</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20805</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行政事业单位离退休</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806.41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806.41</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2080501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归口管理的行政单位离退休</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276.52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276.52</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2080502</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事业单位离退休</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364.74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364.74</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2080505</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165.15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165.15</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20816</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红十字事业</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2081601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29906.88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1003.49</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19286.93</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616.46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卫生健康管理事务</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2242.64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2174.91</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67.73</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2100101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944.54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935.61</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8.93</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2100199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其他卫生健康管理事务支出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12198.1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1239.3</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58.8</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21002</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公立医院</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19534.78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2281.5</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17123.28</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130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2100201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综合医院</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3741.67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3741.67</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2100206</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妇产医院</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97.37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97.37</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2100299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其他公立医院支出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15695.74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2184.13</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13381.61</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130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21003</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基层医疗卫生机构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3070.39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906.74</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2163.65</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2100302</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乡镇卫生院</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2409.65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246</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2163.65</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2100399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其他基层医疗卫生机构支出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660.74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660.74</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公共卫生</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3935.26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3616.87</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318.39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疾病预防控制机构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360.63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321.63</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2100402</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卫生监督机构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124.89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124.89</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2100403</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妇幼保健机构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29</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2100405</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应急救治机构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2100408</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基本公共卫生服务</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3129.76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2890.37</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239.39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重大公共卫生专项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220.98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220.98</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2100499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其他公共卫生支出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21006</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中医药</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2100699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其他中医药支出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21007</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计划生育事务</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861.68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781.34</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80.34</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2100716</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计划生育机构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30.3</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2100717</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计划生育服务</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271.05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271.05</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2100799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其他计划生育事务支出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560.33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479.99</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80.34</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21011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56.12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56.12</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2101101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32.79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32.79</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2101102</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事业单位医疗</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23.33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23.33</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21099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其他卫生健康支出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156.01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136.01</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2109901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其他卫生健康支出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156.01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136.01</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89.06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89.06</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22102</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89.06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89.06</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2210201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89.06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89.06</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其他支出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22999</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其他支出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2299901</w:t>
            </w:r>
          </w:p>
        </w:tc>
        <w:tc>
          <w:tcPr>
            <w:tcW w:w="4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其他支出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120</w:t>
            </w:r>
          </w:p>
        </w:tc>
      </w:tr>
      <w:tr>
        <w:tblPrEx>
          <w:tblCellMar>
            <w:top w:w="0" w:type="dxa"/>
            <w:left w:w="0" w:type="dxa"/>
            <w:bottom w:w="0" w:type="dxa"/>
            <w:right w:w="0" w:type="dxa"/>
          </w:tblCellMar>
        </w:tblPrEx>
        <w:trPr>
          <w:trHeight w:val="385" w:hRule="atLeast"/>
          <w:jc w:val="center"/>
        </w:trPr>
        <w:tc>
          <w:tcPr>
            <w:tcW w:w="10065"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pPr>
        <w:jc w:val="left"/>
        <w:rPr>
          <w:color w:val="000000"/>
        </w:rPr>
      </w:pPr>
    </w:p>
    <w:p>
      <w:pPr>
        <w:rPr>
          <w:color w:val="000000"/>
        </w:rPr>
      </w:pPr>
      <w:r>
        <w:rPr>
          <w:color w:val="000000"/>
        </w:rPr>
        <w:br w:type="page"/>
      </w:r>
    </w:p>
    <w:tbl>
      <w:tblPr>
        <w:tblStyle w:val="7"/>
        <w:tblW w:w="5000" w:type="pct"/>
        <w:jc w:val="center"/>
        <w:tblLayout w:type="fixed"/>
        <w:tblCellMar>
          <w:top w:w="0" w:type="dxa"/>
          <w:left w:w="0" w:type="dxa"/>
          <w:bottom w:w="0" w:type="dxa"/>
          <w:right w:w="0" w:type="dxa"/>
        </w:tblCellMar>
      </w:tblPr>
      <w:tblGrid>
        <w:gridCol w:w="656"/>
        <w:gridCol w:w="67"/>
        <w:gridCol w:w="78"/>
        <w:gridCol w:w="3610"/>
        <w:gridCol w:w="928"/>
        <w:gridCol w:w="1019"/>
        <w:gridCol w:w="899"/>
        <w:gridCol w:w="373"/>
        <w:gridCol w:w="533"/>
        <w:gridCol w:w="939"/>
      </w:tblGrid>
      <w:tr>
        <w:tblPrEx>
          <w:tblCellMar>
            <w:top w:w="0" w:type="dxa"/>
            <w:left w:w="0" w:type="dxa"/>
            <w:bottom w:w="0" w:type="dxa"/>
            <w:right w:w="0" w:type="dxa"/>
          </w:tblCellMar>
        </w:tblPrEx>
        <w:trPr>
          <w:trHeight w:val="612"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360"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8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10"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9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9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17"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360" w:type="pct"/>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8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hint="eastAsia" w:ascii="宋体" w:hAnsi="宋体" w:eastAsia="宋体" w:cs="宋体"/>
                <w:color w:val="000000"/>
                <w:kern w:val="0"/>
                <w:sz w:val="20"/>
                <w:szCs w:val="20"/>
              </w:rPr>
              <w:t>廊坊市广阳区卫生系统（汇总）</w:t>
            </w:r>
          </w:p>
        </w:tc>
        <w:tc>
          <w:tcPr>
            <w:tcW w:w="510"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9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10" w:type="pct"/>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2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10"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560"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494"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20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293"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517"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439"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983"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51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6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9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9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1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439"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98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51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6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9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9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1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439"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98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51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6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9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0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9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1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23" w:hRule="atLeast"/>
          <w:jc w:val="center"/>
        </w:trPr>
        <w:tc>
          <w:tcPr>
            <w:tcW w:w="2422"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1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5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49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20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29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5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22"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30144.97</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22757.48</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7387.49</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社会保障和就业支出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806.41</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806.41</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20805</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行政事业单位离退休</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806.41</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806.41</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2080501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归口管理的行政单位离退休</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276.52</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276.52</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2080502</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事业单位离退休</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364.74</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364.74</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2080505</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机关事业单位基本养老保险缴费支出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165.15</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165.15</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卫生健康支出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28921.25</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21742.01</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7179.24</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卫生健康管理事务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2456.91</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1403.28</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1053.63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2100101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行政运行</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918.94</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918.94</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2100199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其他卫生健康管理事务支出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1537.97</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484.34</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1053.63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21002</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公立医院</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18834.08</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17382.65</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1451.43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2100201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综合医院</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3741.67</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3741.67</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2100206</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妇产医院</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97.37</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97.37</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2100299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其他公立医院支出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14995.04</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13543.61</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1451.43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21003</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基层医疗卫生机构</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2776.81</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2424.81</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352</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2100302</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乡镇卫生院</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2180.99</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2046.99</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134</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2100399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其他基层医疗卫生机构支出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595.82</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377.82</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218</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公共卫生</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3902.18</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455.15</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3447.03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疾病预防控制机构</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350.91</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330.26</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20.65</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2100402</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卫生监督机构</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124.89</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124.89</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2100403</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妇幼保健机构</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15.15</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15.15</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2100405</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应急救治机构</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30</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2100408</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基本公共卫生服务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2960.49</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2960.49</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重大公共卫生专项</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375.55</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375.55</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2100499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其他公共卫生支出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49.19</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45.19</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21006</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中医药</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50</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2100699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其他中医药支出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50</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21007</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计划生育事务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818.99</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818.99</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2100716</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计划生育机构</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30.3</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30.3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2100717</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计划生育服务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254.82</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254.82</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2100799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其他计划生育事务支出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533.87</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533.87</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21011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行政事业单位医疗</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56.12</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56.12</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2101101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行政单位医疗</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32.79</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32.79</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2101102</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事业单位医疗</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23.33</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23.33</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21099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其他卫生健康支出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26.16</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6.16</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2109901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其他卫生健康支出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26.16</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6.16</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212</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城乡社区支出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21208</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国有土地使用权出让收入及对应专项债务收入安排的支出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2120804</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农村基础设施建设支出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4"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住房保障支出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89.06</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89.06</w:t>
            </w:r>
          </w:p>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39"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22102</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住房改革支出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89.06</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89.06</w:t>
            </w:r>
          </w:p>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2210201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住房公积金</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89.06</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89.06</w:t>
            </w:r>
          </w:p>
          <w:p>
            <w:pPr>
              <w:jc w:val="right"/>
              <w:rPr>
                <w:rFonts w:ascii="宋体" w:eastAsia="宋体" w:cs="宋体"/>
                <w:bCs/>
                <w:color w:val="000000"/>
                <w:szCs w:val="21"/>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其他支出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120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120</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22999</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其他支出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120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120</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2299901</w:t>
            </w:r>
          </w:p>
        </w:tc>
        <w:tc>
          <w:tcPr>
            <w:tcW w:w="19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其他支出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120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120</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Cs w:val="21"/>
              </w:rPr>
              <w:t>注：本表反映部门本年度各项支出情况。</w:t>
            </w:r>
          </w:p>
        </w:tc>
      </w:tr>
    </w:tbl>
    <w:p>
      <w:pPr>
        <w:rPr>
          <w:color w:val="000000"/>
        </w:rPr>
      </w:pPr>
      <w:r>
        <w:rPr>
          <w:color w:val="000000"/>
        </w:rPr>
        <w:br w:type="page"/>
      </w:r>
    </w:p>
    <w:tbl>
      <w:tblPr>
        <w:tblStyle w:val="7"/>
        <w:tblW w:w="10187" w:type="dxa"/>
        <w:jc w:val="center"/>
        <w:tblLayout w:type="fixed"/>
        <w:tblCellMar>
          <w:top w:w="0" w:type="dxa"/>
          <w:left w:w="0" w:type="dxa"/>
          <w:bottom w:w="0" w:type="dxa"/>
          <w:right w:w="0" w:type="dxa"/>
        </w:tblCellMar>
      </w:tblPr>
      <w:tblGrid>
        <w:gridCol w:w="2837"/>
        <w:gridCol w:w="390"/>
        <w:gridCol w:w="1002"/>
        <w:gridCol w:w="2726"/>
        <w:gridCol w:w="507"/>
        <w:gridCol w:w="1090"/>
        <w:gridCol w:w="945"/>
        <w:gridCol w:w="690"/>
      </w:tblGrid>
      <w:tr>
        <w:tblPrEx>
          <w:tblCellMar>
            <w:top w:w="0" w:type="dxa"/>
            <w:left w:w="0" w:type="dxa"/>
            <w:bottom w:w="0" w:type="dxa"/>
            <w:right w:w="0" w:type="dxa"/>
          </w:tblCellMar>
        </w:tblPrEx>
        <w:trPr>
          <w:trHeight w:val="406" w:hRule="atLeast"/>
          <w:jc w:val="center"/>
        </w:trPr>
        <w:tc>
          <w:tcPr>
            <w:tcW w:w="10187"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8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422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部门：廊坊市广阳区卫生系统（汇总）</w:t>
            </w:r>
          </w:p>
        </w:tc>
        <w:tc>
          <w:tcPr>
            <w:tcW w:w="27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22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收     入</w:t>
            </w:r>
          </w:p>
        </w:tc>
        <w:tc>
          <w:tcPr>
            <w:tcW w:w="5958"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8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3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10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7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10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9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6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624" w:hRule="atLeast"/>
          <w:jc w:val="center"/>
        </w:trPr>
        <w:tc>
          <w:tcPr>
            <w:tcW w:w="28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0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27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0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6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10898.97</w:t>
            </w: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806.41</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806.41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9333.51</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9333.51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208.23</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208.23</w:t>
            </w: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89.06</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89.06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10898.97</w:t>
            </w: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10437.22</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10228.99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208.23</w:t>
            </w: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年初财政拨款结转和结余</w:t>
            </w: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2134.81</w:t>
            </w: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2596.56</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2113.61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482.94</w:t>
            </w: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1443.63</w:t>
            </w: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691.18</w:t>
            </w: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57</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13033.78</w:t>
            </w:r>
          </w:p>
        </w:tc>
        <w:tc>
          <w:tcPr>
            <w:tcW w:w="2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58</w:t>
            </w:r>
          </w:p>
        </w:tc>
        <w:tc>
          <w:tcPr>
            <w:tcW w:w="10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13033.78</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12342.6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691.18</w:t>
            </w:r>
          </w:p>
        </w:tc>
      </w:tr>
      <w:tr>
        <w:tblPrEx>
          <w:tblCellMar>
            <w:top w:w="0" w:type="dxa"/>
            <w:left w:w="0" w:type="dxa"/>
            <w:bottom w:w="0" w:type="dxa"/>
            <w:right w:w="0" w:type="dxa"/>
          </w:tblCellMar>
        </w:tblPrEx>
        <w:trPr>
          <w:trHeight w:val="90" w:hRule="atLeast"/>
          <w:jc w:val="center"/>
        </w:trPr>
        <w:tc>
          <w:tcPr>
            <w:tcW w:w="10187"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bl>
    <w:p>
      <w:pPr>
        <w:rPr>
          <w:color w:val="000000"/>
        </w:rPr>
      </w:pPr>
      <w:r>
        <w:rPr>
          <w:color w:val="000000"/>
        </w:rPr>
        <w:br w:type="page"/>
      </w:r>
    </w:p>
    <w:tbl>
      <w:tblPr>
        <w:tblStyle w:val="7"/>
        <w:tblW w:w="5000" w:type="pct"/>
        <w:tblInd w:w="0" w:type="dxa"/>
        <w:tblLayout w:type="autofit"/>
        <w:tblCellMar>
          <w:top w:w="0" w:type="dxa"/>
          <w:left w:w="0" w:type="dxa"/>
          <w:bottom w:w="0" w:type="dxa"/>
          <w:right w:w="0" w:type="dxa"/>
        </w:tblCellMar>
      </w:tblPr>
      <w:tblGrid>
        <w:gridCol w:w="942"/>
        <w:gridCol w:w="2046"/>
        <w:gridCol w:w="169"/>
        <w:gridCol w:w="82"/>
        <w:gridCol w:w="1753"/>
        <w:gridCol w:w="1034"/>
        <w:gridCol w:w="228"/>
        <w:gridCol w:w="1302"/>
        <w:gridCol w:w="113"/>
        <w:gridCol w:w="1433"/>
      </w:tblGrid>
      <w:tr>
        <w:tblPrEx>
          <w:tblCellMar>
            <w:top w:w="0" w:type="dxa"/>
            <w:left w:w="0" w:type="dxa"/>
            <w:bottom w:w="0" w:type="dxa"/>
            <w:right w:w="0" w:type="dxa"/>
          </w:tblCellMar>
        </w:tblPrEx>
        <w:trPr>
          <w:trHeight w:val="3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b/>
                <w:bCs/>
                <w:color w:val="000000"/>
                <w:kern w:val="0"/>
                <w:sz w:val="30"/>
                <w:szCs w:val="30"/>
              </w:rPr>
              <w:t>一般公共预算财政拨款支出决算表</w:t>
            </w:r>
          </w:p>
        </w:tc>
      </w:tr>
      <w:tr>
        <w:tblPrEx>
          <w:tblCellMar>
            <w:top w:w="0" w:type="dxa"/>
            <w:left w:w="0" w:type="dxa"/>
            <w:bottom w:w="0" w:type="dxa"/>
            <w:right w:w="0" w:type="dxa"/>
          </w:tblCellMar>
        </w:tblPrEx>
        <w:trPr>
          <w:trHeight w:val="255" w:hRule="atLeast"/>
        </w:trPr>
        <w:tc>
          <w:tcPr>
            <w:tcW w:w="1642" w:type="pct"/>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55" w:type="pct"/>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1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2"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8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trPr>
        <w:tc>
          <w:tcPr>
            <w:tcW w:w="3436" w:type="pct"/>
            <w:gridSpan w:val="7"/>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hint="eastAsia" w:ascii="宋体" w:hAnsi="宋体" w:eastAsia="宋体" w:cs="宋体"/>
                <w:color w:val="000000"/>
                <w:kern w:val="0"/>
                <w:sz w:val="20"/>
                <w:szCs w:val="20"/>
              </w:rPr>
              <w:t>部门：廊坊市广阳区卫生系统（汇总）</w:t>
            </w:r>
          </w:p>
        </w:tc>
        <w:tc>
          <w:tcPr>
            <w:tcW w:w="71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2"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8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274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256" w:type="pct"/>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trPr>
        <w:tc>
          <w:tcPr>
            <w:tcW w:w="51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225" w:type="pct"/>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56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4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48"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trPr>
        <w:tc>
          <w:tcPr>
            <w:tcW w:w="51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25" w:type="pct"/>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6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51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25" w:type="pct"/>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6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2743" w:type="pct"/>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trPr>
        <w:tc>
          <w:tcPr>
            <w:tcW w:w="2743" w:type="pct"/>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sz w:val="22"/>
              </w:rPr>
              <w:t>10228.99</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sz w:val="22"/>
              </w:rPr>
              <w:t>3472.69</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sz w:val="22"/>
              </w:rPr>
              <w:t>6756.3</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806.41</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806.41</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806.41</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806.41</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归口管理的行政单位离退休</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276.52</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276.52</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2080502</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事业单位离退休</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364.74</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364.74</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机关事业单位基本养老保险缴费支出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165.15</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165.15</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9333.49</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2577.21</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6756.28</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卫生健康管理事务</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2294.4</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1344.75</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949.65</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2100101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910.01</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910.01</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2100199</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其他卫生健康管理事务支出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1384.39</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434.74</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949.65</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21002</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公立医院</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1610.8</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159.37</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1451.43</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2100206</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妇产医院</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97.37</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97.37</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2100299</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其他公立医院支出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1513.43</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1451.43</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21003</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基层医疗卫生机构</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913.82</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561.82</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352</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2100302</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乡镇卫生院</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318</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184</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134</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2100399</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其他基层医疗卫生机构支出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595.82</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377.82</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218</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公共卫生</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3618.19</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455.15</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3163.04</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2100401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疾病预防控制机构</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330.26</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330.26</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2100402</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卫生监督机构</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124.89</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124.89</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2100403</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妇幼保健机构</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15.15</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15.15</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2100405</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应急救治机构</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2100408</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基本公共卫生服务</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2721.1</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2721.1</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2100409</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重大公共卫生专项</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375.55</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375.55</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2100499</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其他公共卫生支出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21.24</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21.24</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21006</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中医药</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2100699</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其他中医药支出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21007</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计划生育事务</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784</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784</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2100716</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计划生育机构</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30.3</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30.3</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2100717</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计划生育服务</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254.82</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254.82</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2100799</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其他计划生育事务支出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498.88</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498.88</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56.12</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56.12</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32.79</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32.79</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事业单位医疗</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23.33</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23.33</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21099</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其他卫生健康支出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6.16</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6.16</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2109901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其他卫生健康支出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6.16</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6.16</w:t>
            </w: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89.06</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89.06</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89.06</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89.06</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5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2225"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89.06</w:t>
            </w:r>
          </w:p>
        </w:tc>
        <w:tc>
          <w:tcPr>
            <w:tcW w:w="8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89.06</w:t>
            </w:r>
          </w:p>
        </w:tc>
        <w:tc>
          <w:tcPr>
            <w:tcW w:w="84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color w:val="000000"/>
        </w:rPr>
      </w:pPr>
    </w:p>
    <w:p>
      <w:pPr>
        <w:rPr>
          <w:color w:val="000000"/>
        </w:rPr>
      </w:pPr>
    </w:p>
    <w:p>
      <w:pPr>
        <w:rPr>
          <w:color w:val="000000"/>
        </w:rPr>
      </w:pPr>
      <w:r>
        <w:rPr>
          <w:color w:val="000000"/>
        </w:rPr>
        <w:br w:type="page"/>
      </w:r>
    </w:p>
    <w:tbl>
      <w:tblPr>
        <w:tblStyle w:val="7"/>
        <w:tblW w:w="10000" w:type="dxa"/>
        <w:jc w:val="center"/>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tblPrEx>
          <w:tblCellMar>
            <w:top w:w="0" w:type="dxa"/>
            <w:left w:w="0" w:type="dxa"/>
            <w:bottom w:w="0" w:type="dxa"/>
            <w:right w:w="0" w:type="dxa"/>
          </w:tblCellMar>
        </w:tblPrEx>
        <w:trPr>
          <w:trHeight w:val="662" w:hRule="atLeast"/>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3370"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r>
              <w:rPr>
                <w:rFonts w:hint="eastAsia" w:ascii="宋体" w:hAnsi="宋体" w:eastAsia="宋体" w:cs="宋体"/>
                <w:color w:val="000000"/>
                <w:kern w:val="0"/>
                <w:sz w:val="20"/>
                <w:szCs w:val="20"/>
              </w:rPr>
              <w:t>廊坊市广阳区卫生系统（汇总）</w:t>
            </w: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389"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3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93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89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1771.7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基本工资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566.99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津贴补贴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597.68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印刷费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咨询费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hint="eastAsia" w:ascii="宋体" w:eastAsia="宋体" w:cs="宋体"/>
                <w:color w:val="000000"/>
                <w:sz w:val="20"/>
                <w:szCs w:val="20"/>
              </w:rPr>
              <w:t>2.66</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伙食补助费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手续费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绩效工资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191.86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水费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hint="eastAsia" w:ascii="宋体" w:eastAsia="宋体" w:cs="宋体"/>
                <w:color w:val="000000"/>
                <w:sz w:val="20"/>
                <w:szCs w:val="20"/>
              </w:rPr>
              <w:t>2.66</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机关事业单位基本养老保险缴费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177.57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职业年金缴费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邮电费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31005</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职工基本医疗保险缴费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52.74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取暖费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公务员医疗补助缴费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67.54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物业管理费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其他社会保障缴费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28.25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差旅费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住房公积金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89.06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因公出国（境）费用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维修（护）费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租赁费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758.64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会议费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离休费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培训费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151.49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公务接待费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退职（役）费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专用材料费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抚恤金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被装购置费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30305</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生活补助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606.16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专用燃料费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救济费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劳务费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委托业务费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助学金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工会经费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奖励金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福利费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w:t>
            </w:r>
            <w:r>
              <w:rPr>
                <w:rFonts w:hint="eastAsia" w:asci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个人农业生产补贴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公务用车运行维护费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30240</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税金及附加费用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30299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2530.34</w:t>
            </w:r>
          </w:p>
        </w:tc>
        <w:tc>
          <w:tcPr>
            <w:tcW w:w="5657"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hint="eastAsia" w:ascii="宋体" w:eastAsia="宋体" w:cs="宋体"/>
                <w:color w:val="000000"/>
                <w:sz w:val="20"/>
                <w:szCs w:val="20"/>
              </w:rPr>
              <w:t>942.35</w:t>
            </w:r>
          </w:p>
        </w:tc>
      </w:tr>
      <w:tr>
        <w:tblPrEx>
          <w:tblCellMar>
            <w:top w:w="0" w:type="dxa"/>
            <w:left w:w="0" w:type="dxa"/>
            <w:bottom w:w="0" w:type="dxa"/>
            <w:right w:w="0" w:type="dxa"/>
          </w:tblCellMar>
        </w:tblPrEx>
        <w:trPr>
          <w:gridAfter w:val="2"/>
          <w:wAfter w:w="780" w:type="dxa"/>
          <w:trHeight w:val="638" w:hRule="atLeast"/>
          <w:jc w:val="center"/>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tblPrEx>
          <w:tblCellMar>
            <w:top w:w="0" w:type="dxa"/>
            <w:left w:w="0" w:type="dxa"/>
            <w:bottom w:w="0" w:type="dxa"/>
            <w:right w:w="0" w:type="dxa"/>
          </w:tblCellMar>
        </w:tblPrEx>
        <w:trPr>
          <w:gridAfter w:val="2"/>
          <w:wAfter w:w="780" w:type="dxa"/>
          <w:trHeight w:val="360" w:hRule="atLeast"/>
          <w:jc w:val="center"/>
        </w:trPr>
        <w:tc>
          <w:tcPr>
            <w:tcW w:w="4518" w:type="dxa"/>
            <w:gridSpan w:val="7"/>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olor w:val="000000"/>
                <w:sz w:val="20"/>
                <w:szCs w:val="20"/>
              </w:rPr>
            </w:pPr>
            <w:r>
              <w:rPr>
                <w:rFonts w:hint="eastAsia" w:ascii="宋体" w:eastAsia="宋体" w:cs="宋体"/>
                <w:color w:val="000000"/>
                <w:kern w:val="0"/>
                <w:sz w:val="20"/>
                <w:szCs w:val="20"/>
              </w:rPr>
              <w:t>部门：</w:t>
            </w:r>
            <w:r>
              <w:rPr>
                <w:rFonts w:hint="eastAsia" w:ascii="宋体" w:hAnsi="宋体" w:eastAsia="宋体" w:cs="宋体"/>
                <w:color w:val="000000"/>
                <w:kern w:val="0"/>
                <w:sz w:val="20"/>
                <w:szCs w:val="20"/>
              </w:rPr>
              <w:t>廊坊市广阳区卫生系统（汇总）</w:t>
            </w: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6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9.61</w:t>
            </w:r>
          </w:p>
        </w:tc>
        <w:tc>
          <w:tcPr>
            <w:tcW w:w="15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9.61</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tblPrEx>
          <w:tblCellMar>
            <w:top w:w="0" w:type="dxa"/>
            <w:left w:w="0" w:type="dxa"/>
            <w:bottom w:w="0" w:type="dxa"/>
            <w:right w:w="0" w:type="dxa"/>
          </w:tblCellMar>
        </w:tblPrEx>
        <w:trPr>
          <w:gridAfter w:val="2"/>
          <w:wAfter w:w="780" w:type="dxa"/>
          <w:trHeight w:val="447" w:hRule="atLeast"/>
          <w:jc w:val="center"/>
        </w:trPr>
        <w:tc>
          <w:tcPr>
            <w:tcW w:w="1267" w:type="dxa"/>
            <w:gridSpan w:val="2"/>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8.89</w:t>
            </w:r>
          </w:p>
        </w:tc>
        <w:tc>
          <w:tcPr>
            <w:tcW w:w="1686"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8.89</w:t>
            </w:r>
          </w:p>
        </w:tc>
        <w:tc>
          <w:tcPr>
            <w:tcW w:w="156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8.89</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7"/>
        <w:tblW w:w="10026" w:type="dxa"/>
        <w:jc w:val="center"/>
        <w:tblLayout w:type="autofit"/>
        <w:tblCellMar>
          <w:top w:w="0" w:type="dxa"/>
          <w:left w:w="0" w:type="dxa"/>
          <w:bottom w:w="0" w:type="dxa"/>
          <w:right w:w="0" w:type="dxa"/>
        </w:tblCellMar>
      </w:tblPr>
      <w:tblGrid>
        <w:gridCol w:w="719"/>
        <w:gridCol w:w="40"/>
        <w:gridCol w:w="41"/>
        <w:gridCol w:w="5733"/>
        <w:gridCol w:w="728"/>
        <w:gridCol w:w="301"/>
        <w:gridCol w:w="728"/>
        <w:gridCol w:w="299"/>
        <w:gridCol w:w="772"/>
        <w:gridCol w:w="738"/>
      </w:tblGrid>
      <w:tr>
        <w:tblPrEx>
          <w:tblCellMar>
            <w:top w:w="0" w:type="dxa"/>
            <w:left w:w="0" w:type="dxa"/>
            <w:bottom w:w="0" w:type="dxa"/>
            <w:right w:w="0" w:type="dxa"/>
          </w:tblCellMar>
        </w:tblPrEx>
        <w:trPr>
          <w:trHeight w:val="780" w:hRule="atLeast"/>
          <w:jc w:val="center"/>
        </w:trPr>
        <w:tc>
          <w:tcPr>
            <w:tcW w:w="10026"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hint="eastAsia" w:ascii="宋体" w:hAnsi="宋体" w:eastAsia="宋体" w:cs="宋体"/>
                <w:color w:val="000000"/>
                <w:kern w:val="0"/>
                <w:sz w:val="20"/>
                <w:szCs w:val="20"/>
              </w:rPr>
              <w:t>廊坊市广阳区卫生系统（汇总）</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1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32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1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7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2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3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7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7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7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2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3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7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2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3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7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691.18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482.94</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691.18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482.94</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国有土地使用权出让收入及对应专项债务收入安排的支出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691.18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482.94</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2120804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691.18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482.94</w:t>
            </w:r>
          </w:p>
        </w:tc>
      </w:tr>
    </w:tbl>
    <w:p>
      <w:pPr>
        <w:rPr>
          <w:color w:val="000000"/>
        </w:rPr>
      </w:pPr>
      <w:r>
        <w:rPr>
          <w:color w:val="000000"/>
        </w:rPr>
        <w:br w:type="page"/>
      </w:r>
    </w:p>
    <w:tbl>
      <w:tblPr>
        <w:tblStyle w:val="7"/>
        <w:tblW w:w="9915" w:type="dxa"/>
        <w:jc w:val="center"/>
        <w:tblLayout w:type="autofit"/>
        <w:tblCellMar>
          <w:top w:w="0" w:type="dxa"/>
          <w:left w:w="0" w:type="dxa"/>
          <w:bottom w:w="0" w:type="dxa"/>
          <w:right w:w="0" w:type="dxa"/>
        </w:tblCellMar>
      </w:tblPr>
      <w:tblGrid>
        <w:gridCol w:w="4112"/>
        <w:gridCol w:w="43"/>
        <w:gridCol w:w="43"/>
        <w:gridCol w:w="2058"/>
        <w:gridCol w:w="1547"/>
        <w:gridCol w:w="1082"/>
        <w:gridCol w:w="1082"/>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hint="eastAsia" w:ascii="宋体" w:hAnsi="宋体" w:eastAsia="宋体" w:cs="宋体"/>
                <w:color w:val="000000"/>
                <w:kern w:val="0"/>
                <w:sz w:val="20"/>
                <w:szCs w:val="20"/>
              </w:rPr>
              <w:t>廊坊市广阳区卫生系统（汇总）</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36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45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625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625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widowControl/>
        <w:textAlignment w:val="center"/>
        <w:rPr>
          <w:rFonts w:ascii="宋体" w:eastAsia="宋体" w:cs="宋体"/>
          <w:color w:val="000000"/>
          <w:kern w:val="0"/>
          <w:sz w:val="22"/>
        </w:rPr>
      </w:pPr>
      <w:r>
        <w:rPr>
          <w:rFonts w:hint="eastAsia" w:ascii="宋体" w:eastAsia="宋体" w:cs="宋体"/>
          <w:color w:val="000000"/>
          <w:kern w:val="0"/>
          <w:sz w:val="22"/>
        </w:rPr>
        <w:t>本部门本年度无相关收入（或支出、收支及结转结余等）情况，按要求空表列示。</w:t>
      </w:r>
    </w:p>
    <w:p>
      <w:pPr>
        <w:rPr>
          <w:color w:val="000000"/>
        </w:rPr>
        <w:sectPr>
          <w:headerReference r:id="rId27" w:type="first"/>
          <w:headerReference r:id="rId26" w:type="default"/>
          <w:footerReference r:id="rId28" w:type="default"/>
          <w:pgSz w:w="11906" w:h="16838"/>
          <w:pgMar w:top="1701" w:right="1417" w:bottom="1281" w:left="1417" w:header="851" w:footer="992" w:gutter="0"/>
          <w:pgNumType w:fmt="numberInDash"/>
          <w:cols w:space="720" w:num="1"/>
          <w:docGrid w:linePitch="312" w:charSpace="0"/>
        </w:sectPr>
      </w:pP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w:pict>
          <v:rect id="文本框 28" o:spid="_x0000_s1028" o:spt="1" style="position:absolute;left:0pt;margin-left:-80.45pt;margin-top:34.8pt;height:263.1pt;width:613.65pt;z-index:251675648;v-text-anchor:middle;mso-width-relative:page;mso-height-relative:page;" fillcolor="#FFD966" filled="t" stroked="t" coordsize="21600,21600"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iz4a9sAAAAMAQAADwAA&#10;AAAAAAABACAAAAAiAAAAZHJzL2Rvd25yZXYueG1sUEsBAhQAFAAAAAgAh07iQPUxmMVMAgAAqAQA&#10;AA4AAAAAAAAAAQAgAAAAKgEAAGRycy9lMm9Eb2MueG1sUEsFBgAAAAAGAAYAWQEAAOgFAAAAAA==&#10;">
            <v:path/>
            <v:fill type="pattern" on="t" focussize="0,0"/>
            <v:stroke weight="0.5pt" color="#FFD966" joinstyle="round"/>
            <v:imagedata o:title=""/>
            <o:lock v:ext="edit"/>
            <v:textbox>
              <w:txbxContent>
                <w:p>
                  <w:pPr>
                    <w:widowControl/>
                    <w:jc w:val="center"/>
                  </w:pPr>
                  <w:r>
                    <w:rPr>
                      <w:rFonts w:hint="eastAsia" w:ascii="黑体" w:eastAsia="黑体" w:cs="黑体"/>
                      <w:color w:val="000000"/>
                      <w:sz w:val="90"/>
                      <w:szCs w:val="90"/>
                    </w:rPr>
                    <w:t>第五部分 预算绩效公开内容</w:t>
                  </w:r>
                </w:p>
              </w:txbxContent>
            </v:textbox>
          </v:rect>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r:id="rId29" w:type="default"/>
          <w:pgSz w:w="11906" w:h="16838"/>
          <w:pgMar w:top="1701" w:right="1417" w:bottom="1281" w:left="1417" w:header="851" w:footer="992" w:gutter="0"/>
          <w:pgNumType w:fmt="numberInDash"/>
          <w:cols w:space="720" w:num="1"/>
          <w:docGrid w:linePitch="312" w:charSpace="0"/>
        </w:sectPr>
      </w:pPr>
      <w:r>
        <w:rPr>
          <w:color w:val="000000"/>
        </w:rPr>
        <w:br w:type="page"/>
      </w:r>
    </w:p>
    <w:p>
      <w:pPr>
        <w:spacing w:line="584" w:lineRule="exact"/>
        <w:ind w:firstLine="640" w:firstLineChars="200"/>
        <w:rPr>
          <w:rFonts w:ascii="Times New Roman" w:eastAsia="仿宋_GB2312" w:cs="Times New Roman"/>
          <w:color w:val="000000"/>
          <w:sz w:val="32"/>
          <w:szCs w:val="32"/>
        </w:rPr>
      </w:pPr>
      <w:r>
        <w:rPr>
          <w:rFonts w:ascii="Times New Roman" w:eastAsia="黑体" w:cs="Times New Roman"/>
          <w:color w:val="000000"/>
          <w:sz w:val="32"/>
          <w:szCs w:val="40"/>
        </w:rPr>
        <w:t>一、预算绩效情况说明</w:t>
      </w:r>
    </w:p>
    <w:p>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pPr>
        <w:autoSpaceDE w:val="0"/>
        <w:autoSpaceDN w:val="0"/>
        <w:adjustRightInd w:val="0"/>
        <w:spacing w:line="560" w:lineRule="exact"/>
        <w:ind w:firstLine="640" w:firstLineChars="200"/>
        <w:jc w:val="left"/>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hint="eastAsia" w:ascii="Times New Roman" w:eastAsia="仿宋_GB2312" w:cs="Times New Roman"/>
          <w:color w:val="000000"/>
          <w:sz w:val="32"/>
          <w:szCs w:val="32"/>
        </w:rPr>
        <w:t>19</w:t>
      </w:r>
      <w:r>
        <w:rPr>
          <w:rFonts w:ascii="Times New Roman" w:eastAsia="仿宋_GB2312" w:cs="Times New Roman"/>
          <w:color w:val="000000"/>
          <w:sz w:val="32"/>
          <w:szCs w:val="32"/>
        </w:rPr>
        <w:t>个，涉及资金</w:t>
      </w:r>
      <w:r>
        <w:rPr>
          <w:rFonts w:hint="eastAsia" w:ascii="Times New Roman" w:eastAsia="仿宋_GB2312" w:cs="Times New Roman"/>
          <w:color w:val="000000"/>
          <w:sz w:val="32"/>
          <w:szCs w:val="32"/>
        </w:rPr>
        <w:t>3269.3</w:t>
      </w:r>
      <w:r>
        <w:rPr>
          <w:rFonts w:ascii="Times New Roman" w:eastAsia="仿宋_GB2312" w:cs="Times New Roman"/>
          <w:color w:val="000000"/>
          <w:sz w:val="32"/>
          <w:szCs w:val="32"/>
        </w:rPr>
        <w:t>万元，占一般公共预算项目支出总额的</w:t>
      </w:r>
      <w:r>
        <w:rPr>
          <w:rFonts w:hint="eastAsia" w:ascii="Times New Roman" w:eastAsia="仿宋_GB2312" w:cs="Times New Roman"/>
          <w:color w:val="000000"/>
          <w:sz w:val="32"/>
          <w:szCs w:val="32"/>
        </w:rPr>
        <w:t>48.39%</w:t>
      </w:r>
      <w:r>
        <w:rPr>
          <w:rFonts w:ascii="Times New Roman" w:eastAsia="仿宋_GB2312" w:cs="Times New Roman"/>
          <w:color w:val="000000"/>
          <w:sz w:val="32"/>
          <w:szCs w:val="32"/>
        </w:rPr>
        <w:t>。组织对2019年度</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个政府性基金预算项目支出开展绩效自评，共涉及资金</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万元，占政府性基金预算项目支出总额的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。组织对“</w:t>
      </w:r>
      <w:r>
        <w:rPr>
          <w:rFonts w:hint="eastAsia" w:ascii="Times New Roman" w:eastAsia="仿宋_GB2312" w:cs="Times New Roman"/>
          <w:color w:val="000000"/>
          <w:sz w:val="32"/>
          <w:szCs w:val="32"/>
        </w:rPr>
        <w:t>国家基本公共卫生服务区级补助资金</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计划生育家庭特别扶助资金</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“医疗应急保障资金”</w:t>
      </w:r>
      <w:r>
        <w:rPr>
          <w:rFonts w:ascii="Times New Roman" w:eastAsia="仿宋_GB2312" w:cs="Times New Roman"/>
          <w:color w:val="000000"/>
          <w:sz w:val="32"/>
          <w:szCs w:val="32"/>
        </w:rPr>
        <w:t>等</w:t>
      </w:r>
      <w:r>
        <w:rPr>
          <w:rFonts w:hint="eastAsia" w:ascii="Times New Roman" w:eastAsia="仿宋_GB2312" w:cs="Times New Roman"/>
          <w:color w:val="000000"/>
          <w:sz w:val="32"/>
          <w:szCs w:val="32"/>
        </w:rPr>
        <w:t>19</w:t>
      </w:r>
      <w:r>
        <w:rPr>
          <w:rFonts w:ascii="Times New Roman" w:eastAsia="仿宋_GB2312" w:cs="Times New Roman"/>
          <w:color w:val="000000"/>
          <w:sz w:val="32"/>
          <w:szCs w:val="32"/>
        </w:rPr>
        <w:t>个项目开展了部门评价，涉及一般公共预算支出</w:t>
      </w:r>
      <w:r>
        <w:rPr>
          <w:rFonts w:hint="eastAsia" w:ascii="Times New Roman" w:eastAsia="仿宋_GB2312" w:cs="Times New Roman"/>
          <w:color w:val="000000"/>
          <w:sz w:val="32"/>
          <w:szCs w:val="32"/>
        </w:rPr>
        <w:t>3269.3</w:t>
      </w:r>
      <w:r>
        <w:rPr>
          <w:rFonts w:ascii="Times New Roman" w:eastAsia="仿宋_GB2312" w:cs="Times New Roman"/>
          <w:color w:val="000000"/>
          <w:sz w:val="32"/>
          <w:szCs w:val="32"/>
        </w:rPr>
        <w:t>万元，政府性基金预算支出</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万元。其中，对“</w:t>
      </w:r>
      <w:r>
        <w:rPr>
          <w:rFonts w:hint="eastAsia" w:ascii="Times New Roman" w:eastAsia="仿宋_GB2312" w:cs="Times New Roman"/>
          <w:color w:val="000000"/>
          <w:sz w:val="32"/>
          <w:szCs w:val="32"/>
        </w:rPr>
        <w:t>国家基本公共卫生服务</w:t>
      </w:r>
      <w:r>
        <w:rPr>
          <w:rFonts w:ascii="Times New Roman" w:eastAsia="仿宋_GB2312" w:cs="Times New Roman"/>
          <w:color w:val="000000"/>
          <w:sz w:val="32"/>
          <w:szCs w:val="32"/>
        </w:rPr>
        <w:t>”项目委托“</w:t>
      </w:r>
      <w:r>
        <w:rPr>
          <w:rFonts w:hint="eastAsia" w:ascii="Times New Roman" w:eastAsia="仿宋_GB2312" w:cs="Times New Roman"/>
          <w:color w:val="000000"/>
          <w:sz w:val="32"/>
          <w:szCs w:val="32"/>
        </w:rPr>
        <w:t>廊坊天元会计师事务所有限责任公司</w:t>
      </w:r>
      <w:r>
        <w:rPr>
          <w:rFonts w:ascii="Times New Roman" w:eastAsia="仿宋_GB2312" w:cs="Times New Roman"/>
          <w:color w:val="000000"/>
          <w:sz w:val="32"/>
          <w:szCs w:val="32"/>
        </w:rPr>
        <w:t>”第三方机构开展绩效评价。从评价情况来看，</w:t>
      </w:r>
      <w:r>
        <w:rPr>
          <w:rFonts w:hint="eastAsia" w:ascii="Times New Roman" w:eastAsia="仿宋_GB2312" w:cs="Times New Roman"/>
          <w:color w:val="000000"/>
          <w:sz w:val="32"/>
          <w:szCs w:val="32"/>
        </w:rPr>
        <w:t>效果突出，达到了项目资金的预期使用效果，但还存在一些问题，有待进一步完善。</w:t>
      </w:r>
    </w:p>
    <w:p>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1.项目绩效自评结果。</w:t>
      </w:r>
      <w:r>
        <w:rPr>
          <w:rFonts w:ascii="Times New Roman" w:eastAsia="仿宋_GB2312" w:cs="Times New Roman"/>
          <w:color w:val="000000"/>
          <w:sz w:val="32"/>
          <w:szCs w:val="32"/>
        </w:rPr>
        <w:t>本部门2019年度对</w:t>
      </w:r>
      <w:r>
        <w:rPr>
          <w:rFonts w:hint="eastAsia" w:ascii="Times New Roman" w:eastAsia="仿宋_GB2312" w:cs="Times New Roman"/>
          <w:color w:val="000000"/>
          <w:sz w:val="32"/>
          <w:szCs w:val="32"/>
        </w:rPr>
        <w:t>19</w:t>
      </w:r>
      <w:r>
        <w:rPr>
          <w:rFonts w:ascii="Times New Roman" w:eastAsia="仿宋_GB2312" w:cs="Times New Roman"/>
          <w:color w:val="000000"/>
          <w:sz w:val="32"/>
          <w:szCs w:val="32"/>
        </w:rPr>
        <w:t>个项目进行了绩效自评，项目自评结果90分以上的</w:t>
      </w:r>
      <w:r>
        <w:rPr>
          <w:rFonts w:hint="eastAsia" w:ascii="Times New Roman" w:eastAsia="仿宋_GB2312" w:cs="Times New Roman"/>
          <w:color w:val="000000"/>
          <w:sz w:val="32"/>
          <w:szCs w:val="32"/>
        </w:rPr>
        <w:t>19</w:t>
      </w:r>
      <w:r>
        <w:rPr>
          <w:rFonts w:ascii="Times New Roman" w:eastAsia="仿宋_GB2312" w:cs="Times New Roman"/>
          <w:color w:val="000000"/>
          <w:sz w:val="32"/>
          <w:szCs w:val="32"/>
        </w:rPr>
        <w:t>项，80-90分的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项，80分以下的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项。在部门决算公开中反映</w:t>
      </w:r>
      <w:r>
        <w:rPr>
          <w:rFonts w:hint="eastAsia" w:ascii="Times New Roman" w:eastAsia="仿宋_GB2312" w:cs="Times New Roman"/>
          <w:color w:val="000000"/>
          <w:sz w:val="32"/>
          <w:szCs w:val="32"/>
        </w:rPr>
        <w:t>国家基本公共卫生服务区级补助资金、计划生育家庭特别扶助资金、农村部分计划生育家庭奖励扶助资金、医疗应急保障资金</w:t>
      </w:r>
      <w:r>
        <w:rPr>
          <w:rFonts w:ascii="Times New Roman" w:eastAsia="仿宋_GB2312" w:cs="Times New Roman"/>
          <w:color w:val="000000"/>
          <w:sz w:val="32"/>
          <w:szCs w:val="32"/>
        </w:rPr>
        <w:t>等</w:t>
      </w:r>
      <w:r>
        <w:rPr>
          <w:rFonts w:hint="eastAsia" w:ascii="Times New Roman" w:eastAsia="仿宋_GB2312" w:cs="Times New Roman"/>
          <w:color w:val="000000"/>
          <w:sz w:val="32"/>
          <w:szCs w:val="32"/>
        </w:rPr>
        <w:t>4</w:t>
      </w:r>
      <w:r>
        <w:rPr>
          <w:rFonts w:ascii="Times New Roman" w:eastAsia="仿宋_GB2312" w:cs="Times New Roman"/>
          <w:color w:val="000000"/>
          <w:sz w:val="32"/>
          <w:szCs w:val="32"/>
        </w:rPr>
        <w:t>个项目绩效自评结果。</w:t>
      </w:r>
    </w:p>
    <w:p>
      <w:pPr>
        <w:pStyle w:val="13"/>
        <w:ind w:firstLine="640"/>
        <w:rPr>
          <w:rFonts w:ascii="仿宋_GB2312" w:hAnsi="仿宋_GB2312" w:eastAsia="仿宋_GB2312" w:cs="仿宋_GB2312"/>
          <w:sz w:val="32"/>
          <w:szCs w:val="32"/>
        </w:rPr>
      </w:pPr>
      <w:r>
        <w:rPr>
          <w:rFonts w:hint="eastAsia" w:ascii="Times New Roman" w:eastAsia="仿宋_GB2312" w:cs="Times New Roman"/>
          <w:color w:val="000000"/>
          <w:sz w:val="32"/>
          <w:szCs w:val="32"/>
        </w:rPr>
        <w:t>（1）国家基本公共卫生服务区级补助资金</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国家基本公共卫生服务区级补助资金</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98.5</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639.39</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639.39</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w:t>
      </w:r>
      <w:r>
        <w:rPr>
          <w:rFonts w:hint="eastAsia" w:ascii="仿宋_GB2312" w:hAnsi="仿宋_GB2312" w:eastAsia="仿宋_GB2312" w:cs="仿宋_GB2312"/>
          <w:sz w:val="32"/>
          <w:szCs w:val="32"/>
        </w:rPr>
        <w:t>截至2019年12月底，全区累计建立城乡居民规范化电子健康档案35.31万份；全年为居民提供健康教育印刷材料112万余份，为1.63万余人次提供健康教育咨询；为3.21万余人次提供健康教育讲座，设置宣传栏228块；建立儿童预防接种建证8.19万余份，0-6岁儿童健康管理中新生儿访视率为86.46%，0-6岁儿童健康管理率为78.41%；孕产妇早孕建册率85.36%，产后访视率86.57%；65岁以上老年人参与体检2.93万余人，接受健康管理2.93万余人，健康管理率63.18%；管理高血压患者3.62万余人，规范管理率达到63.24%；管理糖尿病患者1.29万人，规范管理糖尿病患者0.8万人，规范管理率达到61.79%；规范管理严重精神障碍患者1683人,规范管理率87.84%；政府办基层医疗卫生机构10所，开展监督协管的比例100%，报告卫生健康监督事件或线索454次，开展饮用水卫生安全、学校卫生巡查、非法行医实地巡查和非法采供血实地巡查320次；65岁以上老年人中医药健康管理服务率55.05%，0-36个月儿童中医药健康管理服务率61.72%；辖区同期内经上级定点医疗机构确诊并通知基层医疗机构管理的肺结核患者81人，已管理81人，管理率100%。各项服务基本达到了国家年度目标要求，取得良好成效。</w:t>
      </w:r>
      <w:r>
        <w:rPr>
          <w:rFonts w:ascii="Times New Roman" w:eastAsia="仿宋_GB2312" w:cs="Times New Roman"/>
          <w:color w:val="000000"/>
          <w:sz w:val="32"/>
          <w:szCs w:val="32"/>
        </w:rPr>
        <w:t>发现的主要问题及原因：</w:t>
      </w:r>
      <w:r>
        <w:rPr>
          <w:rFonts w:hint="eastAsia" w:ascii="仿宋_GB2312" w:hAnsi="仿宋_GB2312" w:eastAsia="仿宋_GB2312" w:cs="仿宋_GB2312"/>
          <w:sz w:val="32"/>
          <w:szCs w:val="32"/>
        </w:rPr>
        <w:t>一是基层内部绩效落实不到位，公卫人员工资待遇较低，导致人员更换较多，对项目工作规范性理解不充分、不全面。二是基层卫生机构近些年基本医疗服务能力弱化，医防融合模式还需进一步探索和推进。三是各类原因导致基层卫生服务机构能力弱、百姓认可度低；随着经济的快速发展，流动人口迅速增加；社会压力日益加大、生活（工作）节奏快，各类体检机构逐步健全，但体检数据信息不能互通共享；基层任务繁重，宣传做不到细化和具体化，城镇居民主动参与积极性低，对基层卫生技术人员的主动、上门服务持疑惑心理，尤其在主城区现象凸显。</w:t>
      </w:r>
      <w:r>
        <w:rPr>
          <w:rFonts w:ascii="Times New Roman" w:eastAsia="仿宋_GB2312" w:cs="Times New Roman"/>
          <w:color w:val="000000"/>
          <w:sz w:val="32"/>
          <w:szCs w:val="32"/>
        </w:rPr>
        <w:t>下一步改进措施：</w:t>
      </w:r>
      <w:r>
        <w:rPr>
          <w:rFonts w:hint="eastAsia" w:ascii="仿宋_GB2312" w:hAnsi="仿宋_GB2312" w:eastAsia="仿宋_GB2312" w:cs="仿宋_GB2312"/>
          <w:sz w:val="32"/>
          <w:szCs w:val="32"/>
        </w:rPr>
        <w:t>一是年度项目任务指标、实施方案、绩效评价体系科学测算、及早制定，指导年度项目工作规范开展。二是各种途径补充基层人才队伍，提高基层卫生基本医疗服务能力，提高慢病管理和健康体检等综合管理能力，提高项目服务水平。三是强化对公共卫生专业机构作用职责分工、作用发挥的督察和评价，将项目工作培训到位、指导到位、日常质量监管到位。四是加强顶层设计，做好信息化互通互联，促进信息共享，减少重复工作。五是探索创新宣传模式，强化项目内容宣传。</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Times New Roman" w:eastAsia="仿宋_GB2312" w:cs="Times New Roman"/>
          <w:color w:val="000000"/>
          <w:sz w:val="32"/>
          <w:szCs w:val="32"/>
        </w:rPr>
        <w:t>计划生育家庭特别扶助资金</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计划生育家庭特别扶助资金</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330.89</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325.5</w:t>
      </w:r>
      <w:r>
        <w:rPr>
          <w:rFonts w:ascii="Times New Roman" w:eastAsia="仿宋_GB2312" w:cs="Times New Roman"/>
          <w:color w:val="000000"/>
          <w:sz w:val="32"/>
          <w:szCs w:val="32"/>
        </w:rPr>
        <w:t>万元，</w:t>
      </w:r>
      <w:r>
        <w:rPr>
          <w:rFonts w:ascii="仿宋_GB2312" w:hAnsi="仿宋_GB2312" w:eastAsia="仿宋_GB2312" w:cs="仿宋_GB2312"/>
          <w:sz w:val="32"/>
          <w:szCs w:val="32"/>
        </w:rPr>
        <w:t>完成预算的</w:t>
      </w:r>
      <w:r>
        <w:rPr>
          <w:rFonts w:hint="eastAsia" w:ascii="仿宋_GB2312" w:hAnsi="仿宋_GB2312" w:eastAsia="仿宋_GB2312" w:cs="仿宋_GB2312"/>
          <w:sz w:val="32"/>
          <w:szCs w:val="32"/>
        </w:rPr>
        <w:t>98.37%，</w:t>
      </w:r>
      <w:r>
        <w:rPr>
          <w:rFonts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rPr>
        <w:t>实施计划生育家庭特别扶助制度，缓解计划生育困难家庭在生产、生活、医疗和养老等方面的特殊困难，保障和改善民生，促进社会和谐稳定</w:t>
      </w:r>
      <w:r>
        <w:rPr>
          <w:rFonts w:ascii="仿宋_GB2312" w:hAnsi="仿宋_GB2312" w:eastAsia="仿宋_GB2312" w:cs="仿宋_GB2312"/>
          <w:sz w:val="32"/>
          <w:szCs w:val="32"/>
        </w:rPr>
        <w:t>；二是</w:t>
      </w:r>
      <w:r>
        <w:rPr>
          <w:rFonts w:hint="eastAsia" w:ascii="仿宋_GB2312" w:hAnsi="仿宋_GB2312" w:eastAsia="仿宋_GB2312" w:cs="仿宋_GB2312"/>
          <w:sz w:val="32"/>
          <w:szCs w:val="32"/>
        </w:rPr>
        <w:t>社会稳定</w:t>
      </w:r>
      <w:r>
        <w:rPr>
          <w:rFonts w:ascii="仿宋_GB2312" w:hAnsi="仿宋_GB2312" w:eastAsia="仿宋_GB2312" w:cs="仿宋_GB2312"/>
          <w:sz w:val="32"/>
          <w:szCs w:val="32"/>
        </w:rPr>
        <w:t>水平</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指标值是</w:t>
      </w:r>
      <w:r>
        <w:rPr>
          <w:rFonts w:hint="eastAsia" w:ascii="仿宋_GB2312" w:hAnsi="仿宋_GB2312" w:eastAsia="仿宋_GB2312" w:cs="仿宋_GB2312"/>
          <w:sz w:val="32"/>
          <w:szCs w:val="32"/>
        </w:rPr>
        <w:t>逐步提高，</w:t>
      </w:r>
      <w:r>
        <w:rPr>
          <w:rFonts w:ascii="仿宋_GB2312" w:hAnsi="仿宋_GB2312" w:eastAsia="仿宋_GB2312" w:cs="仿宋_GB2312"/>
          <w:sz w:val="32"/>
          <w:szCs w:val="32"/>
        </w:rPr>
        <w:t>全年完成值是</w:t>
      </w:r>
      <w:r>
        <w:rPr>
          <w:rFonts w:hint="eastAsia" w:ascii="仿宋_GB2312" w:hAnsi="仿宋_GB2312" w:eastAsia="仿宋_GB2312" w:cs="仿宋_GB2312"/>
          <w:sz w:val="32"/>
          <w:szCs w:val="32"/>
        </w:rPr>
        <w:t>逐步提高</w:t>
      </w:r>
      <w:r>
        <w:rPr>
          <w:rFonts w:ascii="Times New Roman" w:eastAsia="仿宋_GB2312" w:cs="Times New Roman"/>
          <w:color w:val="000000"/>
          <w:sz w:val="32"/>
          <w:szCs w:val="32"/>
        </w:rPr>
        <w:t>。发现的主要问题及原因：</w:t>
      </w:r>
      <w:r>
        <w:rPr>
          <w:rFonts w:hint="eastAsia" w:ascii="仿宋_GB2312" w:hAnsi="仿宋_GB2312" w:eastAsia="仿宋_GB2312" w:cs="仿宋_GB2312"/>
          <w:sz w:val="32"/>
          <w:szCs w:val="32"/>
        </w:rPr>
        <w:t>特别扶助家庭4人未发放扶助金（其中2人死亡，2人失联）</w:t>
      </w:r>
      <w:r>
        <w:rPr>
          <w:rFonts w:ascii="Times New Roman" w:eastAsia="仿宋_GB2312" w:cs="Times New Roman"/>
          <w:color w:val="000000"/>
          <w:sz w:val="32"/>
          <w:szCs w:val="32"/>
        </w:rPr>
        <w:t>。下一步改进措施：</w:t>
      </w:r>
      <w:r>
        <w:rPr>
          <w:rFonts w:hint="eastAsia" w:ascii="仿宋_GB2312" w:hAnsi="仿宋_GB2312" w:eastAsia="仿宋_GB2312" w:cs="仿宋_GB2312"/>
          <w:sz w:val="32"/>
          <w:szCs w:val="32"/>
        </w:rPr>
        <w:t>将对</w:t>
      </w:r>
      <w:r>
        <w:rPr>
          <w:rFonts w:ascii="仿宋_GB2312" w:hAnsi="仿宋_GB2312" w:eastAsia="仿宋_GB2312" w:cs="仿宋_GB2312"/>
          <w:sz w:val="32"/>
          <w:szCs w:val="32"/>
        </w:rPr>
        <w:t>特扶对象</w:t>
      </w:r>
      <w:r>
        <w:rPr>
          <w:rFonts w:hint="eastAsia" w:ascii="仿宋_GB2312" w:hAnsi="仿宋_GB2312" w:eastAsia="仿宋_GB2312" w:cs="仿宋_GB2312"/>
          <w:sz w:val="32"/>
          <w:szCs w:val="32"/>
        </w:rPr>
        <w:t>加大核查</w:t>
      </w:r>
      <w:r>
        <w:rPr>
          <w:rFonts w:ascii="仿宋_GB2312" w:hAnsi="仿宋_GB2312" w:eastAsia="仿宋_GB2312" w:cs="仿宋_GB2312"/>
          <w:sz w:val="32"/>
          <w:szCs w:val="32"/>
        </w:rPr>
        <w:t>和年检的力度，及时上报特扶</w:t>
      </w:r>
      <w:r>
        <w:rPr>
          <w:rFonts w:hint="eastAsia" w:ascii="仿宋_GB2312" w:hAnsi="仿宋_GB2312" w:eastAsia="仿宋_GB2312" w:cs="仿宋_GB2312"/>
          <w:sz w:val="32"/>
          <w:szCs w:val="32"/>
        </w:rPr>
        <w:t>死亡</w:t>
      </w:r>
      <w:r>
        <w:rPr>
          <w:rFonts w:ascii="仿宋_GB2312" w:hAnsi="仿宋_GB2312" w:eastAsia="仿宋_GB2312" w:cs="仿宋_GB2312"/>
          <w:sz w:val="32"/>
          <w:szCs w:val="32"/>
        </w:rPr>
        <w:t>等情况。</w:t>
      </w:r>
    </w:p>
    <w:p>
      <w:pPr>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农村部分计划生育家庭奖励扶助资金</w:t>
      </w:r>
      <w:r>
        <w:rPr>
          <w:rFonts w:ascii="仿宋_GB2312" w:hAnsi="仿宋_GB2312" w:eastAsia="仿宋_GB2312" w:cs="仿宋_GB2312"/>
          <w:sz w:val="32"/>
          <w:szCs w:val="32"/>
        </w:rPr>
        <w:t>项目综述：根据年初设定的绩效目标，</w:t>
      </w:r>
      <w:r>
        <w:rPr>
          <w:rFonts w:hint="eastAsia" w:ascii="仿宋_GB2312" w:hAnsi="仿宋_GB2312" w:eastAsia="仿宋_GB2312" w:cs="仿宋_GB2312"/>
          <w:sz w:val="32"/>
          <w:szCs w:val="32"/>
        </w:rPr>
        <w:t>农村部分计划生育家庭奖励扶助资金</w:t>
      </w:r>
      <w:r>
        <w:rPr>
          <w:rFonts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rPr>
        <w:t>233.11</w:t>
      </w:r>
      <w:r>
        <w:rPr>
          <w:rFonts w:ascii="仿宋_GB2312" w:hAnsi="仿宋_GB2312" w:eastAsia="仿宋_GB2312" w:cs="仿宋_GB2312"/>
          <w:sz w:val="32"/>
          <w:szCs w:val="32"/>
        </w:rPr>
        <w:t>万元，执行数为</w:t>
      </w:r>
      <w:r>
        <w:rPr>
          <w:rFonts w:hint="eastAsia" w:ascii="仿宋_GB2312" w:hAnsi="仿宋_GB2312" w:eastAsia="仿宋_GB2312" w:cs="仿宋_GB2312"/>
          <w:sz w:val="32"/>
          <w:szCs w:val="32"/>
        </w:rPr>
        <w:t>224.06</w:t>
      </w:r>
      <w:r>
        <w:rPr>
          <w:rFonts w:ascii="仿宋_GB2312" w:hAnsi="仿宋_GB2312" w:eastAsia="仿宋_GB2312" w:cs="仿宋_GB2312"/>
          <w:sz w:val="32"/>
          <w:szCs w:val="32"/>
        </w:rPr>
        <w:t>万元，完成预算的</w:t>
      </w:r>
      <w:r>
        <w:rPr>
          <w:rFonts w:hint="eastAsia" w:ascii="仿宋_GB2312" w:hAnsi="仿宋_GB2312" w:eastAsia="仿宋_GB2312" w:cs="仿宋_GB2312"/>
          <w:sz w:val="32"/>
          <w:szCs w:val="32"/>
        </w:rPr>
        <w:t>96.12%，</w:t>
      </w:r>
      <w:r>
        <w:rPr>
          <w:rFonts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rPr>
        <w:t>实施农村部分计划生育家庭奖励扶助制度，解决农村独生子女和双女家庭的养老问题，提高家庭发展能力</w:t>
      </w:r>
      <w:r>
        <w:rPr>
          <w:rFonts w:ascii="仿宋_GB2312" w:hAnsi="仿宋_GB2312" w:eastAsia="仿宋_GB2312" w:cs="仿宋_GB2312"/>
          <w:sz w:val="32"/>
          <w:szCs w:val="32"/>
        </w:rPr>
        <w:t>；二是</w:t>
      </w:r>
      <w:r>
        <w:rPr>
          <w:rFonts w:hint="eastAsia" w:ascii="仿宋_GB2312" w:hAnsi="仿宋_GB2312" w:eastAsia="仿宋_GB2312" w:cs="仿宋_GB2312"/>
          <w:sz w:val="32"/>
          <w:szCs w:val="32"/>
        </w:rPr>
        <w:t>家庭</w:t>
      </w:r>
      <w:r>
        <w:rPr>
          <w:rFonts w:ascii="仿宋_GB2312" w:hAnsi="仿宋_GB2312" w:eastAsia="仿宋_GB2312" w:cs="仿宋_GB2312"/>
          <w:sz w:val="32"/>
          <w:szCs w:val="32"/>
        </w:rPr>
        <w:t>发展能力</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指标值是</w:t>
      </w:r>
      <w:r>
        <w:rPr>
          <w:rFonts w:hint="eastAsia" w:ascii="仿宋_GB2312" w:hAnsi="仿宋_GB2312" w:eastAsia="仿宋_GB2312" w:cs="仿宋_GB2312"/>
          <w:sz w:val="32"/>
          <w:szCs w:val="32"/>
        </w:rPr>
        <w:t>逐步提高，</w:t>
      </w:r>
      <w:r>
        <w:rPr>
          <w:rFonts w:ascii="仿宋_GB2312" w:hAnsi="仿宋_GB2312" w:eastAsia="仿宋_GB2312" w:cs="仿宋_GB2312"/>
          <w:sz w:val="32"/>
          <w:szCs w:val="32"/>
        </w:rPr>
        <w:t>全年完成值是</w:t>
      </w:r>
      <w:r>
        <w:rPr>
          <w:rFonts w:hint="eastAsia" w:ascii="仿宋_GB2312" w:hAnsi="仿宋_GB2312" w:eastAsia="仿宋_GB2312" w:cs="仿宋_GB2312"/>
          <w:sz w:val="32"/>
          <w:szCs w:val="32"/>
        </w:rPr>
        <w:t>逐步提高</w:t>
      </w:r>
      <w:r>
        <w:rPr>
          <w:rFonts w:ascii="仿宋_GB2312" w:hAnsi="仿宋_GB2312" w:eastAsia="仿宋_GB2312" w:cs="仿宋_GB2312"/>
          <w:sz w:val="32"/>
          <w:szCs w:val="32"/>
        </w:rPr>
        <w:t>。发现的主要问题及原因：</w:t>
      </w:r>
      <w:r>
        <w:rPr>
          <w:rFonts w:hint="eastAsia" w:ascii="仿宋_GB2312" w:hAnsi="仿宋_GB2312" w:eastAsia="仿宋_GB2312" w:cs="仿宋_GB2312"/>
          <w:sz w:val="32"/>
          <w:szCs w:val="32"/>
        </w:rPr>
        <w:t>农村部分计划生育家庭奖励扶助86人未发放扶助金（经核查死亡7人，抱养2人，有城镇待遇77人）</w:t>
      </w:r>
      <w:r>
        <w:rPr>
          <w:rFonts w:ascii="Times New Roman" w:eastAsia="仿宋_GB2312" w:cs="Times New Roman"/>
          <w:color w:val="000000"/>
          <w:sz w:val="32"/>
          <w:szCs w:val="32"/>
        </w:rPr>
        <w:t>。下一步改进措施：</w:t>
      </w:r>
      <w:r>
        <w:rPr>
          <w:rFonts w:hint="eastAsia" w:ascii="仿宋_GB2312" w:hAnsi="仿宋_GB2312" w:eastAsia="仿宋_GB2312" w:cs="仿宋_GB2312"/>
          <w:sz w:val="32"/>
          <w:szCs w:val="32"/>
        </w:rPr>
        <w:t>将对</w:t>
      </w:r>
      <w:r>
        <w:rPr>
          <w:rFonts w:ascii="仿宋_GB2312" w:hAnsi="仿宋_GB2312" w:eastAsia="仿宋_GB2312" w:cs="仿宋_GB2312"/>
          <w:sz w:val="32"/>
          <w:szCs w:val="32"/>
        </w:rPr>
        <w:t>奖扶对象</w:t>
      </w:r>
      <w:r>
        <w:rPr>
          <w:rFonts w:hint="eastAsia" w:ascii="仿宋_GB2312" w:hAnsi="仿宋_GB2312" w:eastAsia="仿宋_GB2312" w:cs="仿宋_GB2312"/>
          <w:sz w:val="32"/>
          <w:szCs w:val="32"/>
        </w:rPr>
        <w:t>加大核查</w:t>
      </w:r>
      <w:r>
        <w:rPr>
          <w:rFonts w:ascii="仿宋_GB2312" w:hAnsi="仿宋_GB2312" w:eastAsia="仿宋_GB2312" w:cs="仿宋_GB2312"/>
          <w:sz w:val="32"/>
          <w:szCs w:val="32"/>
        </w:rPr>
        <w:t>和年检的力度，及时上报</w:t>
      </w:r>
      <w:r>
        <w:rPr>
          <w:rFonts w:hint="eastAsia" w:ascii="仿宋_GB2312" w:hAnsi="仿宋_GB2312" w:eastAsia="仿宋_GB2312" w:cs="仿宋_GB2312"/>
          <w:sz w:val="32"/>
          <w:szCs w:val="32"/>
        </w:rPr>
        <w:t>退出</w:t>
      </w:r>
      <w:r>
        <w:rPr>
          <w:rFonts w:ascii="仿宋_GB2312" w:hAnsi="仿宋_GB2312" w:eastAsia="仿宋_GB2312" w:cs="仿宋_GB2312"/>
          <w:sz w:val="32"/>
          <w:szCs w:val="32"/>
        </w:rPr>
        <w:t>奖扶等情况。</w:t>
      </w:r>
    </w:p>
    <w:p>
      <w:pPr>
        <w:ind w:firstLine="640" w:firstLineChars="200"/>
        <w:jc w:val="left"/>
        <w:rPr>
          <w:rFonts w:ascii="Times New Roman" w:eastAsia="仿宋_GB2312" w:cs="Times New Roman"/>
          <w:color w:val="000000"/>
          <w:sz w:val="32"/>
          <w:szCs w:val="32"/>
        </w:rPr>
      </w:pPr>
      <w:r>
        <w:rPr>
          <w:rFonts w:hint="eastAsia" w:ascii="仿宋_GB2312" w:hAnsi="仿宋_GB2312" w:eastAsia="仿宋_GB2312" w:cs="仿宋_GB2312"/>
          <w:sz w:val="32"/>
          <w:szCs w:val="32"/>
        </w:rPr>
        <w:t>（4）</w:t>
      </w:r>
      <w:r>
        <w:rPr>
          <w:rFonts w:hint="eastAsia" w:ascii="Times New Roman" w:eastAsia="仿宋_GB2312" w:cs="Times New Roman"/>
          <w:color w:val="000000"/>
          <w:sz w:val="32"/>
          <w:szCs w:val="32"/>
        </w:rPr>
        <w:t>医疗应急保障</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征兵体检</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30</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30</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w:t>
      </w:r>
      <w:r>
        <w:rPr>
          <w:rFonts w:hint="eastAsia" w:ascii="Times New Roman" w:eastAsia="仿宋_GB2312" w:cs="Times New Roman"/>
          <w:color w:val="000000"/>
          <w:sz w:val="32"/>
          <w:szCs w:val="32"/>
        </w:rPr>
        <w:t>安排救护车</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辆，工作人员</w:t>
      </w:r>
      <w:r>
        <w:rPr>
          <w:rFonts w:ascii="Times New Roman" w:eastAsia="仿宋_GB2312" w:cs="Times New Roman"/>
          <w:color w:val="000000"/>
          <w:sz w:val="32"/>
          <w:szCs w:val="32"/>
        </w:rPr>
        <w:t>6</w:t>
      </w:r>
      <w:r>
        <w:rPr>
          <w:rFonts w:hint="eastAsia" w:ascii="Times New Roman" w:eastAsia="仿宋_GB2312" w:cs="Times New Roman"/>
          <w:color w:val="000000"/>
          <w:sz w:val="32"/>
          <w:szCs w:val="32"/>
        </w:rPr>
        <w:t>名，</w:t>
      </w:r>
      <w:r>
        <w:rPr>
          <w:rFonts w:ascii="Times New Roman" w:eastAsia="仿宋_GB2312" w:cs="Times New Roman"/>
          <w:color w:val="000000"/>
          <w:sz w:val="32"/>
          <w:szCs w:val="32"/>
        </w:rPr>
        <w:t>24</w:t>
      </w:r>
      <w:r>
        <w:rPr>
          <w:rFonts w:hint="eastAsia" w:ascii="Times New Roman" w:eastAsia="仿宋_GB2312" w:cs="Times New Roman"/>
          <w:color w:val="000000"/>
          <w:sz w:val="32"/>
          <w:szCs w:val="32"/>
        </w:rPr>
        <w:t>小时待命，随时处理相关的医疗保障及突发重大公共卫生事件。</w:t>
      </w:r>
    </w:p>
    <w:p>
      <w:pPr>
        <w:keepNext/>
        <w:keepLines/>
        <w:snapToGrid w:val="0"/>
        <w:spacing w:line="580" w:lineRule="exact"/>
        <w:ind w:firstLine="643" w:firstLineChars="200"/>
        <w:outlineLvl w:val="1"/>
        <w:rPr>
          <w:rFonts w:ascii="Times New Roman" w:eastAsia="仿宋_GB2312" w:cs="Times New Roman"/>
          <w:color w:val="000000"/>
          <w:sz w:val="32"/>
          <w:szCs w:val="32"/>
        </w:rPr>
      </w:pPr>
      <w:r>
        <w:rPr>
          <w:rFonts w:ascii="Times New Roman" w:eastAsia="仿宋_GB2312" w:cs="Times New Roman"/>
          <w:b/>
          <w:bCs/>
          <w:color w:val="000000"/>
          <w:sz w:val="32"/>
          <w:szCs w:val="32"/>
        </w:rPr>
        <w:t>2.财政评价项目绩效评价结果</w:t>
      </w:r>
      <w:r>
        <w:rPr>
          <w:rFonts w:hint="eastAsia" w:ascii="Times New Roman" w:eastAsia="仿宋_GB2312" w:cs="Times New Roman"/>
          <w:b/>
          <w:bCs/>
          <w:color w:val="000000"/>
          <w:sz w:val="32"/>
          <w:szCs w:val="32"/>
        </w:rPr>
        <w:t>。</w:t>
      </w:r>
      <w:r>
        <w:rPr>
          <w:rFonts w:ascii="Times New Roman" w:eastAsia="仿宋_GB2312" w:cs="Times New Roman"/>
          <w:color w:val="000000"/>
          <w:sz w:val="32"/>
          <w:szCs w:val="32"/>
        </w:rPr>
        <w:t>对“</w:t>
      </w:r>
      <w:r>
        <w:rPr>
          <w:rFonts w:hint="eastAsia" w:ascii="Times New Roman" w:eastAsia="仿宋_GB2312" w:cs="Times New Roman"/>
          <w:color w:val="000000"/>
          <w:sz w:val="32"/>
          <w:szCs w:val="32"/>
        </w:rPr>
        <w:t>国家基本公共卫生服务</w:t>
      </w:r>
      <w:r>
        <w:rPr>
          <w:rFonts w:ascii="Times New Roman" w:eastAsia="仿宋_GB2312" w:cs="Times New Roman"/>
          <w:color w:val="000000"/>
          <w:sz w:val="32"/>
          <w:szCs w:val="32"/>
        </w:rPr>
        <w:t>”项目委托“</w:t>
      </w:r>
      <w:r>
        <w:rPr>
          <w:rFonts w:hint="eastAsia" w:ascii="Times New Roman" w:eastAsia="仿宋_GB2312" w:cs="Times New Roman"/>
          <w:color w:val="000000"/>
          <w:sz w:val="32"/>
          <w:szCs w:val="32"/>
        </w:rPr>
        <w:t>廊坊天元会计师事务所有限责任公司</w:t>
      </w:r>
      <w:r>
        <w:rPr>
          <w:rFonts w:ascii="Times New Roman" w:eastAsia="仿宋_GB2312" w:cs="Times New Roman"/>
          <w:color w:val="000000"/>
          <w:sz w:val="32"/>
          <w:szCs w:val="32"/>
        </w:rPr>
        <w:t>”第三方机构开展绩效评价</w:t>
      </w:r>
      <w:r>
        <w:rPr>
          <w:rFonts w:hint="eastAsia" w:ascii="Times New Roman" w:eastAsia="仿宋_GB2312" w:cs="Times New Roman"/>
          <w:color w:val="000000"/>
          <w:sz w:val="32"/>
          <w:szCs w:val="32"/>
        </w:rPr>
        <w:t>（附评价表）</w:t>
      </w:r>
    </w:p>
    <w:p>
      <w:pPr>
        <w:pStyle w:val="2"/>
        <w:rPr>
          <w:rFonts w:hint="eastAsia" w:ascii="Times New Roman" w:cs="Times New Roman"/>
          <w:color w:val="000000"/>
          <w:lang w:val="en-US"/>
        </w:rPr>
      </w:pPr>
      <w:r>
        <w:rPr>
          <w:rFonts w:hint="eastAsia" w:ascii="Times New Roman" w:cs="Times New Roman"/>
          <w:color w:val="000000"/>
          <w:lang w:val="en-US"/>
        </w:rPr>
        <w:t xml:space="preserve">   </w:t>
      </w:r>
    </w:p>
    <w:p>
      <w:pPr>
        <w:pStyle w:val="2"/>
        <w:rPr>
          <w:rFonts w:ascii="Times New Roman" w:cs="Times New Roman"/>
          <w:color w:val="000000"/>
          <w:lang w:val="en-US"/>
        </w:rPr>
      </w:pPr>
    </w:p>
    <w:tbl>
      <w:tblPr>
        <w:tblStyle w:val="7"/>
        <w:tblW w:w="5000" w:type="pct"/>
        <w:tblInd w:w="0" w:type="dxa"/>
        <w:tblLayout w:type="autofit"/>
        <w:tblCellMar>
          <w:top w:w="0" w:type="dxa"/>
          <w:left w:w="0" w:type="dxa"/>
          <w:bottom w:w="0" w:type="dxa"/>
          <w:right w:w="0" w:type="dxa"/>
        </w:tblCellMar>
      </w:tblPr>
      <w:tblGrid>
        <w:gridCol w:w="311"/>
        <w:gridCol w:w="268"/>
        <w:gridCol w:w="865"/>
        <w:gridCol w:w="1282"/>
        <w:gridCol w:w="2381"/>
        <w:gridCol w:w="1579"/>
        <w:gridCol w:w="345"/>
        <w:gridCol w:w="531"/>
        <w:gridCol w:w="1539"/>
      </w:tblGrid>
      <w:tr>
        <w:tblPrEx>
          <w:tblCellMar>
            <w:top w:w="0" w:type="dxa"/>
            <w:left w:w="0" w:type="dxa"/>
            <w:bottom w:w="0" w:type="dxa"/>
            <w:right w:w="0" w:type="dxa"/>
          </w:tblCellMar>
        </w:tblPrEx>
        <w:trPr>
          <w:trHeight w:val="679"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b/>
                <w:color w:val="000000"/>
                <w:sz w:val="36"/>
                <w:szCs w:val="36"/>
              </w:rPr>
            </w:pPr>
            <w:r>
              <w:rPr>
                <w:rFonts w:ascii="方正小标宋简体" w:hAnsi="方正小标宋简体" w:eastAsia="方正小标宋简体" w:cs="方正小标宋简体"/>
                <w:b/>
                <w:color w:val="000000"/>
                <w:kern w:val="0"/>
                <w:sz w:val="36"/>
                <w:szCs w:val="36"/>
              </w:rPr>
              <w:t>国家基本公共卫生服务项目绩效评价表</w:t>
            </w:r>
          </w:p>
        </w:tc>
      </w:tr>
      <w:tr>
        <w:tblPrEx>
          <w:tblCellMar>
            <w:top w:w="0" w:type="dxa"/>
            <w:left w:w="0" w:type="dxa"/>
            <w:bottom w:w="0" w:type="dxa"/>
            <w:right w:w="0" w:type="dxa"/>
          </w:tblCellMar>
        </w:tblPrEx>
        <w:trPr>
          <w:trHeight w:val="1219"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一级指标</w:t>
            </w: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二级指标</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三级指标</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指标解释</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指标说明</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评分规则</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指标分值</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得分</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评分说明</w:t>
            </w:r>
          </w:p>
        </w:tc>
      </w:tr>
      <w:tr>
        <w:tblPrEx>
          <w:tblCellMar>
            <w:top w:w="0" w:type="dxa"/>
            <w:left w:w="0" w:type="dxa"/>
            <w:bottom w:w="0" w:type="dxa"/>
            <w:right w:w="0" w:type="dxa"/>
          </w:tblCellMar>
        </w:tblPrEx>
        <w:trPr>
          <w:trHeight w:val="402"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项目决策10分</w:t>
            </w: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决策管理10分</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立项依据充分性3分</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评价项目立项是否有充分的依据。</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评分要点：</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具备一个要点实际值得</w:t>
            </w:r>
            <w:r>
              <w:rPr>
                <w:rFonts w:ascii="Times New Roman" w:eastAsia="仿宋_GB2312" w:cs="Times New Roman"/>
                <w:color w:val="000000"/>
                <w:kern w:val="0"/>
                <w:sz w:val="20"/>
                <w:szCs w:val="20"/>
              </w:rPr>
              <w:t>25%</w:t>
            </w:r>
            <w:r>
              <w:rPr>
                <w:rFonts w:ascii="仿宋_GB2312" w:hAnsi="宋体" w:eastAsia="仿宋_GB2312" w:cs="仿宋_GB2312"/>
                <w:color w:val="000000"/>
                <w:kern w:val="0"/>
                <w:sz w:val="20"/>
                <w:szCs w:val="20"/>
              </w:rPr>
              <w:t>权重分</w:t>
            </w:r>
            <w:r>
              <w:rPr>
                <w:rFonts w:hint="eastAsia" w:ascii="宋体" w:hAnsi="宋体" w:eastAsia="宋体" w:cs="宋体"/>
                <w:color w:val="000000"/>
                <w:kern w:val="0"/>
                <w:sz w:val="20"/>
                <w:szCs w:val="20"/>
              </w:rPr>
              <w:t>。</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符合国家相关法律法规、地区优先发展重点规划，与部门职责和年度工作计划相符合。得3分。</w:t>
            </w:r>
          </w:p>
        </w:tc>
      </w:tr>
      <w:tr>
        <w:tblPrEx>
          <w:tblCellMar>
            <w:top w:w="0" w:type="dxa"/>
            <w:left w:w="0" w:type="dxa"/>
            <w:bottom w:w="0" w:type="dxa"/>
            <w:right w:w="0" w:type="dxa"/>
          </w:tblCellMar>
        </w:tblPrEx>
        <w:trPr>
          <w:trHeight w:val="75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w:t>
            </w:r>
            <w:r>
              <w:rPr>
                <w:rFonts w:ascii="仿宋_GB2312" w:eastAsia="仿宋_GB2312" w:cs="仿宋_GB2312"/>
                <w:color w:val="000000"/>
                <w:kern w:val="0"/>
                <w:sz w:val="20"/>
                <w:szCs w:val="20"/>
              </w:rPr>
              <w:t>与国家相关法律法规、国民经济发展规划和党委政策决策相符合；</w:t>
            </w:r>
            <w:r>
              <w:rPr>
                <w:rFonts w:ascii="Times New Roman" w:eastAsia="宋体" w:cs="Times New Roman"/>
                <w:color w:val="000000"/>
                <w:kern w:val="0"/>
                <w:sz w:val="20"/>
                <w:szCs w:val="20"/>
              </w:rPr>
              <w:t>0.75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51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2.</w:t>
            </w:r>
            <w:r>
              <w:rPr>
                <w:rFonts w:ascii="仿宋_GB2312" w:eastAsia="仿宋_GB2312" w:cs="仿宋_GB2312"/>
                <w:color w:val="000000"/>
                <w:kern w:val="0"/>
                <w:sz w:val="20"/>
                <w:szCs w:val="20"/>
              </w:rPr>
              <w:t>与地区发展政策和优先发展重点相符合；</w:t>
            </w:r>
            <w:r>
              <w:rPr>
                <w:rFonts w:ascii="Times New Roman" w:eastAsia="宋体" w:cs="Times New Roman"/>
                <w:color w:val="000000"/>
                <w:kern w:val="0"/>
                <w:sz w:val="20"/>
                <w:szCs w:val="20"/>
              </w:rPr>
              <w:t>0.75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37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Style w:val="20"/>
                <w:rFonts w:eastAsia="宋体"/>
              </w:rPr>
              <w:t>3.</w:t>
            </w:r>
            <w:r>
              <w:rPr>
                <w:rFonts w:ascii="仿宋_GB2312" w:eastAsia="仿宋_GB2312" w:cs="仿宋_GB2312"/>
                <w:color w:val="000000"/>
                <w:kern w:val="0"/>
                <w:sz w:val="20"/>
                <w:szCs w:val="20"/>
              </w:rPr>
              <w:t>与部门职能相符合；</w:t>
            </w:r>
            <w:r>
              <w:rPr>
                <w:rStyle w:val="20"/>
                <w:rFonts w:eastAsia="宋体"/>
              </w:rPr>
              <w:t>0.75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51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Style w:val="20"/>
                <w:rFonts w:eastAsia="宋体"/>
              </w:rPr>
              <w:t>4.</w:t>
            </w:r>
            <w:r>
              <w:rPr>
                <w:rFonts w:ascii="仿宋_GB2312" w:eastAsia="仿宋_GB2312" w:cs="仿宋_GB2312"/>
                <w:color w:val="000000"/>
                <w:kern w:val="0"/>
                <w:sz w:val="20"/>
                <w:szCs w:val="20"/>
              </w:rPr>
              <w:t>与部门发展规划及需求相符合。</w:t>
            </w:r>
            <w:r>
              <w:rPr>
                <w:rStyle w:val="20"/>
                <w:rFonts w:eastAsia="宋体"/>
              </w:rPr>
              <w:t>0.75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36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项目立项规范性3分</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评价项目申请、设立过程是否符合相关要求，用以反映和考核项目立项的规范情况。</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评分要点：</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每个要点实际值得25%权重分，每欠一个要点扣25%权重分。</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《广阳区2019年度国家基本公共卫生服务项目实施方案》（廊广卫[2019] 138号）由区财政局和区卫健局联合发文，项目立项、制定、审批及实施、监督过程公开透明。得3分。</w:t>
            </w:r>
          </w:p>
        </w:tc>
      </w:tr>
      <w:tr>
        <w:tblPrEx>
          <w:tblCellMar>
            <w:top w:w="0" w:type="dxa"/>
            <w:left w:w="0" w:type="dxa"/>
            <w:bottom w:w="0" w:type="dxa"/>
            <w:right w:w="0" w:type="dxa"/>
          </w:tblCellMar>
        </w:tblPrEx>
        <w:trPr>
          <w:trHeight w:val="51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w:t>
            </w:r>
            <w:r>
              <w:rPr>
                <w:rFonts w:ascii="仿宋_GB2312" w:eastAsia="仿宋_GB2312" w:cs="仿宋_GB2312"/>
                <w:color w:val="000000"/>
                <w:kern w:val="0"/>
                <w:sz w:val="20"/>
                <w:szCs w:val="20"/>
              </w:rPr>
              <w:t>项目按照规定的程序申请设立；</w:t>
            </w:r>
            <w:r>
              <w:rPr>
                <w:rFonts w:ascii="Times New Roman" w:eastAsia="宋体" w:cs="Times New Roman"/>
                <w:color w:val="000000"/>
                <w:kern w:val="0"/>
                <w:sz w:val="20"/>
                <w:szCs w:val="20"/>
              </w:rPr>
              <w:t>0.75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79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Style w:val="20"/>
                <w:rFonts w:eastAsia="宋体"/>
              </w:rPr>
              <w:t>2.</w:t>
            </w:r>
            <w:r>
              <w:rPr>
                <w:rFonts w:ascii="仿宋_GB2312" w:eastAsia="仿宋_GB2312" w:cs="仿宋_GB2312"/>
                <w:color w:val="000000"/>
                <w:kern w:val="0"/>
                <w:sz w:val="20"/>
                <w:szCs w:val="20"/>
              </w:rPr>
              <w:t>项目立项符合相关政策，经过集体决策；</w:t>
            </w:r>
            <w:r>
              <w:rPr>
                <w:rStyle w:val="20"/>
                <w:rFonts w:eastAsia="宋体"/>
              </w:rPr>
              <w:t>0.75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3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Style w:val="20"/>
                <w:rFonts w:eastAsia="宋体"/>
              </w:rPr>
              <w:t>3.</w:t>
            </w:r>
            <w:r>
              <w:rPr>
                <w:rFonts w:ascii="仿宋_GB2312" w:eastAsia="仿宋_GB2312" w:cs="仿宋_GB2312"/>
                <w:color w:val="000000"/>
                <w:kern w:val="0"/>
                <w:sz w:val="20"/>
                <w:szCs w:val="20"/>
              </w:rPr>
              <w:t>审批文件和材料合规完整；</w:t>
            </w:r>
            <w:r>
              <w:rPr>
                <w:rStyle w:val="20"/>
                <w:rFonts w:eastAsia="宋体"/>
              </w:rPr>
              <w:t>0.75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Style w:val="20"/>
                <w:rFonts w:eastAsia="宋体"/>
              </w:rPr>
              <w:t>4.</w:t>
            </w:r>
            <w:r>
              <w:rPr>
                <w:rFonts w:ascii="仿宋_GB2312" w:eastAsia="仿宋_GB2312" w:cs="仿宋_GB2312"/>
                <w:color w:val="000000"/>
                <w:kern w:val="0"/>
                <w:sz w:val="20"/>
                <w:szCs w:val="20"/>
              </w:rPr>
              <w:t>符合公开条件的项目立项程序公开透明。</w:t>
            </w:r>
            <w:r>
              <w:rPr>
                <w:rStyle w:val="20"/>
                <w:rFonts w:eastAsia="宋体"/>
              </w:rPr>
              <w:t>0.75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36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绩效目标合理性4分</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评价项目所设定的绩效目标是否依据充分，是否符合客观实际，用以反映和考核项目绩效目标与项目实施的相符情况。</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评分要点：</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1-3要点具备每个要点得2</w:t>
            </w:r>
            <w:r>
              <w:rPr>
                <w:rFonts w:ascii="Times New Roman" w:eastAsia="仿宋_GB2312" w:cs="Times New Roman"/>
                <w:color w:val="000000"/>
                <w:kern w:val="0"/>
                <w:sz w:val="20"/>
                <w:szCs w:val="20"/>
              </w:rPr>
              <w:t>0%</w:t>
            </w:r>
            <w:r>
              <w:rPr>
                <w:rFonts w:ascii="仿宋_GB2312" w:hAnsi="宋体" w:eastAsia="仿宋_GB2312" w:cs="仿宋_GB2312"/>
                <w:color w:val="000000"/>
                <w:kern w:val="0"/>
                <w:sz w:val="20"/>
                <w:szCs w:val="20"/>
              </w:rPr>
              <w:t>权重分；4-5要点每个要点得10%权重分</w:t>
            </w:r>
            <w:r>
              <w:rPr>
                <w:rFonts w:hint="eastAsia" w:ascii="宋体" w:hAnsi="宋体" w:eastAsia="宋体" w:cs="宋体"/>
                <w:color w:val="000000"/>
                <w:kern w:val="0"/>
                <w:sz w:val="20"/>
                <w:szCs w:val="20"/>
              </w:rPr>
              <w:t>。</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《广阳区2019年度国家基本公共卫生服务项目实施方案》有明细的考核项目、年度目标和考核量化指标，具备考核内容与目标相关、可实现、可衡量。得4分。</w:t>
            </w:r>
          </w:p>
        </w:tc>
      </w:tr>
      <w:tr>
        <w:tblPrEx>
          <w:tblCellMar>
            <w:top w:w="0" w:type="dxa"/>
            <w:left w:w="0" w:type="dxa"/>
            <w:bottom w:w="0" w:type="dxa"/>
            <w:right w:w="0" w:type="dxa"/>
          </w:tblCellMar>
        </w:tblPrEx>
        <w:trPr>
          <w:trHeight w:val="285"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w:t>
            </w:r>
            <w:r>
              <w:rPr>
                <w:rFonts w:ascii="仿宋_GB2312" w:eastAsia="仿宋_GB2312" w:cs="仿宋_GB2312"/>
                <w:color w:val="000000"/>
                <w:kern w:val="0"/>
                <w:sz w:val="20"/>
                <w:szCs w:val="20"/>
              </w:rPr>
              <w:t>有绩效目标；</w:t>
            </w:r>
            <w:r>
              <w:rPr>
                <w:rFonts w:ascii="Times New Roman" w:eastAsia="宋体" w:cs="Times New Roman"/>
                <w:color w:val="000000"/>
                <w:kern w:val="0"/>
                <w:sz w:val="20"/>
                <w:szCs w:val="20"/>
              </w:rPr>
              <w:t>1</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285"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2.</w:t>
            </w:r>
            <w:r>
              <w:rPr>
                <w:rFonts w:ascii="仿宋_GB2312" w:eastAsia="仿宋_GB2312" w:cs="仿宋_GB2312"/>
                <w:color w:val="000000"/>
                <w:kern w:val="0"/>
                <w:sz w:val="20"/>
                <w:szCs w:val="20"/>
              </w:rPr>
              <w:t>目标指向明确；</w:t>
            </w:r>
            <w:r>
              <w:rPr>
                <w:rFonts w:ascii="Times New Roman" w:eastAsia="宋体" w:cs="Times New Roman"/>
                <w:color w:val="000000"/>
                <w:kern w:val="0"/>
                <w:sz w:val="20"/>
                <w:szCs w:val="20"/>
              </w:rPr>
              <w:t>1</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285"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w:t>
            </w:r>
            <w:r>
              <w:rPr>
                <w:rFonts w:ascii="仿宋_GB2312" w:eastAsia="仿宋_GB2312" w:cs="仿宋_GB2312"/>
                <w:color w:val="000000"/>
                <w:kern w:val="0"/>
                <w:sz w:val="20"/>
                <w:szCs w:val="20"/>
              </w:rPr>
              <w:t>目标量化可衡量；</w:t>
            </w:r>
            <w:r>
              <w:rPr>
                <w:rFonts w:ascii="Times New Roman" w:eastAsia="宋体" w:cs="Times New Roman"/>
                <w:color w:val="000000"/>
                <w:kern w:val="0"/>
                <w:sz w:val="20"/>
                <w:szCs w:val="20"/>
              </w:rPr>
              <w:t>1</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285"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4.</w:t>
            </w:r>
            <w:r>
              <w:rPr>
                <w:rFonts w:ascii="仿宋_GB2312" w:eastAsia="仿宋_GB2312" w:cs="仿宋_GB2312"/>
                <w:color w:val="000000"/>
                <w:kern w:val="0"/>
                <w:sz w:val="20"/>
                <w:szCs w:val="20"/>
              </w:rPr>
              <w:t>目标具备可实现性；</w:t>
            </w:r>
            <w:r>
              <w:rPr>
                <w:rFonts w:ascii="Times New Roman" w:eastAsia="宋体" w:cs="Times New Roman"/>
                <w:color w:val="000000"/>
                <w:kern w:val="0"/>
                <w:sz w:val="20"/>
                <w:szCs w:val="20"/>
              </w:rPr>
              <w:t>0.5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5"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5.</w:t>
            </w:r>
            <w:r>
              <w:rPr>
                <w:rFonts w:ascii="仿宋_GB2312" w:eastAsia="仿宋_GB2312" w:cs="仿宋_GB2312"/>
                <w:color w:val="000000"/>
                <w:kern w:val="0"/>
                <w:sz w:val="20"/>
                <w:szCs w:val="20"/>
              </w:rPr>
              <w:t>目标与工作内容具有相关性；</w:t>
            </w:r>
            <w:r>
              <w:rPr>
                <w:rFonts w:ascii="Times New Roman" w:eastAsia="宋体" w:cs="Times New Roman"/>
                <w:color w:val="000000"/>
                <w:kern w:val="0"/>
                <w:sz w:val="20"/>
                <w:szCs w:val="20"/>
              </w:rPr>
              <w:t>0.5</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20"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项目管理25分</w:t>
            </w: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投入管理5分</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预算编制合理性5分</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评价项目预算编制的合理性。</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评价要点：</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具备要点1实际值得20%权重分，具备要点2、3实际值各得40%权重分。</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编制了项目实施方案（含预算方案），方案编制符合国家政策和年度计划，费用项目的计划任务、取费标准明晰、可计量。得5分。</w:t>
            </w:r>
          </w:p>
        </w:tc>
      </w:tr>
      <w:tr>
        <w:tblPrEx>
          <w:tblCellMar>
            <w:top w:w="0" w:type="dxa"/>
            <w:left w:w="0" w:type="dxa"/>
            <w:bottom w:w="0" w:type="dxa"/>
            <w:right w:w="0" w:type="dxa"/>
          </w:tblCellMar>
        </w:tblPrEx>
        <w:trPr>
          <w:trHeight w:val="48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1.总预算细分为具体分项目预算；1分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8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2.项目预算内容与项目实际工作内容匹配；2分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82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3.预算额度测算依据充分，数量与产出指标匹配，单价有标准来源。2分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02"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财务管理10分</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财务管理及财务监控制度健全性10分</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评价财务制度是否健全、完善、有效，用以反映和考核财务管理制度对资金规范、安全运行的保障情况。</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评价要点：</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具备要点1、3实际值分别得3分。其余各要点分别为2分。根据制度制定的规范、细化和符合项目实情酌情扣分</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制定了专项资金管理制度或有适用于本项目的财务管理制度；但财政部门和主管部门不能及时拨付预算资金到基层医疗单位分别扣1分；人口监测资金已拨付各乡镇/办事处但未支付扣1分。根据抽查结果，项目资金支付链条完整、可追溯。得7分。</w:t>
            </w:r>
          </w:p>
        </w:tc>
      </w:tr>
      <w:tr>
        <w:tblPrEx>
          <w:tblCellMar>
            <w:top w:w="0" w:type="dxa"/>
            <w:left w:w="0" w:type="dxa"/>
            <w:bottom w:w="0" w:type="dxa"/>
            <w:right w:w="0" w:type="dxa"/>
          </w:tblCellMar>
        </w:tblPrEx>
        <w:trPr>
          <w:trHeight w:val="54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1、制定了专项资金管理制度或有适用于本项目的财务管理制度；3分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642"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2.预算资金及时拨付到位。2分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61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3、项目主管部门按工程进度及时支付资金。3分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92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4.基层医疗单位已支付，且具备可追溯至资金最终使用对象支出情况的必要条件或机制；2分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62"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实施管理10分</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项目管理制度健全性10</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评价项目是否具备可参考的管理办法，反映管理制度的健全性。</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评价要点：</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具备要点</w:t>
            </w:r>
            <w:r>
              <w:rPr>
                <w:rFonts w:ascii="Times New Roman" w:eastAsia="仿宋_GB2312" w:cs="Times New Roman"/>
                <w:color w:val="000000"/>
                <w:kern w:val="0"/>
                <w:sz w:val="20"/>
                <w:szCs w:val="20"/>
              </w:rPr>
              <w:t>1</w:t>
            </w:r>
            <w:r>
              <w:rPr>
                <w:rFonts w:hint="eastAsia" w:ascii="宋体" w:hAnsi="宋体" w:eastAsia="宋体" w:cs="宋体"/>
                <w:color w:val="000000"/>
                <w:kern w:val="0"/>
                <w:sz w:val="20"/>
                <w:szCs w:val="20"/>
              </w:rPr>
              <w:t>、</w:t>
            </w:r>
            <w:r>
              <w:rPr>
                <w:rFonts w:ascii="仿宋_GB2312" w:hAnsi="宋体" w:eastAsia="仿宋_GB2312" w:cs="仿宋_GB2312"/>
                <w:color w:val="000000"/>
                <w:kern w:val="0"/>
                <w:sz w:val="20"/>
                <w:szCs w:val="20"/>
              </w:rPr>
              <w:t>2实际值各为4</w:t>
            </w:r>
            <w:r>
              <w:rPr>
                <w:rFonts w:ascii="Times New Roman" w:eastAsia="仿宋_GB2312" w:cs="Times New Roman"/>
                <w:color w:val="000000"/>
                <w:kern w:val="0"/>
                <w:sz w:val="20"/>
                <w:szCs w:val="20"/>
              </w:rPr>
              <w:t>0%</w:t>
            </w:r>
            <w:r>
              <w:rPr>
                <w:rFonts w:ascii="仿宋_GB2312" w:hAnsi="宋体" w:eastAsia="仿宋_GB2312" w:cs="仿宋_GB2312"/>
                <w:color w:val="000000"/>
                <w:kern w:val="0"/>
                <w:sz w:val="20"/>
                <w:szCs w:val="20"/>
              </w:rPr>
              <w:t>权重分</w:t>
            </w:r>
            <w:r>
              <w:rPr>
                <w:rFonts w:hint="eastAsia" w:ascii="宋体" w:hAnsi="宋体" w:eastAsia="宋体" w:cs="宋体"/>
                <w:color w:val="000000"/>
                <w:kern w:val="0"/>
                <w:sz w:val="20"/>
                <w:szCs w:val="20"/>
              </w:rPr>
              <w:t>，具备要点</w:t>
            </w:r>
            <w:r>
              <w:rPr>
                <w:rFonts w:ascii="仿宋_GB2312" w:hAnsi="宋体" w:eastAsia="仿宋_GB2312" w:cs="仿宋_GB2312"/>
                <w:color w:val="000000"/>
                <w:kern w:val="0"/>
                <w:sz w:val="20"/>
                <w:szCs w:val="20"/>
              </w:rPr>
              <w:t>3</w:t>
            </w:r>
            <w:r>
              <w:rPr>
                <w:rFonts w:hint="eastAsia" w:ascii="宋体" w:hAnsi="宋体" w:eastAsia="宋体" w:cs="宋体"/>
                <w:color w:val="000000"/>
                <w:kern w:val="0"/>
                <w:sz w:val="20"/>
                <w:szCs w:val="20"/>
              </w:rPr>
              <w:t>实际值</w:t>
            </w:r>
            <w:r>
              <w:rPr>
                <w:rFonts w:ascii="仿宋_GB2312" w:hAnsi="宋体" w:eastAsia="仿宋_GB2312" w:cs="仿宋_GB2312"/>
                <w:color w:val="000000"/>
                <w:kern w:val="0"/>
                <w:sz w:val="20"/>
                <w:szCs w:val="20"/>
              </w:rPr>
              <w:t>得</w:t>
            </w:r>
            <w:r>
              <w:rPr>
                <w:rFonts w:ascii="Times New Roman" w:eastAsia="仿宋_GB2312" w:cs="Times New Roman"/>
                <w:color w:val="000000"/>
                <w:kern w:val="0"/>
                <w:sz w:val="20"/>
                <w:szCs w:val="20"/>
              </w:rPr>
              <w:t>20%</w:t>
            </w:r>
            <w:r>
              <w:rPr>
                <w:rFonts w:ascii="仿宋_GB2312" w:hAnsi="宋体" w:eastAsia="仿宋_GB2312" w:cs="仿宋_GB2312"/>
                <w:color w:val="000000"/>
                <w:kern w:val="0"/>
                <w:sz w:val="20"/>
                <w:szCs w:val="20"/>
              </w:rPr>
              <w:t>权重分</w:t>
            </w:r>
            <w:r>
              <w:rPr>
                <w:rFonts w:hint="eastAsia" w:ascii="宋体" w:hAnsi="宋体" w:eastAsia="宋体" w:cs="宋体"/>
                <w:color w:val="000000"/>
                <w:kern w:val="0"/>
                <w:sz w:val="20"/>
                <w:szCs w:val="20"/>
              </w:rPr>
              <w:t>。</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制定了《实施方案》，明确工作计划、部门和管理人员职责；项目管理制度具备可操作性；但广阳区妇幼和广阳区疾控中心未纳入年度绩效评价考核。得9分。</w:t>
            </w:r>
          </w:p>
        </w:tc>
      </w:tr>
      <w:tr>
        <w:tblPrEx>
          <w:tblCellMar>
            <w:top w:w="0" w:type="dxa"/>
            <w:left w:w="0" w:type="dxa"/>
            <w:bottom w:w="0" w:type="dxa"/>
            <w:right w:w="0" w:type="dxa"/>
          </w:tblCellMar>
        </w:tblPrEx>
        <w:trPr>
          <w:trHeight w:val="67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w:t>
            </w:r>
            <w:r>
              <w:rPr>
                <w:rFonts w:ascii="仿宋_GB2312" w:eastAsia="仿宋_GB2312" w:cs="仿宋_GB2312"/>
                <w:color w:val="000000"/>
                <w:kern w:val="0"/>
                <w:sz w:val="20"/>
                <w:szCs w:val="20"/>
              </w:rPr>
              <w:t>具备适用于本项目的合法合规的管理制度、办法或方案；</w:t>
            </w:r>
            <w:r>
              <w:rPr>
                <w:rFonts w:ascii="Times New Roman" w:eastAsia="宋体" w:cs="Times New Roman"/>
                <w:color w:val="000000"/>
                <w:kern w:val="0"/>
                <w:sz w:val="20"/>
                <w:szCs w:val="20"/>
              </w:rPr>
              <w:t>4</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08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2.</w:t>
            </w:r>
            <w:r>
              <w:rPr>
                <w:rFonts w:ascii="仿宋_GB2312" w:eastAsia="仿宋_GB2312" w:cs="仿宋_GB2312"/>
                <w:color w:val="000000"/>
                <w:kern w:val="0"/>
                <w:sz w:val="20"/>
                <w:szCs w:val="20"/>
              </w:rPr>
              <w:t>项目管理制度（机制）内容完整，覆盖明确的工作计划、工作方案、进度计划、人员配置及项目质量要求或标准；</w:t>
            </w:r>
            <w:r>
              <w:rPr>
                <w:rFonts w:ascii="Times New Roman" w:eastAsia="宋体" w:cs="Times New Roman"/>
                <w:color w:val="000000"/>
                <w:kern w:val="0"/>
                <w:sz w:val="20"/>
                <w:szCs w:val="20"/>
              </w:rPr>
              <w:t>4</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67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w:t>
            </w:r>
            <w:r>
              <w:rPr>
                <w:rFonts w:ascii="仿宋_GB2312" w:eastAsia="仿宋_GB2312" w:cs="仿宋_GB2312"/>
                <w:color w:val="000000"/>
                <w:kern w:val="0"/>
                <w:sz w:val="20"/>
                <w:szCs w:val="20"/>
              </w:rPr>
              <w:t>项目管理制度（机制）具备可操作性。</w:t>
            </w:r>
            <w:r>
              <w:rPr>
                <w:rFonts w:ascii="Times New Roman" w:eastAsia="宋体" w:cs="Times New Roman"/>
                <w:color w:val="000000"/>
                <w:kern w:val="0"/>
                <w:sz w:val="20"/>
                <w:szCs w:val="20"/>
              </w:rPr>
              <w:t>2</w:t>
            </w:r>
            <w:r>
              <w:rPr>
                <w:rFonts w:hint="eastAsia" w:ascii="宋体" w:hAnsi="宋体" w:eastAsia="宋体" w:cs="宋体"/>
                <w:color w:val="000000"/>
                <w:kern w:val="0"/>
                <w:sz w:val="20"/>
                <w:szCs w:val="20"/>
              </w:rPr>
              <w:t>分</w:t>
            </w: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2200"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项目产出35分</w:t>
            </w: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数量指标12分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适龄人群国家免疫规划疫苗接种率3分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国家基本公共卫生服务项目全面覆盖辖区内常住居民。</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建证率、建卡率100%；免疫规划疫苗接种率≥90%；安全接种；及时报告和处理疑似预防接种异常反应。</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达到指标的满分，接种率指标每低2个百分点扣0.1分，指标分值扣完为止。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从全区统计情况和随机抽查访谈2家基层医疗单位，该指标均较低，考虑到辖区内孕产妇和新生儿基本去市区专业医疗机构检查建册等客观因素。得3分。</w:t>
            </w:r>
          </w:p>
        </w:tc>
      </w:tr>
      <w:tr>
        <w:tblPrEx>
          <w:tblCellMar>
            <w:top w:w="0" w:type="dxa"/>
            <w:left w:w="0" w:type="dxa"/>
            <w:bottom w:w="0" w:type="dxa"/>
            <w:right w:w="0" w:type="dxa"/>
          </w:tblCellMar>
        </w:tblPrEx>
        <w:trPr>
          <w:trHeight w:val="220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报告发现结核病患者管理率1分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国家基本公共卫生服务项目全面覆盖辖区内常住居民。（包括耐多药结核病患者）</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肺结核患者健康管理率、规范服药率≥90%。</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达到指标的满分，规范服药率指标每低2个百分点扣0.1分，指标分值扣完为止。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年度考核结果为38.64 %，考虑到重症患者的治疗和后续维护主要为专业医院，基层医疗单位只承担部分随访职责，因此肺结核患者健康管理率、规范服药率均视同达标。得1分。</w:t>
            </w:r>
          </w:p>
        </w:tc>
      </w:tr>
      <w:tr>
        <w:tblPrEx>
          <w:tblCellMar>
            <w:top w:w="0" w:type="dxa"/>
            <w:left w:w="0" w:type="dxa"/>
            <w:bottom w:w="0" w:type="dxa"/>
            <w:right w:w="0" w:type="dxa"/>
          </w:tblCellMar>
        </w:tblPrEx>
        <w:trPr>
          <w:trHeight w:val="246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65岁以上老人健康管理率5分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国家基本公共卫生服务项目全面覆盖辖区内常住居民</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每年为老年人提供1次健康管理服务，老年人健康管理率≥67%。</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达到指标的满分，老年人健康管理率指标每低2个百分点扣0.1分，指标分值扣完为止。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年度任务数33480人，实际建档人数21708 人，建档率50.56%。考虑到辖区人员流动性和单位员工因素，老年人健康管理率视同达标。建档人员提供1次健康管理服务达到100%。得3分。</w:t>
            </w:r>
          </w:p>
        </w:tc>
      </w:tr>
      <w:tr>
        <w:tblPrEx>
          <w:tblCellMar>
            <w:top w:w="0" w:type="dxa"/>
            <w:left w:w="0" w:type="dxa"/>
            <w:bottom w:w="0" w:type="dxa"/>
            <w:right w:w="0" w:type="dxa"/>
          </w:tblCellMar>
        </w:tblPrEx>
        <w:trPr>
          <w:trHeight w:val="160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中医药健康管理服务目标人群覆盖率3分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国家基本公共卫生服务项目全面覆盖辖区内常住居民</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老年人中医药健康管理率≥45%，0-36个月儿童中医药健康服务率≥45%。</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达到指标的满分，老年人中医药健康管理率或儿童中医药健康服务率指标每低2个百分点扣0.2分，指标分值扣完为止。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年度考核老年人中医药健康管理率57.12 %，儿童中医药健康服务率69.76%，指标达标。得5分。</w:t>
            </w:r>
          </w:p>
        </w:tc>
      </w:tr>
      <w:tr>
        <w:tblPrEx>
          <w:tblCellMar>
            <w:top w:w="0" w:type="dxa"/>
            <w:left w:w="0" w:type="dxa"/>
            <w:bottom w:w="0" w:type="dxa"/>
            <w:right w:w="0" w:type="dxa"/>
          </w:tblCellMar>
        </w:tblPrEx>
        <w:trPr>
          <w:trHeight w:val="210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质量指标18分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居民健康档案规范化电子建档率3分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年度新建电子健康档案3.5万份，电子居民健康档案建档率≥75%，合格率≥90%，动态使用率≥50%。</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0"/>
                <w:rFonts w:eastAsia="仿宋_GB2312"/>
              </w:rPr>
              <w:t>100%</w:t>
            </w:r>
            <w:r>
              <w:rPr>
                <w:rFonts w:ascii="仿宋_GB2312" w:hAnsi="宋体" w:eastAsia="仿宋_GB2312" w:cs="仿宋_GB2312"/>
                <w:color w:val="000000"/>
                <w:kern w:val="0"/>
                <w:sz w:val="20"/>
                <w:szCs w:val="20"/>
              </w:rPr>
              <w:t>得满分，一项指标不合格扣0.5分，指标分值扣完为止。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根据廊广卫[ 2019 ] 138号《实施方案》（下同），年度考核指标电子居民健康档案建档率76.20%，合格率100%，动态使用率54%。均达到或超过规定指标。得3分。</w:t>
            </w:r>
          </w:p>
        </w:tc>
      </w:tr>
      <w:tr>
        <w:tblPrEx>
          <w:tblCellMar>
            <w:top w:w="0" w:type="dxa"/>
            <w:left w:w="0" w:type="dxa"/>
            <w:bottom w:w="0" w:type="dxa"/>
            <w:right w:w="0" w:type="dxa"/>
          </w:tblCellMar>
        </w:tblPrEx>
        <w:trPr>
          <w:trHeight w:val="102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高血压患者规范管理率3分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任务完成率100%，规范管理率≥60%，高血压患者血压控制率≥45%。</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0"/>
                <w:rFonts w:eastAsia="仿宋_GB2312"/>
              </w:rPr>
              <w:t>100%</w:t>
            </w:r>
            <w:r>
              <w:rPr>
                <w:rFonts w:ascii="仿宋_GB2312" w:hAnsi="宋体" w:eastAsia="仿宋_GB2312" w:cs="仿宋_GB2312"/>
                <w:color w:val="000000"/>
                <w:kern w:val="0"/>
                <w:sz w:val="20"/>
                <w:szCs w:val="20"/>
              </w:rPr>
              <w:t>得满分，一项指标低于标准5个百分点扣10%，指标分值扣完为止。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年度考核高血压患者管理人数任务完成率85.78%。得2.1分。</w:t>
            </w:r>
          </w:p>
        </w:tc>
      </w:tr>
      <w:tr>
        <w:tblPrEx>
          <w:tblCellMar>
            <w:top w:w="0" w:type="dxa"/>
            <w:left w:w="0" w:type="dxa"/>
            <w:bottom w:w="0" w:type="dxa"/>
            <w:right w:w="0" w:type="dxa"/>
          </w:tblCellMar>
        </w:tblPrEx>
        <w:trPr>
          <w:trHeight w:val="104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糖尿病患者规范管理率3分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年度任务完成率100%，规范管理率≥60%，糖尿病管理人群血糖控制率≥40%。</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0"/>
                <w:rFonts w:eastAsia="仿宋_GB2312"/>
              </w:rPr>
              <w:t>100%</w:t>
            </w:r>
            <w:r>
              <w:rPr>
                <w:rFonts w:ascii="仿宋_GB2312" w:hAnsi="宋体" w:eastAsia="仿宋_GB2312" w:cs="仿宋_GB2312"/>
                <w:color w:val="000000"/>
                <w:kern w:val="0"/>
                <w:sz w:val="20"/>
                <w:szCs w:val="20"/>
              </w:rPr>
              <w:t>得满分，一项指标低于标准5个百分点扣10%，指标分值扣完为止。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年度考核糖尿病患者管理人数任务完成率81.79%。得1.9分。</w:t>
            </w:r>
          </w:p>
        </w:tc>
      </w:tr>
      <w:tr>
        <w:tblPrEx>
          <w:tblCellMar>
            <w:top w:w="0" w:type="dxa"/>
            <w:left w:w="0" w:type="dxa"/>
            <w:bottom w:w="0" w:type="dxa"/>
            <w:right w:w="0" w:type="dxa"/>
          </w:tblCellMar>
        </w:tblPrEx>
        <w:trPr>
          <w:trHeight w:val="138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新生儿访视率3分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新生儿访视率≥85%。</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0"/>
                <w:rFonts w:eastAsia="仿宋_GB2312"/>
              </w:rPr>
              <w:t>100%</w:t>
            </w:r>
            <w:r>
              <w:rPr>
                <w:rFonts w:ascii="仿宋_GB2312" w:hAnsi="宋体" w:eastAsia="仿宋_GB2312" w:cs="仿宋_GB2312"/>
                <w:color w:val="000000"/>
                <w:kern w:val="0"/>
                <w:sz w:val="20"/>
                <w:szCs w:val="20"/>
              </w:rPr>
              <w:t>得满分，一项指标低于标准5%扣10%，指标分值扣完为止。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年度考核新生儿访视率57.03%，考虑到辖区大中型及专业医疗机构较多因素，酌情扣分。得2.4分。</w:t>
            </w:r>
          </w:p>
        </w:tc>
      </w:tr>
      <w:tr>
        <w:tblPrEx>
          <w:tblCellMar>
            <w:top w:w="0" w:type="dxa"/>
            <w:left w:w="0" w:type="dxa"/>
            <w:bottom w:w="0" w:type="dxa"/>
            <w:right w:w="0" w:type="dxa"/>
          </w:tblCellMar>
        </w:tblPrEx>
        <w:trPr>
          <w:trHeight w:val="122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0-6岁儿童健康管理率3分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0-6岁儿童健康管理率≥85%。</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0"/>
                <w:rFonts w:eastAsia="仿宋_GB2312"/>
              </w:rPr>
              <w:t>100%</w:t>
            </w:r>
            <w:r>
              <w:rPr>
                <w:rFonts w:ascii="仿宋_GB2312" w:hAnsi="宋体" w:eastAsia="仿宋_GB2312" w:cs="仿宋_GB2312"/>
                <w:color w:val="000000"/>
                <w:kern w:val="0"/>
                <w:sz w:val="20"/>
                <w:szCs w:val="20"/>
              </w:rPr>
              <w:t>得满分，一项指标低于标准5%扣10%，指标分值扣完为止。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2.75</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年度考核结果为80.73%。得2.75分。</w:t>
            </w:r>
          </w:p>
        </w:tc>
      </w:tr>
      <w:tr>
        <w:tblPrEx>
          <w:tblCellMar>
            <w:top w:w="0" w:type="dxa"/>
            <w:left w:w="0" w:type="dxa"/>
            <w:bottom w:w="0" w:type="dxa"/>
            <w:right w:w="0" w:type="dxa"/>
          </w:tblCellMar>
        </w:tblPrEx>
        <w:trPr>
          <w:trHeight w:val="128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早孕建册率，产后访视率3分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早孕建册率、孕妇健康管理率、产后访视率≥85%。</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0"/>
                <w:rFonts w:eastAsia="仿宋_GB2312"/>
              </w:rPr>
              <w:t>100%</w:t>
            </w:r>
            <w:r>
              <w:rPr>
                <w:rFonts w:ascii="仿宋_GB2312" w:hAnsi="宋体" w:eastAsia="仿宋_GB2312" w:cs="仿宋_GB2312"/>
                <w:color w:val="000000"/>
                <w:kern w:val="0"/>
                <w:sz w:val="20"/>
                <w:szCs w:val="20"/>
              </w:rPr>
              <w:t>得满分，一项指标低于标准5%扣10%，指标分值扣完为止。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年度考核结果为93.9%，考虑到辖区内孕产妇基本去大中型及专业医疗机构检查建册。得3分。</w:t>
            </w:r>
          </w:p>
        </w:tc>
      </w:tr>
      <w:tr>
        <w:tblPrEx>
          <w:tblCellMar>
            <w:top w:w="0" w:type="dxa"/>
            <w:left w:w="0" w:type="dxa"/>
            <w:bottom w:w="0" w:type="dxa"/>
            <w:right w:w="0" w:type="dxa"/>
          </w:tblCellMar>
        </w:tblPrEx>
        <w:trPr>
          <w:trHeight w:val="138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时效 5 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年度工作目标 10分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监督、考核项目完成的时效性。</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《广阳区2019年度国家基本公共卫生服务项目实施方案》（廊广卫[ 2019 ] 138号）附件5：实现规定项目、规定动作、规定检查频率</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按实施方案完工年度任务目标的满分，每缺项、漏项，每一项扣10%，指标分值扣完为止。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对纳入年度考核的规定项目，落实规定动作、按规定检查四次。得5分。</w:t>
            </w:r>
          </w:p>
        </w:tc>
      </w:tr>
      <w:tr>
        <w:tblPrEx>
          <w:tblCellMar>
            <w:top w:w="0" w:type="dxa"/>
            <w:left w:w="0" w:type="dxa"/>
            <w:bottom w:w="0" w:type="dxa"/>
            <w:right w:w="0" w:type="dxa"/>
          </w:tblCellMar>
        </w:tblPrEx>
        <w:trPr>
          <w:trHeight w:val="2240"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项目效果30分</w:t>
            </w: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经济效益 5 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预算管理   5分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项目预算指标执行情况</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预算指标执行率≥100%</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截至2020年5月预算资金支付指标执行率达到100%，得满分，每剩余额3%扣1分，指标分值扣完为止。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截至</w:t>
            </w:r>
            <w:bookmarkStart w:id="0" w:name="_GoBack"/>
            <w:bookmarkEnd w:id="0"/>
            <w:r>
              <w:rPr>
                <w:rFonts w:ascii="仿宋_GB2312" w:hAnsi="宋体" w:eastAsia="仿宋_GB2312" w:cs="仿宋_GB2312"/>
                <w:color w:val="000000"/>
                <w:kern w:val="0"/>
                <w:sz w:val="20"/>
                <w:szCs w:val="20"/>
              </w:rPr>
              <w:t>2020年5月末，区卫健局结余1705220 .00元，已拨付县、乡镇级人口监测预算资金433080.00元尚未使用，累计结余2138300 .00元，支付执行率93.04%。得2.4分。</w:t>
            </w:r>
          </w:p>
        </w:tc>
      </w:tr>
      <w:tr>
        <w:tblPrEx>
          <w:tblCellMar>
            <w:top w:w="0" w:type="dxa"/>
            <w:left w:w="0" w:type="dxa"/>
            <w:bottom w:w="0" w:type="dxa"/>
            <w:right w:w="0" w:type="dxa"/>
          </w:tblCellMar>
        </w:tblPrEx>
        <w:trPr>
          <w:trHeight w:val="228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社会效益10分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居民健康保健意识和健康知识知晓率10分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居民对国家基本卫生服务项目知晓程度和实施方案规定项目的参与程度</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《广阳区2019年度国家基本公共卫生服务项目实施方案》规定目标能够实现，辖区居民知道并享有基本公共卫生服务权利。</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辖区内国家基本公共卫生服务项目实现了区域、项目和人口全覆盖，每发现一个缺项、漏项扣10%，指标分值扣完为止。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9.5</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辖区内居民对国家基本卫生服务项目及内容了解并积极参与，区域和服务项目无遗漏。但电话随访发现有个别老年人还不知道高血压免费监测和糖尿病患者免费监测。得9.5分。</w:t>
            </w:r>
          </w:p>
        </w:tc>
      </w:tr>
      <w:tr>
        <w:tblPrEx>
          <w:tblCellMar>
            <w:top w:w="0" w:type="dxa"/>
            <w:left w:w="0" w:type="dxa"/>
            <w:bottom w:w="0" w:type="dxa"/>
            <w:right w:w="0" w:type="dxa"/>
          </w:tblCellMar>
        </w:tblPrEx>
        <w:trPr>
          <w:trHeight w:val="164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可持续影响  10分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居民健康水平提高5分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方便辖区居民卫生保健，提高居民卫生健康保健意识</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结合年度国家基本公共卫生服务项目开展情况、部门总结、评价资料，分析、评价居民卫生健康保健意识和卫生健康水平提升情况。</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乡镇级卫生督导机制健全、有效，辖区居民了解国家相关政策，保健意识增强，根据随机面谈和电话随访结果酌情扣分。</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项目严格落实国家政策，政策覆盖全面，居民保健意识增强，实现了政策预期效果。得5分。</w:t>
            </w:r>
          </w:p>
        </w:tc>
      </w:tr>
      <w:tr>
        <w:tblPrEx>
          <w:tblCellMar>
            <w:top w:w="0" w:type="dxa"/>
            <w:left w:w="0" w:type="dxa"/>
            <w:bottom w:w="0" w:type="dxa"/>
            <w:right w:w="0" w:type="dxa"/>
          </w:tblCellMar>
        </w:tblPrEx>
        <w:trPr>
          <w:trHeight w:val="139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公共卫生均等化水平提高5分</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实现城乡居民享受国家基本卫生服务项目均等，且服务质量逐年提升</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结合近三年国家基本公共卫生服务项目开展情况、部门总结、评价资料。分析、评价城乡居民平等地获得基本公共卫生服务的情况。</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对乡镇级卫生督导机制健全、有效，辖区居民参与程度提升，按满分计算。视情况酌情扣分。</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区卫健局对社区/乡镇级卫生督导和激励引导机制健全、有效，辖区居民参与程度逐年提升。得5分。</w:t>
            </w:r>
          </w:p>
        </w:tc>
      </w:tr>
      <w:tr>
        <w:tblPrEx>
          <w:tblCellMar>
            <w:top w:w="0" w:type="dxa"/>
            <w:left w:w="0" w:type="dxa"/>
            <w:bottom w:w="0" w:type="dxa"/>
            <w:right w:w="0" w:type="dxa"/>
          </w:tblCellMar>
        </w:tblPrEx>
        <w:trPr>
          <w:trHeight w:val="181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公众满意度 5 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社会公众满意度</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社会公众对项目实施效果的满意程度。</w:t>
            </w:r>
          </w:p>
        </w:tc>
        <w:tc>
          <w:tcPr>
            <w:tcW w:w="1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公众参与和支持度≥90%。</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达到公众调查满意度指标，得满分，每降低2个百分点扣1分，指标分值扣完为止。</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公众问卷回收320份，有效问卷320份；满意或基本满意率&gt;98%。得5分。</w:t>
            </w:r>
          </w:p>
        </w:tc>
      </w:tr>
      <w:tr>
        <w:tblPrEx>
          <w:tblCellMar>
            <w:top w:w="0" w:type="dxa"/>
            <w:left w:w="0" w:type="dxa"/>
            <w:bottom w:w="0" w:type="dxa"/>
            <w:right w:w="0" w:type="dxa"/>
          </w:tblCellMar>
        </w:tblPrEx>
        <w:trPr>
          <w:trHeight w:val="702" w:hRule="atLeast"/>
        </w:trPr>
        <w:tc>
          <w:tcPr>
            <w:tcW w:w="373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分 值 合 计</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90.05</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FF0000"/>
                <w:sz w:val="20"/>
                <w:szCs w:val="20"/>
              </w:rPr>
            </w:pPr>
          </w:p>
        </w:tc>
      </w:tr>
    </w:tbl>
    <w:p>
      <w:pPr>
        <w:pStyle w:val="2"/>
        <w:rPr>
          <w:lang w:val="en-US"/>
        </w:rPr>
      </w:pPr>
    </w:p>
    <w:p>
      <w:pPr>
        <w:keepNext/>
        <w:keepLines/>
        <w:snapToGrid w:val="0"/>
        <w:spacing w:line="580" w:lineRule="exact"/>
        <w:ind w:firstLine="643" w:firstLineChars="200"/>
        <w:outlineLvl w:val="1"/>
        <w:rPr>
          <w:rFonts w:ascii="Times New Roman" w:eastAsia="仿宋_GB2312" w:cs="Times New Roman"/>
          <w:sz w:val="32"/>
          <w:szCs w:val="32"/>
        </w:rPr>
      </w:pPr>
      <w:r>
        <w:rPr>
          <w:rFonts w:ascii="Times New Roman" w:eastAsia="仿宋_GB2312" w:cs="Times New Roman"/>
          <w:b/>
          <w:bCs/>
          <w:color w:val="000000"/>
          <w:sz w:val="32"/>
          <w:szCs w:val="32"/>
        </w:rPr>
        <w:t>3.部门整体绩效自评结果。</w:t>
      </w:r>
      <w:r>
        <w:rPr>
          <w:rFonts w:ascii="Times New Roman" w:eastAsia="仿宋_GB2312" w:cs="Times New Roman"/>
          <w:sz w:val="32"/>
          <w:szCs w:val="32"/>
        </w:rPr>
        <w:t>本部门对2019年度部门整体绩效进行自评价，评价等级为</w:t>
      </w:r>
      <w:r>
        <w:rPr>
          <w:rFonts w:hint="eastAsia" w:ascii="Times New Roman" w:eastAsia="仿宋_GB2312" w:cs="Times New Roman"/>
          <w:sz w:val="32"/>
          <w:szCs w:val="32"/>
        </w:rPr>
        <w:t>优</w:t>
      </w:r>
      <w:r>
        <w:rPr>
          <w:rFonts w:ascii="Times New Roman" w:eastAsia="仿宋_GB2312" w:cs="Times New Roman"/>
          <w:sz w:val="32"/>
          <w:szCs w:val="32"/>
        </w:rPr>
        <w:t>（优、良、中、差）。从评价情况来看，我局（委、办）较好完成了2019年履行职能职责和各项重点工作任务，整体绩效情况较为理想，总体上达到了预算绩效管理的要求。</w:t>
      </w:r>
    </w:p>
    <w:p>
      <w:pPr>
        <w:pStyle w:val="2"/>
        <w:rPr>
          <w:rFonts w:ascii="Times New Roman" w:cs="Times New Roman"/>
        </w:rPr>
      </w:pPr>
    </w:p>
    <w:p>
      <w:pPr>
        <w:pStyle w:val="2"/>
        <w:rPr>
          <w:rFonts w:ascii="Times New Roman" w:cs="Times New Roman"/>
        </w:rPr>
      </w:pPr>
    </w:p>
    <w:p>
      <w:pPr>
        <w:keepNext/>
        <w:keepLines/>
        <w:snapToGrid w:val="0"/>
        <w:spacing w:line="580" w:lineRule="exact"/>
        <w:ind w:firstLine="640" w:firstLineChars="200"/>
        <w:outlineLvl w:val="1"/>
        <w:rPr>
          <w:rFonts w:hint="eastAsia" w:ascii="Times New Roman" w:eastAsia="仿宋_GB2312" w:cs="Times New Roman"/>
          <w:sz w:val="32"/>
          <w:szCs w:val="32"/>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lang w:val="en-US" w:bidi="ar-SA"/>
        </w:rPr>
      </w:pPr>
    </w:p>
    <w:tbl>
      <w:tblPr>
        <w:tblStyle w:val="7"/>
        <w:tblW w:w="4999" w:type="pct"/>
        <w:tblInd w:w="0" w:type="dxa"/>
        <w:tblLayout w:type="autofit"/>
        <w:tblCellMar>
          <w:top w:w="0" w:type="dxa"/>
          <w:left w:w="0" w:type="dxa"/>
          <w:bottom w:w="0" w:type="dxa"/>
          <w:right w:w="0" w:type="dxa"/>
        </w:tblCellMar>
      </w:tblPr>
      <w:tblGrid>
        <w:gridCol w:w="582"/>
        <w:gridCol w:w="64"/>
        <w:gridCol w:w="520"/>
        <w:gridCol w:w="129"/>
        <w:gridCol w:w="453"/>
        <w:gridCol w:w="195"/>
        <w:gridCol w:w="1205"/>
        <w:gridCol w:w="18"/>
        <w:gridCol w:w="1221"/>
        <w:gridCol w:w="160"/>
        <w:gridCol w:w="36"/>
        <w:gridCol w:w="253"/>
        <w:gridCol w:w="699"/>
        <w:gridCol w:w="750"/>
        <w:gridCol w:w="184"/>
        <w:gridCol w:w="217"/>
        <w:gridCol w:w="107"/>
        <w:gridCol w:w="106"/>
        <w:gridCol w:w="189"/>
        <w:gridCol w:w="215"/>
        <w:gridCol w:w="80"/>
        <w:gridCol w:w="107"/>
        <w:gridCol w:w="402"/>
        <w:gridCol w:w="184"/>
        <w:gridCol w:w="217"/>
        <w:gridCol w:w="404"/>
        <w:gridCol w:w="33"/>
        <w:gridCol w:w="369"/>
      </w:tblGrid>
      <w:tr>
        <w:tblPrEx>
          <w:tblCellMar>
            <w:top w:w="0" w:type="dxa"/>
            <w:left w:w="0" w:type="dxa"/>
            <w:bottom w:w="0" w:type="dxa"/>
            <w:right w:w="0" w:type="dxa"/>
          </w:tblCellMar>
        </w:tblPrEx>
        <w:trPr>
          <w:trHeight w:val="540" w:hRule="atLeast"/>
        </w:trPr>
        <w:tc>
          <w:tcPr>
            <w:tcW w:w="4779" w:type="pct"/>
            <w:gridSpan w:val="2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color w:val="000000"/>
                <w:kern w:val="0"/>
                <w:sz w:val="44"/>
                <w:szCs w:val="44"/>
              </w:rPr>
            </w:pPr>
          </w:p>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项目支出绩效自评表</w:t>
            </w:r>
          </w:p>
        </w:tc>
        <w:tc>
          <w:tcPr>
            <w:tcW w:w="221" w:type="pct"/>
            <w:gridSpan w:val="2"/>
            <w:tcBorders>
              <w:top w:val="nil"/>
              <w:left w:val="nil"/>
              <w:bottom w:val="nil"/>
              <w:right w:val="nil"/>
            </w:tcBorders>
            <w:shd w:val="clear" w:color="auto" w:fill="auto"/>
            <w:tcMar>
              <w:top w:w="15" w:type="dxa"/>
              <w:left w:w="15" w:type="dxa"/>
              <w:right w:w="15" w:type="dxa"/>
            </w:tcMar>
            <w:vAlign w:val="center"/>
          </w:tcPr>
          <w:p>
            <w:pPr>
              <w:rPr>
                <w:rFonts w:ascii="Times New Roman" w:eastAsia="宋体" w:cs="Times New Roman"/>
                <w:color w:val="000000"/>
                <w:szCs w:val="21"/>
              </w:rPr>
            </w:pPr>
          </w:p>
        </w:tc>
      </w:tr>
      <w:tr>
        <w:tblPrEx>
          <w:tblCellMar>
            <w:top w:w="0" w:type="dxa"/>
            <w:left w:w="0" w:type="dxa"/>
            <w:bottom w:w="0" w:type="dxa"/>
            <w:right w:w="0" w:type="dxa"/>
          </w:tblCellMar>
        </w:tblPrEx>
        <w:trPr>
          <w:trHeight w:val="315" w:hRule="atLeast"/>
        </w:trPr>
        <w:tc>
          <w:tcPr>
            <w:tcW w:w="5000" w:type="pct"/>
            <w:gridSpan w:val="28"/>
            <w:tcBorders>
              <w:top w:val="nil"/>
              <w:left w:val="nil"/>
              <w:bottom w:val="nil"/>
              <w:right w:val="nil"/>
            </w:tcBorders>
            <w:shd w:val="clear" w:color="auto" w:fill="auto"/>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w:t>
            </w:r>
            <w:r>
              <w:rPr>
                <w:rFonts w:ascii="Times New Roman" w:eastAsia="仿宋_GB2312" w:cs="Times New Roman"/>
                <w:color w:val="000000"/>
                <w:kern w:val="0"/>
                <w:sz w:val="24"/>
                <w:szCs w:val="24"/>
              </w:rPr>
              <w:t xml:space="preserve">  2019  </w:t>
            </w:r>
            <w:r>
              <w:rPr>
                <w:rFonts w:ascii="仿宋_GB2312" w:hAnsi="宋体" w:eastAsia="仿宋_GB2312" w:cs="仿宋_GB2312"/>
                <w:color w:val="000000"/>
                <w:kern w:val="0"/>
                <w:sz w:val="24"/>
                <w:szCs w:val="24"/>
              </w:rPr>
              <w:t>年度）</w:t>
            </w:r>
          </w:p>
        </w:tc>
      </w:tr>
      <w:tr>
        <w:tblPrEx>
          <w:tblCellMar>
            <w:top w:w="0" w:type="dxa"/>
            <w:left w:w="0" w:type="dxa"/>
            <w:bottom w:w="0" w:type="dxa"/>
            <w:right w:w="0" w:type="dxa"/>
          </w:tblCellMar>
        </w:tblPrEx>
        <w:trPr>
          <w:trHeight w:val="400" w:hRule="atLeast"/>
        </w:trPr>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项目名称</w:t>
            </w:r>
          </w:p>
        </w:tc>
        <w:tc>
          <w:tcPr>
            <w:tcW w:w="4359" w:type="pct"/>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Times New Roman" w:eastAsia="仿宋_GB2312" w:cs="Times New Roman"/>
                <w:color w:val="000000"/>
                <w:sz w:val="24"/>
                <w:szCs w:val="24"/>
              </w:rPr>
              <w:t>国家基本公共卫生服务区级补助资金</w:t>
            </w:r>
            <w:r>
              <w:rPr>
                <w:rFonts w:ascii="Times New Roman" w:eastAsia="仿宋_GB2312" w:cs="Times New Roman"/>
                <w:color w:val="000000"/>
                <w:sz w:val="24"/>
                <w:szCs w:val="24"/>
              </w:rPr>
              <w:t>项目</w:t>
            </w:r>
          </w:p>
        </w:tc>
      </w:tr>
      <w:tr>
        <w:tblPrEx>
          <w:tblCellMar>
            <w:top w:w="0" w:type="dxa"/>
            <w:left w:w="0" w:type="dxa"/>
            <w:bottom w:w="0" w:type="dxa"/>
            <w:right w:w="0" w:type="dxa"/>
          </w:tblCellMar>
        </w:tblPrEx>
        <w:trPr>
          <w:trHeight w:val="400" w:hRule="atLeast"/>
        </w:trPr>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主管部门</w:t>
            </w:r>
          </w:p>
        </w:tc>
        <w:tc>
          <w:tcPr>
            <w:tcW w:w="2400"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基本公卫科</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实施单位</w:t>
            </w:r>
          </w:p>
        </w:tc>
        <w:tc>
          <w:tcPr>
            <w:tcW w:w="1327"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广阳区卫生健康局</w:t>
            </w:r>
          </w:p>
        </w:tc>
      </w:tr>
      <w:tr>
        <w:tblPrEx>
          <w:tblCellMar>
            <w:top w:w="0" w:type="dxa"/>
            <w:left w:w="0" w:type="dxa"/>
            <w:bottom w:w="0" w:type="dxa"/>
            <w:right w:w="0" w:type="dxa"/>
          </w:tblCellMar>
        </w:tblPrEx>
        <w:trPr>
          <w:trHeight w:val="400" w:hRule="atLeast"/>
        </w:trPr>
        <w:tc>
          <w:tcPr>
            <w:tcW w:w="64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项目资金（万元）</w:t>
            </w:r>
          </w:p>
        </w:tc>
        <w:tc>
          <w:tcPr>
            <w:tcW w:w="108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年初</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442" w:type="pct"/>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44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执行率</w:t>
            </w:r>
          </w:p>
        </w:tc>
        <w:tc>
          <w:tcPr>
            <w:tcW w:w="44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r>
      <w:tr>
        <w:tblPrEx>
          <w:tblCellMar>
            <w:top w:w="0" w:type="dxa"/>
            <w:left w:w="0" w:type="dxa"/>
            <w:bottom w:w="0" w:type="dxa"/>
            <w:right w:w="0" w:type="dxa"/>
          </w:tblCellMar>
        </w:tblPrEx>
        <w:trPr>
          <w:trHeight w:val="400" w:hRule="atLeast"/>
        </w:trPr>
        <w:tc>
          <w:tcPr>
            <w:tcW w:w="6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8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执行数</w:t>
            </w:r>
          </w:p>
        </w:tc>
        <w:tc>
          <w:tcPr>
            <w:tcW w:w="442"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00" w:hRule="atLeast"/>
        </w:trPr>
        <w:tc>
          <w:tcPr>
            <w:tcW w:w="6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年度资金总额</w:t>
            </w: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400</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639.39</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639.39</w:t>
            </w:r>
          </w:p>
        </w:tc>
        <w:tc>
          <w:tcPr>
            <w:tcW w:w="44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100</w:t>
            </w:r>
            <w:r>
              <w:rPr>
                <w:rFonts w:ascii="Times New Roman" w:eastAsia="宋体" w:cs="Times New Roman"/>
                <w:color w:val="000000"/>
                <w:kern w:val="0"/>
                <w:sz w:val="24"/>
                <w:szCs w:val="24"/>
              </w:rPr>
              <w:t>%</w:t>
            </w:r>
          </w:p>
        </w:tc>
        <w:tc>
          <w:tcPr>
            <w:tcW w:w="4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10</w:t>
            </w:r>
          </w:p>
        </w:tc>
      </w:tr>
      <w:tr>
        <w:tblPrEx>
          <w:tblCellMar>
            <w:top w:w="0" w:type="dxa"/>
            <w:left w:w="0" w:type="dxa"/>
            <w:bottom w:w="0" w:type="dxa"/>
            <w:right w:w="0" w:type="dxa"/>
          </w:tblCellMar>
        </w:tblPrEx>
        <w:trPr>
          <w:trHeight w:val="400" w:hRule="atLeast"/>
        </w:trPr>
        <w:tc>
          <w:tcPr>
            <w:tcW w:w="6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其中：当年财政拨款</w:t>
            </w: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400</w:t>
            </w: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639.39</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639.39</w:t>
            </w:r>
          </w:p>
        </w:tc>
        <w:tc>
          <w:tcPr>
            <w:tcW w:w="44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6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上年结转资金</w:t>
            </w: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6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其他资金</w:t>
            </w: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年度总体目标</w:t>
            </w:r>
          </w:p>
        </w:tc>
        <w:tc>
          <w:tcPr>
            <w:tcW w:w="2721"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预期目标</w:t>
            </w:r>
          </w:p>
        </w:tc>
        <w:tc>
          <w:tcPr>
            <w:tcW w:w="1959"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实际完成情况</w:t>
            </w:r>
          </w:p>
        </w:tc>
      </w:tr>
      <w:tr>
        <w:tblPrEx>
          <w:tblCellMar>
            <w:top w:w="0" w:type="dxa"/>
            <w:left w:w="0" w:type="dxa"/>
            <w:bottom w:w="0" w:type="dxa"/>
            <w:right w:w="0" w:type="dxa"/>
          </w:tblCellMar>
        </w:tblPrEx>
        <w:trPr>
          <w:trHeight w:val="9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721"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本年度内按照《国家基本公共卫生服务规范第三版》实施项目工作，在上级考核中综合成绩</w:t>
            </w:r>
            <w:r>
              <w:rPr>
                <w:rFonts w:ascii="Times New Roman" w:eastAsia="宋体" w:cs="Times New Roman"/>
                <w:color w:val="000000"/>
                <w:kern w:val="0"/>
                <w:sz w:val="24"/>
                <w:szCs w:val="24"/>
              </w:rPr>
              <w:t>70</w:t>
            </w:r>
            <w:r>
              <w:rPr>
                <w:rFonts w:hint="eastAsia" w:ascii="宋体" w:hAnsi="宋体" w:eastAsia="宋体" w:cs="宋体"/>
                <w:color w:val="000000"/>
                <w:kern w:val="0"/>
                <w:sz w:val="24"/>
                <w:szCs w:val="24"/>
              </w:rPr>
              <w:t>分以上。</w:t>
            </w:r>
          </w:p>
        </w:tc>
        <w:tc>
          <w:tcPr>
            <w:tcW w:w="1959"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本年度内按照《国家基本公共卫生服务规范第三版》实施项目工作，在上级考核中综合成绩</w:t>
            </w:r>
            <w:r>
              <w:rPr>
                <w:rFonts w:ascii="Times New Roman" w:eastAsia="宋体" w:cs="Times New Roman"/>
                <w:color w:val="000000"/>
                <w:kern w:val="0"/>
                <w:sz w:val="24"/>
                <w:szCs w:val="24"/>
              </w:rPr>
              <w:t>90</w:t>
            </w:r>
            <w:r>
              <w:rPr>
                <w:rFonts w:hint="eastAsia" w:ascii="宋体" w:hAnsi="宋体" w:eastAsia="宋体" w:cs="宋体"/>
                <w:color w:val="000000"/>
                <w:kern w:val="0"/>
                <w:sz w:val="24"/>
                <w:szCs w:val="24"/>
              </w:rPr>
              <w:t>分以上。</w:t>
            </w:r>
          </w:p>
        </w:tc>
      </w:tr>
      <w:tr>
        <w:tblPrEx>
          <w:tblCellMar>
            <w:top w:w="0" w:type="dxa"/>
            <w:left w:w="0" w:type="dxa"/>
            <w:bottom w:w="0" w:type="dxa"/>
            <w:right w:w="0" w:type="dxa"/>
          </w:tblCellMar>
        </w:tblPrEx>
        <w:trPr>
          <w:trHeight w:val="285"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绩效指标</w:t>
            </w: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一级指标</w:t>
            </w:r>
          </w:p>
        </w:tc>
        <w:tc>
          <w:tcPr>
            <w:tcW w:w="3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二级指标</w:t>
            </w:r>
          </w:p>
        </w:tc>
        <w:tc>
          <w:tcPr>
            <w:tcW w:w="1538"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三级指标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w:t>
            </w:r>
          </w:p>
        </w:tc>
        <w:tc>
          <w:tcPr>
            <w:tcW w:w="441"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44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c>
          <w:tcPr>
            <w:tcW w:w="663"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偏差原因分析及改进措施</w:t>
            </w:r>
          </w:p>
        </w:tc>
      </w:tr>
      <w:tr>
        <w:tblPrEx>
          <w:tblCellMar>
            <w:top w:w="0" w:type="dxa"/>
            <w:left w:w="0" w:type="dxa"/>
            <w:bottom w:w="0" w:type="dxa"/>
            <w:right w:w="0" w:type="dxa"/>
          </w:tblCellMar>
        </w:tblPrEx>
        <w:trPr>
          <w:trHeight w:val="28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指标值</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完成值</w:t>
            </w:r>
          </w:p>
        </w:tc>
        <w:tc>
          <w:tcPr>
            <w:tcW w:w="44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4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663"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产出指标</w:t>
            </w:r>
          </w:p>
        </w:tc>
        <w:tc>
          <w:tcPr>
            <w:tcW w:w="3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：居民电子健康档案</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347492</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353064</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：高血压患者管理</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35212</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37246</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3</w:t>
            </w:r>
            <w:r>
              <w:rPr>
                <w:rFonts w:ascii="仿宋_GB2312" w:hAnsi="宋体" w:eastAsia="仿宋_GB2312" w:cs="仿宋_GB2312"/>
                <w:color w:val="000000"/>
                <w:kern w:val="0"/>
                <w:sz w:val="24"/>
                <w:szCs w:val="24"/>
              </w:rPr>
              <w:t>：糖尿病患者管理</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11351</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12758</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4</w:t>
            </w:r>
            <w:r>
              <w:rPr>
                <w:rFonts w:ascii="仿宋_GB2312" w:hAnsi="宋体" w:eastAsia="仿宋_GB2312" w:cs="仿宋_GB2312"/>
                <w:color w:val="000000"/>
                <w:kern w:val="0"/>
                <w:sz w:val="24"/>
                <w:szCs w:val="24"/>
              </w:rPr>
              <w:t>：老年人健康管理</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31632</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29577</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4.67</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指标5：老年人中医药健康管理</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21245</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26519</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6</w:t>
            </w:r>
            <w:r>
              <w:rPr>
                <w:rFonts w:ascii="仿宋_GB2312" w:hAnsi="宋体" w:eastAsia="仿宋_GB2312" w:cs="仿宋_GB2312"/>
                <w:color w:val="000000"/>
                <w:kern w:val="0"/>
                <w:sz w:val="24"/>
                <w:szCs w:val="24"/>
              </w:rPr>
              <w:t>：0-36月儿童中医药健康管理</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8094</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11829</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7</w:t>
            </w:r>
            <w:r>
              <w:rPr>
                <w:rFonts w:ascii="仿宋_GB2312" w:hAnsi="宋体" w:eastAsia="仿宋_GB2312" w:cs="仿宋_GB2312"/>
                <w:color w:val="000000"/>
                <w:kern w:val="0"/>
                <w:sz w:val="24"/>
                <w:szCs w:val="24"/>
              </w:rPr>
              <w:t>：严重精神障碍患者健康管理</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1668</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1629</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4.88</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指标8：肺结核患者管理率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51</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51</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指标9：乡级落实监督协管数</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16</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16</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质量指标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：新建档案合格率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95%</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指标2：疫苗预防接种率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95%</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指标3：高血压规范管理率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60%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66%</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指标4：糖尿病规范管理率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60%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61%</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指标5：老年人中医药健康管理记录完整率率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92%</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指标6：严重精神障碍患者规范管理率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75%</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80%</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指标7：肺结核患者规范服药率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92%</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时效指标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成本指标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效益指标</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经济效益</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：健康档案动态使用率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54%</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指标2：重点人群健康知识知晓率</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92%</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4.6</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生态效益</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可持续影响</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满意度</w:t>
            </w:r>
          </w:p>
        </w:tc>
        <w:tc>
          <w:tcPr>
            <w:tcW w:w="3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服务对象满意度指标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指标1：重点人群服务满意度</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95%</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4.75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指标2：基层医务人员满意度</w:t>
            </w: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92%</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4.6</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3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4"/>
                <w:szCs w:val="24"/>
              </w:rPr>
            </w:pPr>
          </w:p>
        </w:tc>
        <w:tc>
          <w:tcPr>
            <w:tcW w:w="54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88.5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453" w:type="pct"/>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总分</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44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98.5</w:t>
            </w:r>
          </w:p>
        </w:tc>
        <w:tc>
          <w:tcPr>
            <w:tcW w:w="6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40" w:hRule="atLeast"/>
        </w:trPr>
        <w:tc>
          <w:tcPr>
            <w:tcW w:w="4797" w:type="pct"/>
            <w:gridSpan w:val="2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项目支出绩效自评表</w:t>
            </w:r>
          </w:p>
        </w:tc>
        <w:tc>
          <w:tcPr>
            <w:tcW w:w="203" w:type="pct"/>
            <w:tcBorders>
              <w:top w:val="nil"/>
              <w:left w:val="nil"/>
              <w:bottom w:val="nil"/>
              <w:right w:val="nil"/>
            </w:tcBorders>
            <w:shd w:val="clear" w:color="auto" w:fill="auto"/>
            <w:tcMar>
              <w:top w:w="15" w:type="dxa"/>
              <w:left w:w="15" w:type="dxa"/>
              <w:right w:w="15" w:type="dxa"/>
            </w:tcMar>
            <w:vAlign w:val="center"/>
          </w:tcPr>
          <w:p>
            <w:pPr>
              <w:rPr>
                <w:rFonts w:ascii="Times New Roman" w:eastAsia="宋体" w:cs="Times New Roman"/>
                <w:color w:val="000000"/>
                <w:szCs w:val="21"/>
              </w:rPr>
            </w:pPr>
          </w:p>
        </w:tc>
      </w:tr>
      <w:tr>
        <w:tblPrEx>
          <w:tblCellMar>
            <w:top w:w="0" w:type="dxa"/>
            <w:left w:w="0" w:type="dxa"/>
            <w:bottom w:w="0" w:type="dxa"/>
            <w:right w:w="0" w:type="dxa"/>
          </w:tblCellMar>
        </w:tblPrEx>
        <w:trPr>
          <w:trHeight w:val="315" w:hRule="atLeast"/>
        </w:trPr>
        <w:tc>
          <w:tcPr>
            <w:tcW w:w="5000" w:type="pct"/>
            <w:gridSpan w:val="28"/>
            <w:tcBorders>
              <w:top w:val="nil"/>
              <w:left w:val="nil"/>
              <w:bottom w:val="nil"/>
              <w:right w:val="nil"/>
            </w:tcBorders>
            <w:shd w:val="clear" w:color="auto" w:fill="auto"/>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w:t>
            </w:r>
            <w:r>
              <w:rPr>
                <w:rFonts w:ascii="Times New Roman" w:eastAsia="仿宋_GB2312" w:cs="Times New Roman"/>
                <w:color w:val="000000"/>
                <w:kern w:val="0"/>
                <w:sz w:val="24"/>
                <w:szCs w:val="24"/>
              </w:rPr>
              <w:t xml:space="preserve">  2019  </w:t>
            </w:r>
            <w:r>
              <w:rPr>
                <w:rFonts w:ascii="仿宋_GB2312" w:hAnsi="宋体" w:eastAsia="仿宋_GB2312" w:cs="仿宋_GB2312"/>
                <w:color w:val="000000"/>
                <w:kern w:val="0"/>
                <w:sz w:val="24"/>
                <w:szCs w:val="24"/>
              </w:rPr>
              <w:t>年度）</w:t>
            </w:r>
          </w:p>
        </w:tc>
      </w:tr>
      <w:tr>
        <w:tblPrEx>
          <w:tblCellMar>
            <w:top w:w="0" w:type="dxa"/>
            <w:left w:w="0" w:type="dxa"/>
            <w:bottom w:w="0" w:type="dxa"/>
            <w:right w:w="0" w:type="dxa"/>
          </w:tblCellMar>
        </w:tblPrEx>
        <w:trPr>
          <w:trHeight w:val="400" w:hRule="atLeast"/>
        </w:trPr>
        <w:tc>
          <w:tcPr>
            <w:tcW w:w="71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项目名称</w:t>
            </w:r>
          </w:p>
        </w:tc>
        <w:tc>
          <w:tcPr>
            <w:tcW w:w="4288" w:type="pct"/>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Times New Roman" w:eastAsia="仿宋_GB2312" w:cs="Times New Roman"/>
                <w:color w:val="000000"/>
                <w:sz w:val="28"/>
                <w:szCs w:val="28"/>
              </w:rPr>
              <w:t>计划生育家庭特别扶助资金项目</w:t>
            </w:r>
          </w:p>
        </w:tc>
      </w:tr>
      <w:tr>
        <w:tblPrEx>
          <w:tblCellMar>
            <w:top w:w="0" w:type="dxa"/>
            <w:left w:w="0" w:type="dxa"/>
            <w:bottom w:w="0" w:type="dxa"/>
            <w:right w:w="0" w:type="dxa"/>
          </w:tblCellMar>
        </w:tblPrEx>
        <w:trPr>
          <w:trHeight w:val="400" w:hRule="atLeast"/>
        </w:trPr>
        <w:tc>
          <w:tcPr>
            <w:tcW w:w="71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主管部门</w:t>
            </w:r>
          </w:p>
        </w:tc>
        <w:tc>
          <w:tcPr>
            <w:tcW w:w="2329"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家庭发展科</w:t>
            </w:r>
          </w:p>
        </w:tc>
        <w:tc>
          <w:tcPr>
            <w:tcW w:w="6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实施单位</w:t>
            </w:r>
          </w:p>
        </w:tc>
        <w:tc>
          <w:tcPr>
            <w:tcW w:w="1268"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广阳区卫生健康局</w:t>
            </w:r>
          </w:p>
        </w:tc>
      </w:tr>
      <w:tr>
        <w:tblPrEx>
          <w:tblCellMar>
            <w:top w:w="0" w:type="dxa"/>
            <w:left w:w="0" w:type="dxa"/>
            <w:bottom w:w="0" w:type="dxa"/>
            <w:right w:w="0" w:type="dxa"/>
          </w:tblCellMar>
        </w:tblPrEx>
        <w:trPr>
          <w:trHeight w:val="400" w:hRule="atLeast"/>
        </w:trPr>
        <w:tc>
          <w:tcPr>
            <w:tcW w:w="71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项目资金（万元）</w:t>
            </w:r>
          </w:p>
        </w:tc>
        <w:tc>
          <w:tcPr>
            <w:tcW w:w="102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年初</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6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28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42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执行率</w:t>
            </w:r>
          </w:p>
        </w:tc>
        <w:tc>
          <w:tcPr>
            <w:tcW w:w="56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r>
      <w:tr>
        <w:tblPrEx>
          <w:tblCellMar>
            <w:top w:w="0" w:type="dxa"/>
            <w:left w:w="0" w:type="dxa"/>
            <w:bottom w:w="0" w:type="dxa"/>
            <w:right w:w="0" w:type="dxa"/>
          </w:tblCellMar>
        </w:tblPrEx>
        <w:trPr>
          <w:trHeight w:val="400" w:hRule="atLeast"/>
        </w:trPr>
        <w:tc>
          <w:tcPr>
            <w:tcW w:w="71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6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执行数</w:t>
            </w:r>
          </w:p>
        </w:tc>
        <w:tc>
          <w:tcPr>
            <w:tcW w:w="28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2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56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00" w:hRule="atLeast"/>
        </w:trPr>
        <w:tc>
          <w:tcPr>
            <w:tcW w:w="71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年度资金总额</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189</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330.89</w:t>
            </w:r>
          </w:p>
        </w:tc>
        <w:tc>
          <w:tcPr>
            <w:tcW w:w="6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325.5</w:t>
            </w:r>
          </w:p>
        </w:tc>
        <w:tc>
          <w:tcPr>
            <w:tcW w:w="2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4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98.37%</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r>
      <w:tr>
        <w:tblPrEx>
          <w:tblCellMar>
            <w:top w:w="0" w:type="dxa"/>
            <w:left w:w="0" w:type="dxa"/>
            <w:bottom w:w="0" w:type="dxa"/>
            <w:right w:w="0" w:type="dxa"/>
          </w:tblCellMar>
        </w:tblPrEx>
        <w:trPr>
          <w:trHeight w:val="400" w:hRule="atLeast"/>
        </w:trPr>
        <w:tc>
          <w:tcPr>
            <w:tcW w:w="71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其中：当年财政拨款</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189</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330.89</w:t>
            </w:r>
          </w:p>
        </w:tc>
        <w:tc>
          <w:tcPr>
            <w:tcW w:w="6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325.5</w:t>
            </w:r>
          </w:p>
        </w:tc>
        <w:tc>
          <w:tcPr>
            <w:tcW w:w="2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98.37%</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71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上年结转资金</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71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其他资金</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3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年度总体目标</w:t>
            </w:r>
          </w:p>
        </w:tc>
        <w:tc>
          <w:tcPr>
            <w:tcW w:w="2686"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预期目标</w:t>
            </w:r>
          </w:p>
        </w:tc>
        <w:tc>
          <w:tcPr>
            <w:tcW w:w="1959"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实际完成情况</w:t>
            </w:r>
          </w:p>
        </w:tc>
      </w:tr>
      <w:tr>
        <w:tblPrEx>
          <w:tblCellMar>
            <w:top w:w="0" w:type="dxa"/>
            <w:left w:w="0" w:type="dxa"/>
            <w:bottom w:w="0" w:type="dxa"/>
            <w:right w:w="0" w:type="dxa"/>
          </w:tblCellMar>
        </w:tblPrEx>
        <w:trPr>
          <w:trHeight w:val="106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686"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rPr>
            </w:pPr>
            <w:r>
              <w:rPr>
                <w:rFonts w:hint="eastAsia" w:ascii="仿宋_GB2312" w:hAnsi="宋体" w:eastAsia="仿宋_GB2312" w:cs="仿宋_GB2312"/>
                <w:color w:val="000000"/>
                <w:kern w:val="0"/>
                <w:sz w:val="24"/>
                <w:szCs w:val="24"/>
              </w:rPr>
              <w:t>实施计划生育家庭特别扶助制度，缓解计划生育困难家庭在生产、生活、医疗和养老等方面的特殊困难，保障和改善民生，促进社会和谐稳定。</w:t>
            </w:r>
          </w:p>
        </w:tc>
        <w:tc>
          <w:tcPr>
            <w:tcW w:w="1959"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仿宋_GB2312" w:hAnsi="宋体" w:eastAsia="仿宋_GB2312" w:cs="仿宋_GB2312"/>
                <w:color w:val="000000"/>
                <w:kern w:val="0"/>
                <w:sz w:val="24"/>
                <w:szCs w:val="24"/>
              </w:rPr>
              <w:t>特扶</w:t>
            </w:r>
            <w:r>
              <w:rPr>
                <w:rFonts w:ascii="仿宋_GB2312" w:hAnsi="宋体" w:eastAsia="仿宋_GB2312" w:cs="仿宋_GB2312"/>
                <w:color w:val="000000"/>
                <w:kern w:val="0"/>
                <w:sz w:val="24"/>
                <w:szCs w:val="24"/>
              </w:rPr>
              <w:t>320</w:t>
            </w:r>
            <w:r>
              <w:rPr>
                <w:rFonts w:hint="eastAsia" w:ascii="仿宋_GB2312" w:hAnsi="宋体" w:eastAsia="仿宋_GB2312" w:cs="仿宋_GB2312"/>
                <w:color w:val="000000"/>
                <w:kern w:val="0"/>
                <w:sz w:val="24"/>
                <w:szCs w:val="24"/>
              </w:rPr>
              <w:t>人（失独</w:t>
            </w:r>
            <w:r>
              <w:rPr>
                <w:rFonts w:ascii="仿宋_GB2312" w:hAnsi="宋体" w:eastAsia="仿宋_GB2312" w:cs="仿宋_GB2312"/>
                <w:color w:val="000000"/>
                <w:kern w:val="0"/>
                <w:sz w:val="24"/>
                <w:szCs w:val="24"/>
              </w:rPr>
              <w:t>230</w:t>
            </w:r>
            <w:r>
              <w:rPr>
                <w:rFonts w:hint="eastAsia" w:ascii="仿宋_GB2312" w:hAnsi="宋体" w:eastAsia="仿宋_GB2312" w:cs="仿宋_GB2312"/>
                <w:color w:val="000000"/>
                <w:kern w:val="0"/>
                <w:sz w:val="24"/>
                <w:szCs w:val="24"/>
              </w:rPr>
              <w:t>人，伤残</w:t>
            </w:r>
            <w:r>
              <w:rPr>
                <w:rFonts w:ascii="仿宋_GB2312" w:hAnsi="宋体" w:eastAsia="仿宋_GB2312" w:cs="仿宋_GB2312"/>
                <w:color w:val="000000"/>
                <w:kern w:val="0"/>
                <w:sz w:val="24"/>
                <w:szCs w:val="24"/>
              </w:rPr>
              <w:t>90</w:t>
            </w:r>
            <w:r>
              <w:rPr>
                <w:rFonts w:hint="eastAsia" w:ascii="仿宋_GB2312" w:hAnsi="宋体" w:eastAsia="仿宋_GB2312" w:cs="仿宋_GB2312"/>
                <w:color w:val="000000"/>
                <w:kern w:val="0"/>
                <w:sz w:val="24"/>
                <w:szCs w:val="24"/>
              </w:rPr>
              <w:t>人）实际发放扶助金</w:t>
            </w:r>
            <w:r>
              <w:rPr>
                <w:rFonts w:ascii="仿宋_GB2312" w:hAnsi="宋体" w:eastAsia="仿宋_GB2312" w:cs="仿宋_GB2312"/>
                <w:color w:val="000000"/>
                <w:kern w:val="0"/>
                <w:sz w:val="24"/>
                <w:szCs w:val="24"/>
              </w:rPr>
              <w:t>316</w:t>
            </w:r>
            <w:r>
              <w:rPr>
                <w:rFonts w:hint="eastAsia" w:ascii="仿宋_GB2312" w:hAnsi="宋体" w:eastAsia="仿宋_GB2312" w:cs="仿宋_GB2312"/>
                <w:color w:val="000000"/>
                <w:kern w:val="0"/>
                <w:sz w:val="24"/>
                <w:szCs w:val="24"/>
              </w:rPr>
              <w:t>人，发放率</w:t>
            </w:r>
            <w:r>
              <w:rPr>
                <w:rFonts w:ascii="仿宋_GB2312" w:hAnsi="宋体" w:eastAsia="仿宋_GB2312" w:cs="仿宋_GB2312"/>
                <w:color w:val="000000"/>
                <w:kern w:val="0"/>
                <w:sz w:val="24"/>
                <w:szCs w:val="24"/>
              </w:rPr>
              <w:t>98.75%</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人未发放原因，</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人死亡，</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人失联）。</w:t>
            </w:r>
          </w:p>
        </w:tc>
      </w:tr>
      <w:tr>
        <w:tblPrEx>
          <w:tblCellMar>
            <w:top w:w="0" w:type="dxa"/>
            <w:left w:w="0" w:type="dxa"/>
            <w:bottom w:w="0" w:type="dxa"/>
            <w:right w:w="0" w:type="dxa"/>
          </w:tblCellMar>
        </w:tblPrEx>
        <w:trPr>
          <w:trHeight w:val="285" w:hRule="atLeast"/>
        </w:trPr>
        <w:tc>
          <w:tcPr>
            <w:tcW w:w="3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绩效指标</w:t>
            </w:r>
          </w:p>
        </w:tc>
        <w:tc>
          <w:tcPr>
            <w:tcW w:w="35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一级指标</w:t>
            </w: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二级指标</w:t>
            </w:r>
          </w:p>
        </w:tc>
        <w:tc>
          <w:tcPr>
            <w:tcW w:w="134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三级指标</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w:t>
            </w:r>
          </w:p>
        </w:tc>
        <w:tc>
          <w:tcPr>
            <w:tcW w:w="2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26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c>
          <w:tcPr>
            <w:tcW w:w="94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偏差原因分析及改进措施</w:t>
            </w:r>
          </w:p>
        </w:tc>
      </w:tr>
      <w:tr>
        <w:tblPrEx>
          <w:tblCellMar>
            <w:top w:w="0" w:type="dxa"/>
            <w:left w:w="0" w:type="dxa"/>
            <w:bottom w:w="0" w:type="dxa"/>
            <w:right w:w="0" w:type="dxa"/>
          </w:tblCellMar>
        </w:tblPrEx>
        <w:trPr>
          <w:trHeight w:val="285"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指标值</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完成值</w:t>
            </w:r>
          </w:p>
        </w:tc>
        <w:tc>
          <w:tcPr>
            <w:tcW w:w="2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94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产出指标</w:t>
            </w: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w:t>
            </w:r>
            <w:r>
              <w:rPr>
                <w:rFonts w:ascii="宋体" w:hAnsi="宋体" w:eastAsia="仿宋_GB2312" w:cs="宋体"/>
                <w:color w:val="000000"/>
                <w:kern w:val="0"/>
                <w:sz w:val="24"/>
                <w:szCs w:val="24"/>
              </w:rPr>
              <w:t>1</w:t>
            </w:r>
            <w:r>
              <w:rPr>
                <w:rFonts w:ascii="仿宋_GB2312" w:hAnsi="宋体" w:eastAsia="仿宋_GB2312" w:cs="仿宋_GB2312"/>
                <w:color w:val="000000"/>
                <w:kern w:val="0"/>
                <w:sz w:val="20"/>
                <w:szCs w:val="20"/>
              </w:rPr>
              <w:t>：独生子女伤残家庭扶助人数</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r>
              <w:rPr>
                <w:rFonts w:hint="eastAsia" w:ascii="宋体" w:hAnsi="宋体" w:eastAsia="宋体" w:cs="宋体"/>
                <w:color w:val="000000"/>
                <w:kern w:val="0"/>
                <w:sz w:val="24"/>
                <w:szCs w:val="24"/>
              </w:rPr>
              <w:t>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89人</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1人死亡</w:t>
            </w: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指标2：独生子女死亡家庭扶助人数</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230</w:t>
            </w:r>
            <w:r>
              <w:rPr>
                <w:rFonts w:hint="eastAsia" w:ascii="宋体" w:hAnsi="宋体" w:eastAsia="宋体" w:cs="宋体"/>
                <w:color w:val="000000"/>
                <w:kern w:val="0"/>
                <w:sz w:val="24"/>
                <w:szCs w:val="24"/>
              </w:rPr>
              <w:t>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227</w:t>
            </w:r>
            <w:r>
              <w:rPr>
                <w:rFonts w:hint="eastAsia" w:ascii="宋体" w:hAnsi="宋体" w:eastAsia="宋体" w:cs="宋体"/>
                <w:color w:val="000000"/>
                <w:kern w:val="0"/>
                <w:sz w:val="24"/>
                <w:szCs w:val="24"/>
              </w:rPr>
              <w:t>人</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人死亡，</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人失联</w:t>
            </w: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w:t>
            </w:r>
            <w:r>
              <w:rPr>
                <w:rFonts w:ascii="宋体" w:hAnsi="宋体" w:eastAsia="宋体" w:cs="宋体"/>
                <w:color w:val="000000"/>
                <w:kern w:val="0"/>
                <w:sz w:val="24"/>
                <w:szCs w:val="24"/>
              </w:rPr>
              <w:t>3</w:t>
            </w:r>
            <w:r>
              <w:rPr>
                <w:rFonts w:hint="eastAsia" w:ascii="宋体" w:hAnsi="宋体" w:eastAsia="宋体" w:cs="宋体"/>
                <w:color w:val="000000"/>
                <w:kern w:val="0"/>
                <w:sz w:val="20"/>
                <w:szCs w:val="20"/>
              </w:rPr>
              <w:t>：计生手术并发症扶助人数</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w:t>
            </w:r>
            <w:r>
              <w:rPr>
                <w:rFonts w:hint="eastAsia" w:ascii="宋体" w:hAnsi="宋体" w:eastAsia="宋体" w:cs="宋体"/>
                <w:color w:val="000000"/>
                <w:kern w:val="0"/>
                <w:sz w:val="24"/>
                <w:szCs w:val="24"/>
              </w:rPr>
              <w:t>人</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w:t>
            </w:r>
            <w:r>
              <w:rPr>
                <w:rFonts w:hint="eastAsia" w:ascii="宋体" w:hAnsi="宋体" w:eastAsia="宋体" w:cs="宋体"/>
                <w:color w:val="000000"/>
                <w:kern w:val="0"/>
                <w:sz w:val="24"/>
                <w:szCs w:val="24"/>
              </w:rPr>
              <w:t>人</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质量指标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w:t>
            </w:r>
            <w:r>
              <w:rPr>
                <w:rFonts w:ascii="宋体" w:hAnsi="宋体" w:eastAsia="仿宋_GB2312" w:cs="宋体"/>
                <w:color w:val="000000"/>
                <w:kern w:val="0"/>
                <w:sz w:val="24"/>
                <w:szCs w:val="24"/>
              </w:rPr>
              <w:t>1</w:t>
            </w:r>
            <w:r>
              <w:rPr>
                <w:rFonts w:ascii="仿宋_GB2312" w:hAnsi="宋体" w:eastAsia="仿宋_GB2312" w:cs="仿宋_GB2312"/>
                <w:color w:val="000000"/>
                <w:kern w:val="0"/>
                <w:sz w:val="20"/>
                <w:szCs w:val="20"/>
              </w:rPr>
              <w:t>：符合条件覆盖率</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2</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时效指标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指标1：特扶资金到位率</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2</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成本指标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w:t>
            </w:r>
            <w:r>
              <w:rPr>
                <w:rFonts w:ascii="宋体" w:hAnsi="宋体" w:eastAsia="仿宋_GB2312" w:cs="宋体"/>
                <w:color w:val="000000"/>
                <w:kern w:val="0"/>
                <w:sz w:val="24"/>
                <w:szCs w:val="24"/>
              </w:rPr>
              <w:t>1</w:t>
            </w:r>
            <w:r>
              <w:rPr>
                <w:rFonts w:ascii="仿宋_GB2312" w:hAnsi="宋体" w:eastAsia="仿宋_GB2312" w:cs="仿宋_GB2312"/>
                <w:color w:val="000000"/>
                <w:kern w:val="0"/>
                <w:sz w:val="20"/>
                <w:szCs w:val="20"/>
              </w:rPr>
              <w:t>：独生子女伤残家庭发放标准</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9000</w:t>
            </w:r>
            <w:r>
              <w:rPr>
                <w:rFonts w:hint="eastAsia" w:ascii="宋体" w:hAnsi="宋体" w:eastAsia="宋体" w:cs="宋体"/>
                <w:color w:val="000000"/>
                <w:kern w:val="0"/>
                <w:sz w:val="20"/>
                <w:szCs w:val="20"/>
              </w:rPr>
              <w:t>元</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人</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年</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9000元/人/年</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w:t>
            </w:r>
            <w:r>
              <w:rPr>
                <w:rFonts w:ascii="宋体" w:hAnsi="宋体" w:eastAsia="仿宋_GB2312" w:cs="宋体"/>
                <w:color w:val="000000"/>
                <w:kern w:val="0"/>
                <w:sz w:val="24"/>
                <w:szCs w:val="24"/>
              </w:rPr>
              <w:t>2</w:t>
            </w:r>
            <w:r>
              <w:rPr>
                <w:rFonts w:ascii="仿宋_GB2312" w:hAnsi="宋体" w:eastAsia="仿宋_GB2312" w:cs="仿宋_GB2312"/>
                <w:color w:val="000000"/>
                <w:kern w:val="0"/>
                <w:sz w:val="20"/>
                <w:szCs w:val="20"/>
              </w:rPr>
              <w:t>：独生子女死亡家庭发放标准</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10800</w:t>
            </w:r>
            <w:r>
              <w:rPr>
                <w:rFonts w:hint="eastAsia" w:ascii="宋体" w:hAnsi="宋体" w:eastAsia="宋体" w:cs="宋体"/>
                <w:color w:val="000000"/>
                <w:kern w:val="0"/>
                <w:sz w:val="20"/>
                <w:szCs w:val="20"/>
              </w:rPr>
              <w:t>元</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人</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年</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10800元/人/年</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w:t>
            </w:r>
            <w:r>
              <w:rPr>
                <w:rFonts w:ascii="宋体" w:hAnsi="宋体" w:eastAsia="宋体" w:cs="宋体"/>
                <w:color w:val="000000"/>
                <w:kern w:val="0"/>
                <w:sz w:val="24"/>
                <w:szCs w:val="24"/>
              </w:rPr>
              <w:t>3</w:t>
            </w:r>
            <w:r>
              <w:rPr>
                <w:rFonts w:hint="eastAsia" w:ascii="宋体" w:hAnsi="宋体" w:eastAsia="宋体" w:cs="宋体"/>
                <w:color w:val="000000"/>
                <w:kern w:val="0"/>
                <w:sz w:val="20"/>
                <w:szCs w:val="20"/>
              </w:rPr>
              <w:t>：计生手术并发症扶助金发放标准</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w:t>
            </w:r>
            <w:r>
              <w:rPr>
                <w:rFonts w:ascii="Times New Roman" w:eastAsia="宋体" w:cs="Times New Roman"/>
                <w:color w:val="000000"/>
                <w:kern w:val="0"/>
                <w:sz w:val="20"/>
                <w:szCs w:val="20"/>
              </w:rPr>
              <w:t>2400</w:t>
            </w:r>
            <w:r>
              <w:rPr>
                <w:rFonts w:hint="eastAsia" w:ascii="宋体" w:hAnsi="宋体" w:eastAsia="宋体" w:cs="宋体"/>
                <w:color w:val="000000"/>
                <w:kern w:val="0"/>
                <w:sz w:val="20"/>
                <w:szCs w:val="20"/>
              </w:rPr>
              <w:t>元</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人</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年</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w:t>
            </w:r>
            <w:r>
              <w:rPr>
                <w:rFonts w:ascii="Times New Roman" w:eastAsia="宋体" w:cs="Times New Roman"/>
                <w:color w:val="000000"/>
                <w:kern w:val="0"/>
                <w:sz w:val="20"/>
                <w:szCs w:val="20"/>
              </w:rPr>
              <w:t>2400</w:t>
            </w:r>
            <w:r>
              <w:rPr>
                <w:rFonts w:hint="eastAsia" w:ascii="宋体" w:hAnsi="宋体" w:eastAsia="宋体" w:cs="宋体"/>
                <w:color w:val="000000"/>
                <w:kern w:val="0"/>
                <w:sz w:val="20"/>
                <w:szCs w:val="20"/>
              </w:rPr>
              <w:t>元</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人</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年</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效益指标</w:t>
            </w: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经济效益</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1</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2</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1</w:t>
            </w:r>
            <w:r>
              <w:rPr>
                <w:rFonts w:ascii="仿宋_GB2312" w:hAnsi="宋体" w:eastAsia="仿宋_GB2312" w:cs="仿宋_GB2312"/>
                <w:color w:val="000000"/>
                <w:kern w:val="0"/>
                <w:sz w:val="24"/>
                <w:szCs w:val="24"/>
              </w:rPr>
              <w:t>：社会稳定水平</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逐步提高</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逐步提高</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30</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30</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2</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生态效益</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1</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2</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可持续影响</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1</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2</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满意度</w:t>
            </w: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服务对象满意度指标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1</w:t>
            </w:r>
            <w:r>
              <w:rPr>
                <w:rFonts w:ascii="仿宋_GB2312" w:hAnsi="宋体" w:eastAsia="仿宋_GB2312" w:cs="仿宋_GB2312"/>
                <w:color w:val="000000"/>
                <w:kern w:val="0"/>
                <w:sz w:val="24"/>
                <w:szCs w:val="24"/>
              </w:rPr>
              <w:t>：服务对象满意度</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1"/>
                <w:rFonts w:eastAsia="仿宋_GB2312"/>
              </w:rPr>
              <w:t>2</w:t>
            </w:r>
            <w:r>
              <w:rPr>
                <w:rFonts w:ascii="仿宋_GB2312" w:hAnsi="宋体" w:eastAsia="仿宋_GB2312" w:cs="仿宋_GB2312"/>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4"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总分</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9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bl>
    <w:p>
      <w:pPr>
        <w:keepNext/>
        <w:keepLines/>
        <w:snapToGrid w:val="0"/>
        <w:spacing w:line="580" w:lineRule="exact"/>
        <w:ind w:firstLine="640" w:firstLineChars="200"/>
        <w:outlineLvl w:val="1"/>
        <w:rPr>
          <w:rFonts w:ascii="Times New Roman" w:eastAsia="仿宋_GB2312" w:cs="Times New Roman"/>
          <w:sz w:val="32"/>
          <w:szCs w:val="32"/>
        </w:rPr>
      </w:pPr>
    </w:p>
    <w:p>
      <w:pPr>
        <w:keepNext/>
        <w:keepLines/>
        <w:snapToGrid w:val="0"/>
        <w:spacing w:line="580" w:lineRule="exact"/>
        <w:ind w:firstLine="640" w:firstLineChars="200"/>
        <w:outlineLvl w:val="1"/>
        <w:rPr>
          <w:rFonts w:ascii="Times New Roman" w:eastAsia="仿宋_GB2312" w:cs="Times New Roman"/>
          <w:sz w:val="32"/>
          <w:szCs w:val="32"/>
        </w:rPr>
      </w:pPr>
    </w:p>
    <w:p>
      <w:pPr>
        <w:keepNext/>
        <w:keepLines/>
        <w:snapToGrid w:val="0"/>
        <w:spacing w:line="580" w:lineRule="exact"/>
        <w:ind w:firstLine="640" w:firstLineChars="200"/>
        <w:outlineLvl w:val="1"/>
        <w:rPr>
          <w:rFonts w:hint="eastAsia" w:ascii="Times New Roman" w:eastAsia="仿宋_GB2312" w:cs="Times New Roman"/>
          <w:sz w:val="32"/>
          <w:szCs w:val="32"/>
        </w:rPr>
      </w:pPr>
    </w:p>
    <w:p>
      <w:pPr>
        <w:pStyle w:val="2"/>
        <w:rPr>
          <w:lang w:val="en-US" w:bidi="ar-SA"/>
        </w:rPr>
      </w:pPr>
    </w:p>
    <w:tbl>
      <w:tblPr>
        <w:tblStyle w:val="7"/>
        <w:tblW w:w="4999" w:type="pct"/>
        <w:tblInd w:w="0" w:type="dxa"/>
        <w:tblLayout w:type="autofit"/>
        <w:tblCellMar>
          <w:top w:w="0" w:type="dxa"/>
          <w:left w:w="0" w:type="dxa"/>
          <w:bottom w:w="0" w:type="dxa"/>
          <w:right w:w="0" w:type="dxa"/>
        </w:tblCellMar>
      </w:tblPr>
      <w:tblGrid>
        <w:gridCol w:w="741"/>
        <w:gridCol w:w="744"/>
        <w:gridCol w:w="742"/>
        <w:gridCol w:w="744"/>
        <w:gridCol w:w="1099"/>
        <w:gridCol w:w="377"/>
        <w:gridCol w:w="690"/>
        <w:gridCol w:w="590"/>
        <w:gridCol w:w="326"/>
        <w:gridCol w:w="322"/>
        <w:gridCol w:w="326"/>
        <w:gridCol w:w="322"/>
        <w:gridCol w:w="744"/>
        <w:gridCol w:w="746"/>
        <w:gridCol w:w="586"/>
      </w:tblGrid>
      <w:tr>
        <w:tblPrEx>
          <w:tblCellMar>
            <w:top w:w="0" w:type="dxa"/>
            <w:left w:w="0" w:type="dxa"/>
            <w:bottom w:w="0" w:type="dxa"/>
            <w:right w:w="0" w:type="dxa"/>
          </w:tblCellMar>
        </w:tblPrEx>
        <w:trPr>
          <w:trHeight w:val="540" w:hRule="atLeast"/>
        </w:trPr>
        <w:tc>
          <w:tcPr>
            <w:tcW w:w="4671" w:type="pct"/>
            <w:gridSpan w:val="1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color w:val="000000"/>
                <w:kern w:val="0"/>
                <w:sz w:val="44"/>
                <w:szCs w:val="44"/>
              </w:rPr>
            </w:pPr>
          </w:p>
          <w:p>
            <w:pPr>
              <w:widowControl/>
              <w:jc w:val="center"/>
              <w:textAlignment w:val="center"/>
              <w:rPr>
                <w:rFonts w:hint="eastAsia" w:ascii="方正小标宋简体" w:hAnsi="方正小标宋简体" w:eastAsia="方正小标宋简体" w:cs="方正小标宋简体"/>
                <w:color w:val="000000"/>
                <w:kern w:val="0"/>
                <w:sz w:val="44"/>
                <w:szCs w:val="44"/>
              </w:rPr>
            </w:pPr>
          </w:p>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项目支出绩效自评表</w:t>
            </w:r>
          </w:p>
        </w:tc>
        <w:tc>
          <w:tcPr>
            <w:tcW w:w="328" w:type="pct"/>
            <w:tcBorders>
              <w:top w:val="nil"/>
              <w:left w:val="nil"/>
              <w:bottom w:val="nil"/>
              <w:right w:val="nil"/>
            </w:tcBorders>
            <w:shd w:val="clear" w:color="auto" w:fill="auto"/>
            <w:tcMar>
              <w:top w:w="15" w:type="dxa"/>
              <w:left w:w="15" w:type="dxa"/>
              <w:right w:w="15" w:type="dxa"/>
            </w:tcMar>
            <w:vAlign w:val="center"/>
          </w:tcPr>
          <w:p>
            <w:pPr>
              <w:rPr>
                <w:rFonts w:ascii="Times New Roman" w:eastAsia="宋体" w:cs="Times New Roman"/>
                <w:color w:val="000000"/>
                <w:szCs w:val="21"/>
              </w:rPr>
            </w:pPr>
          </w:p>
        </w:tc>
      </w:tr>
      <w:tr>
        <w:tblPrEx>
          <w:tblCellMar>
            <w:top w:w="0" w:type="dxa"/>
            <w:left w:w="0" w:type="dxa"/>
            <w:bottom w:w="0" w:type="dxa"/>
            <w:right w:w="0" w:type="dxa"/>
          </w:tblCellMar>
        </w:tblPrEx>
        <w:trPr>
          <w:trHeight w:val="315" w:hRule="atLeast"/>
        </w:trPr>
        <w:tc>
          <w:tcPr>
            <w:tcW w:w="5000" w:type="pct"/>
            <w:gridSpan w:val="15"/>
            <w:tcBorders>
              <w:top w:val="nil"/>
              <w:left w:val="nil"/>
              <w:bottom w:val="nil"/>
              <w:right w:val="nil"/>
            </w:tcBorders>
            <w:shd w:val="clear" w:color="auto" w:fill="auto"/>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w:t>
            </w:r>
            <w:r>
              <w:rPr>
                <w:rFonts w:ascii="Times New Roman" w:eastAsia="仿宋_GB2312" w:cs="Times New Roman"/>
                <w:color w:val="000000"/>
                <w:kern w:val="0"/>
                <w:sz w:val="24"/>
                <w:szCs w:val="24"/>
              </w:rPr>
              <w:t xml:space="preserve">  2019  </w:t>
            </w:r>
            <w:r>
              <w:rPr>
                <w:rFonts w:ascii="仿宋_GB2312" w:hAnsi="宋体" w:eastAsia="仿宋_GB2312" w:cs="仿宋_GB2312"/>
                <w:color w:val="000000"/>
                <w:kern w:val="0"/>
                <w:sz w:val="24"/>
                <w:szCs w:val="24"/>
              </w:rPr>
              <w:t>年度）</w:t>
            </w:r>
          </w:p>
        </w:tc>
      </w:tr>
      <w:tr>
        <w:tblPrEx>
          <w:tblCellMar>
            <w:top w:w="0" w:type="dxa"/>
            <w:left w:w="0" w:type="dxa"/>
            <w:bottom w:w="0" w:type="dxa"/>
            <w:right w:w="0" w:type="dxa"/>
          </w:tblCellMar>
        </w:tblPrEx>
        <w:trPr>
          <w:trHeight w:val="285" w:hRule="atLeast"/>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项目名称</w:t>
            </w:r>
          </w:p>
        </w:tc>
        <w:tc>
          <w:tcPr>
            <w:tcW w:w="4170"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仿宋" w:cs="宋体"/>
                <w:color w:val="000000"/>
                <w:sz w:val="24"/>
                <w:szCs w:val="24"/>
              </w:rPr>
            </w:pPr>
            <w:r>
              <w:rPr>
                <w:rFonts w:hint="eastAsia" w:ascii="仿宋" w:hAnsi="仿宋" w:eastAsia="仿宋" w:cs="仿宋"/>
                <w:sz w:val="28"/>
                <w:szCs w:val="28"/>
              </w:rPr>
              <w:t>农村部分计划生育家庭奖励扶助资金项目</w:t>
            </w:r>
          </w:p>
        </w:tc>
      </w:tr>
      <w:tr>
        <w:tblPrEx>
          <w:tblCellMar>
            <w:top w:w="0" w:type="dxa"/>
            <w:left w:w="0" w:type="dxa"/>
            <w:bottom w:w="0" w:type="dxa"/>
            <w:right w:w="0" w:type="dxa"/>
          </w:tblCellMar>
        </w:tblPrEx>
        <w:trPr>
          <w:trHeight w:val="285" w:hRule="atLeast"/>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主管部门</w:t>
            </w:r>
          </w:p>
        </w:tc>
        <w:tc>
          <w:tcPr>
            <w:tcW w:w="19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家庭发展科</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实施单位</w:t>
            </w:r>
          </w:p>
        </w:tc>
        <w:tc>
          <w:tcPr>
            <w:tcW w:w="171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广阳区卫生健康局</w:t>
            </w:r>
          </w:p>
        </w:tc>
      </w:tr>
      <w:tr>
        <w:tblPrEx>
          <w:tblCellMar>
            <w:top w:w="0" w:type="dxa"/>
            <w:left w:w="0" w:type="dxa"/>
            <w:bottom w:w="0" w:type="dxa"/>
            <w:right w:w="0" w:type="dxa"/>
          </w:tblCellMar>
        </w:tblPrEx>
        <w:trPr>
          <w:trHeight w:val="285" w:hRule="atLeast"/>
        </w:trPr>
        <w:tc>
          <w:tcPr>
            <w:tcW w:w="8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项目资金（万元）</w:t>
            </w:r>
          </w:p>
        </w:tc>
        <w:tc>
          <w:tcPr>
            <w:tcW w:w="8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年初</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3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5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执行率</w:t>
            </w:r>
          </w:p>
        </w:tc>
        <w:tc>
          <w:tcPr>
            <w:tcW w:w="7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r>
      <w:tr>
        <w:tblPrEx>
          <w:tblCellMar>
            <w:top w:w="0" w:type="dxa"/>
            <w:left w:w="0" w:type="dxa"/>
            <w:bottom w:w="0" w:type="dxa"/>
            <w:right w:w="0" w:type="dxa"/>
          </w:tblCellMar>
        </w:tblPrEx>
        <w:trPr>
          <w:trHeight w:val="285"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执行数</w:t>
            </w:r>
          </w:p>
        </w:tc>
        <w:tc>
          <w:tcPr>
            <w:tcW w:w="3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5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7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315"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年度资金总额</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173</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233.11</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224.06</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96.12%</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r>
      <w:tr>
        <w:tblPrEx>
          <w:tblCellMar>
            <w:top w:w="0" w:type="dxa"/>
            <w:left w:w="0" w:type="dxa"/>
            <w:bottom w:w="0" w:type="dxa"/>
            <w:right w:w="0" w:type="dxa"/>
          </w:tblCellMar>
        </w:tblPrEx>
        <w:trPr>
          <w:trHeight w:val="570"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其中：当年财政拨款</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173</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233.11</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224.06</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96.12%</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315"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上年结转资金</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315"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其他资金</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年度总体目标</w:t>
            </w:r>
          </w:p>
        </w:tc>
        <w:tc>
          <w:tcPr>
            <w:tcW w:w="2379"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预期目标</w:t>
            </w:r>
          </w:p>
        </w:tc>
        <w:tc>
          <w:tcPr>
            <w:tcW w:w="2206"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实际完成情况</w:t>
            </w:r>
          </w:p>
        </w:tc>
      </w:tr>
      <w:tr>
        <w:trPr>
          <w:trHeight w:val="188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379"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目标</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：实施农村计划生育家庭奖励扶助制度，解决农村独生子女和双女家庭的养老问题，提高家庭发展能力。</w:t>
            </w:r>
            <w:r>
              <w:rPr>
                <w:rFonts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目标</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：保障和改善民生，促进社会和谐稳定。</w:t>
            </w:r>
          </w:p>
        </w:tc>
        <w:tc>
          <w:tcPr>
            <w:tcW w:w="2206"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2019</w:t>
            </w:r>
            <w:r>
              <w:rPr>
                <w:rFonts w:hint="eastAsia" w:ascii="仿宋_GB2312" w:hAnsi="宋体" w:eastAsia="仿宋_GB2312" w:cs="仿宋_GB2312"/>
                <w:color w:val="000000"/>
                <w:kern w:val="0"/>
                <w:sz w:val="24"/>
                <w:szCs w:val="24"/>
              </w:rPr>
              <w:t>年全区共有奖扶</w:t>
            </w:r>
            <w:r>
              <w:rPr>
                <w:rFonts w:ascii="仿宋_GB2312" w:hAnsi="宋体" w:eastAsia="仿宋_GB2312" w:cs="仿宋_GB2312"/>
                <w:color w:val="000000"/>
                <w:kern w:val="0"/>
                <w:sz w:val="24"/>
                <w:szCs w:val="24"/>
              </w:rPr>
              <w:t>2420</w:t>
            </w:r>
            <w:r>
              <w:rPr>
                <w:rFonts w:hint="eastAsia" w:ascii="仿宋_GB2312" w:hAnsi="宋体" w:eastAsia="仿宋_GB2312" w:cs="仿宋_GB2312"/>
                <w:color w:val="000000"/>
                <w:kern w:val="0"/>
                <w:sz w:val="24"/>
                <w:szCs w:val="24"/>
              </w:rPr>
              <w:t>人，实际发放扶助金</w:t>
            </w:r>
            <w:r>
              <w:rPr>
                <w:rFonts w:ascii="仿宋_GB2312" w:hAnsi="宋体" w:eastAsia="仿宋_GB2312" w:cs="仿宋_GB2312"/>
                <w:color w:val="000000"/>
                <w:kern w:val="0"/>
                <w:sz w:val="24"/>
                <w:szCs w:val="24"/>
              </w:rPr>
              <w:t>2334</w:t>
            </w:r>
            <w:r>
              <w:rPr>
                <w:rFonts w:hint="eastAsia" w:ascii="仿宋_GB2312" w:hAnsi="宋体" w:eastAsia="仿宋_GB2312" w:cs="仿宋_GB2312"/>
                <w:color w:val="000000"/>
                <w:kern w:val="0"/>
                <w:sz w:val="24"/>
                <w:szCs w:val="24"/>
              </w:rPr>
              <w:t>人，发放率</w:t>
            </w:r>
            <w:r>
              <w:rPr>
                <w:rFonts w:ascii="仿宋_GB2312" w:hAnsi="宋体" w:eastAsia="仿宋_GB2312" w:cs="仿宋_GB2312"/>
                <w:color w:val="000000"/>
                <w:kern w:val="0"/>
                <w:sz w:val="24"/>
                <w:szCs w:val="24"/>
              </w:rPr>
              <w:t>96.45%</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(86</w:t>
            </w:r>
            <w:r>
              <w:rPr>
                <w:rFonts w:hint="eastAsia" w:ascii="仿宋_GB2312" w:hAnsi="宋体" w:eastAsia="仿宋_GB2312" w:cs="仿宋_GB2312"/>
                <w:color w:val="000000"/>
                <w:kern w:val="0"/>
                <w:sz w:val="24"/>
                <w:szCs w:val="24"/>
              </w:rPr>
              <w:t>人未发放原因，其中：死亡</w:t>
            </w:r>
            <w:r>
              <w:rPr>
                <w:rFonts w:ascii="仿宋_GB2312" w:hAnsi="宋体" w:eastAsia="仿宋_GB2312" w:cs="仿宋_GB2312"/>
                <w:color w:val="000000"/>
                <w:kern w:val="0"/>
                <w:sz w:val="24"/>
                <w:szCs w:val="24"/>
              </w:rPr>
              <w:t>7</w:t>
            </w:r>
            <w:r>
              <w:rPr>
                <w:rFonts w:hint="eastAsia" w:ascii="仿宋_GB2312" w:hAnsi="宋体" w:eastAsia="仿宋_GB2312" w:cs="仿宋_GB2312"/>
                <w:color w:val="000000"/>
                <w:kern w:val="0"/>
                <w:sz w:val="24"/>
                <w:szCs w:val="24"/>
              </w:rPr>
              <w:t>人，核查抱养</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人，享受城镇待遇</w:t>
            </w:r>
            <w:r>
              <w:rPr>
                <w:rFonts w:ascii="仿宋_GB2312" w:hAnsi="宋体" w:eastAsia="仿宋_GB2312" w:cs="仿宋_GB2312"/>
                <w:color w:val="000000"/>
                <w:kern w:val="0"/>
                <w:sz w:val="24"/>
                <w:szCs w:val="24"/>
              </w:rPr>
              <w:t>77</w:t>
            </w:r>
            <w:r>
              <w:rPr>
                <w:rFonts w:hint="eastAsia" w:ascii="仿宋_GB2312" w:hAnsi="宋体" w:eastAsia="仿宋_GB2312" w:cs="仿宋_GB2312"/>
                <w:color w:val="000000"/>
                <w:kern w:val="0"/>
                <w:sz w:val="24"/>
                <w:szCs w:val="24"/>
              </w:rPr>
              <w:t>人）。</w:t>
            </w:r>
          </w:p>
        </w:tc>
      </w:tr>
      <w:tr>
        <w:tblPrEx>
          <w:tblCellMar>
            <w:top w:w="0" w:type="dxa"/>
            <w:left w:w="0" w:type="dxa"/>
            <w:bottom w:w="0" w:type="dxa"/>
            <w:right w:w="0"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绩效指标</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一级指标</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二级指标</w:t>
            </w:r>
          </w:p>
        </w:tc>
        <w:tc>
          <w:tcPr>
            <w:tcW w:w="10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三级指标</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w:t>
            </w:r>
          </w:p>
        </w:tc>
        <w:tc>
          <w:tcPr>
            <w:tcW w:w="3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3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c>
          <w:tcPr>
            <w:tcW w:w="115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偏差原因分析及改进措施</w:t>
            </w:r>
          </w:p>
        </w:tc>
      </w:tr>
      <w:tr>
        <w:tblPrEx>
          <w:tblCellMar>
            <w:top w:w="0" w:type="dxa"/>
            <w:left w:w="0" w:type="dxa"/>
            <w:bottom w:w="0" w:type="dxa"/>
            <w:right w:w="0"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指标值</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完成值</w:t>
            </w:r>
          </w:p>
        </w:tc>
        <w:tc>
          <w:tcPr>
            <w:tcW w:w="3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0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产出指标</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指标</w:t>
            </w:r>
            <w:r>
              <w:rPr>
                <w:rStyle w:val="22"/>
                <w:rFonts w:eastAsia="仿宋_GB2312"/>
              </w:rPr>
              <w:t>1</w:t>
            </w:r>
            <w:r>
              <w:rPr>
                <w:rFonts w:ascii="仿宋_GB2312" w:hAnsi="宋体" w:eastAsia="仿宋_GB2312" w:cs="仿宋_GB2312"/>
                <w:color w:val="000000"/>
                <w:kern w:val="0"/>
                <w:sz w:val="22"/>
              </w:rPr>
              <w:t>：奖励扶助人数</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2420</w:t>
            </w:r>
            <w:r>
              <w:rPr>
                <w:rFonts w:hint="eastAsia" w:ascii="宋体" w:hAnsi="宋体" w:eastAsia="宋体" w:cs="宋体"/>
                <w:color w:val="000000"/>
                <w:kern w:val="0"/>
                <w:sz w:val="24"/>
                <w:szCs w:val="24"/>
              </w:rPr>
              <w:t>人</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2334</w:t>
            </w:r>
            <w:r>
              <w:rPr>
                <w:rFonts w:hint="eastAsia" w:ascii="宋体" w:hAnsi="宋体" w:eastAsia="宋体" w:cs="宋体"/>
                <w:color w:val="000000"/>
                <w:kern w:val="0"/>
                <w:sz w:val="24"/>
                <w:szCs w:val="24"/>
              </w:rPr>
              <w:t>人</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86人未发放扶助金，其中：死亡7人，核查抱养2人，有城镇待遇77人。</w:t>
            </w: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质量指标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指标</w:t>
            </w:r>
            <w:r>
              <w:rPr>
                <w:rStyle w:val="22"/>
                <w:rFonts w:eastAsia="仿宋_GB2312"/>
              </w:rPr>
              <w:t>1</w:t>
            </w:r>
            <w:r>
              <w:rPr>
                <w:rFonts w:ascii="仿宋_GB2312" w:hAnsi="宋体" w:eastAsia="仿宋_GB2312" w:cs="仿宋_GB2312"/>
                <w:color w:val="000000"/>
                <w:kern w:val="0"/>
                <w:sz w:val="22"/>
              </w:rPr>
              <w:t>：符合条件覆盖率</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时效指标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指标1：奖励扶助资金到位率</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8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成本指标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1</w:t>
            </w:r>
            <w:r>
              <w:rPr>
                <w:rStyle w:val="23"/>
                <w:rFonts w:hAnsi="宋体"/>
              </w:rPr>
              <w:t>：发放标准</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960元/人/年</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960元/人/年</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效益指标</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经济效益</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1</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60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1</w:t>
            </w:r>
            <w:r>
              <w:rPr>
                <w:rStyle w:val="23"/>
                <w:rFonts w:hAnsi="宋体"/>
              </w:rPr>
              <w:t>：家庭发展能力</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逐步提高 </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逐步提高 </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66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：社会稳定水平</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逐步提高 </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逐步提高 </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生态效益</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1</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可持续影响</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1</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满意度</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服务对象满意度指标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1</w:t>
            </w:r>
            <w:r>
              <w:rPr>
                <w:rStyle w:val="23"/>
                <w:rFonts w:hAnsi="宋体"/>
              </w:rPr>
              <w:t>：服务对象满意度</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3"/>
                <w:rFonts w:hAnsi="宋体"/>
              </w:rPr>
              <w:t>指标</w:t>
            </w:r>
            <w:r>
              <w:rPr>
                <w:rFonts w:ascii="Times New Roman" w:eastAsia="仿宋_GB2312" w:cs="Times New Roman"/>
                <w:color w:val="000000"/>
                <w:kern w:val="0"/>
                <w:sz w:val="24"/>
                <w:szCs w:val="24"/>
              </w:rPr>
              <w:t>2</w:t>
            </w:r>
            <w:r>
              <w:rPr>
                <w:rStyle w:val="23"/>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3104"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总分</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bl>
    <w:p>
      <w:pPr>
        <w:rPr>
          <w:rFonts w:ascii="Times New Roman" w:cs="Times New Roman"/>
          <w:color w:val="000000"/>
        </w:rPr>
      </w:pPr>
    </w:p>
    <w:p>
      <w:pPr>
        <w:pStyle w:val="2"/>
        <w:rPr>
          <w:rFonts w:ascii="Times New Roman" w:cs="Times New Roman"/>
          <w:color w:val="000000"/>
        </w:rPr>
        <w:sectPr>
          <w:headerReference r:id="rId30" w:type="default"/>
          <w:pgSz w:w="11907" w:h="16840"/>
          <w:pgMar w:top="1701" w:right="1418" w:bottom="1281" w:left="1418" w:header="851" w:footer="992" w:gutter="0"/>
          <w:pgNumType w:fmt="numberInDash"/>
          <w:cols w:space="720" w:num="1"/>
          <w:docGrid w:linePitch="312" w:charSpace="0"/>
        </w:sectPr>
      </w:pPr>
    </w:p>
    <w:p>
      <w:pPr>
        <w:pStyle w:val="2"/>
        <w:rPr>
          <w:rFonts w:ascii="Times New Roman" w:cs="Times New Roman"/>
          <w:color w:val="000000"/>
        </w:rPr>
      </w:pPr>
    </w:p>
    <w:tbl>
      <w:tblPr>
        <w:tblStyle w:val="7"/>
        <w:tblW w:w="5452" w:type="pct"/>
        <w:tblInd w:w="-269" w:type="dxa"/>
        <w:tblLayout w:type="autofit"/>
        <w:tblCellMar>
          <w:top w:w="0" w:type="dxa"/>
          <w:left w:w="0" w:type="dxa"/>
          <w:bottom w:w="0" w:type="dxa"/>
          <w:right w:w="0" w:type="dxa"/>
        </w:tblCellMar>
      </w:tblPr>
      <w:tblGrid>
        <w:gridCol w:w="1135"/>
        <w:gridCol w:w="1280"/>
        <w:gridCol w:w="1060"/>
        <w:gridCol w:w="1060"/>
        <w:gridCol w:w="285"/>
        <w:gridCol w:w="775"/>
        <w:gridCol w:w="1060"/>
        <w:gridCol w:w="676"/>
        <w:gridCol w:w="1390"/>
        <w:gridCol w:w="1203"/>
      </w:tblGrid>
      <w:tr>
        <w:tblPrEx>
          <w:tblCellMar>
            <w:top w:w="0" w:type="dxa"/>
            <w:left w:w="0" w:type="dxa"/>
            <w:bottom w:w="0" w:type="dxa"/>
            <w:right w:w="0" w:type="dxa"/>
          </w:tblCellMar>
        </w:tblPrEx>
        <w:trPr>
          <w:trHeight w:val="540" w:hRule="atLeast"/>
        </w:trPr>
        <w:tc>
          <w:tcPr>
            <w:tcW w:w="9924"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项目支出绩效自评表</w:t>
            </w:r>
          </w:p>
        </w:tc>
      </w:tr>
      <w:tr>
        <w:trPr>
          <w:trHeight w:val="285" w:hRule="atLeast"/>
        </w:trPr>
        <w:tc>
          <w:tcPr>
            <w:tcW w:w="9924" w:type="dxa"/>
            <w:gridSpan w:val="10"/>
            <w:tcBorders>
              <w:top w:val="nil"/>
              <w:left w:val="nil"/>
              <w:bottom w:val="nil"/>
              <w:right w:val="nil"/>
            </w:tcBorders>
            <w:noWrap/>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w:t>
            </w:r>
            <w:r>
              <w:rPr>
                <w:rFonts w:ascii="Times New Roman" w:eastAsia="仿宋_GB2312" w:cs="Times New Roman"/>
                <w:color w:val="000000"/>
                <w:kern w:val="0"/>
                <w:sz w:val="24"/>
                <w:szCs w:val="24"/>
              </w:rPr>
              <w:t xml:space="preserve"> 2019   </w:t>
            </w:r>
            <w:r>
              <w:rPr>
                <w:rFonts w:ascii="仿宋_GB2312" w:hAnsi="宋体" w:eastAsia="仿宋_GB2312" w:cs="仿宋_GB2312"/>
                <w:color w:val="000000"/>
                <w:kern w:val="0"/>
                <w:sz w:val="24"/>
                <w:szCs w:val="24"/>
              </w:rPr>
              <w:t>年度）</w:t>
            </w:r>
          </w:p>
        </w:tc>
      </w:tr>
      <w:tr>
        <w:tblPrEx>
          <w:tblCellMar>
            <w:top w:w="0" w:type="dxa"/>
            <w:left w:w="0" w:type="dxa"/>
            <w:bottom w:w="0" w:type="dxa"/>
            <w:right w:w="0" w:type="dxa"/>
          </w:tblCellMar>
        </w:tblPrEx>
        <w:trPr>
          <w:trHeight w:val="400" w:hRule="atLeast"/>
        </w:trPr>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项目名称</w:t>
            </w:r>
          </w:p>
        </w:tc>
        <w:tc>
          <w:tcPr>
            <w:tcW w:w="8789"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医疗应急保障资金</w:t>
            </w:r>
          </w:p>
        </w:tc>
      </w:tr>
      <w:tr>
        <w:tblPrEx>
          <w:tblCellMar>
            <w:top w:w="0" w:type="dxa"/>
            <w:left w:w="0" w:type="dxa"/>
            <w:bottom w:w="0" w:type="dxa"/>
            <w:right w:w="0" w:type="dxa"/>
          </w:tblCellMar>
        </w:tblPrEx>
        <w:trPr>
          <w:trHeight w:val="400" w:hRule="atLeast"/>
        </w:trPr>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主管部门</w:t>
            </w:r>
          </w:p>
        </w:tc>
        <w:tc>
          <w:tcPr>
            <w:tcW w:w="34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r>
              <w:rPr>
                <w:rFonts w:hint="eastAsia" w:ascii="宋体" w:hAnsi="宋体" w:eastAsia="宋体" w:cs="宋体"/>
                <w:color w:val="000000"/>
                <w:kern w:val="0"/>
                <w:sz w:val="20"/>
                <w:szCs w:val="20"/>
              </w:rPr>
              <w:t>广阳区卫生健康局</w:t>
            </w:r>
          </w:p>
        </w:tc>
        <w:tc>
          <w:tcPr>
            <w:tcW w:w="1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实施单位</w:t>
            </w:r>
          </w:p>
        </w:tc>
        <w:tc>
          <w:tcPr>
            <w:tcW w:w="432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广阳区医院</w:t>
            </w:r>
          </w:p>
        </w:tc>
      </w:tr>
      <w:tr>
        <w:tblPrEx>
          <w:tblCellMar>
            <w:top w:w="0" w:type="dxa"/>
            <w:left w:w="0" w:type="dxa"/>
            <w:bottom w:w="0" w:type="dxa"/>
            <w:right w:w="0" w:type="dxa"/>
          </w:tblCellMar>
        </w:tblPrEx>
        <w:trPr>
          <w:trHeight w:val="400" w:hRule="atLeast"/>
        </w:trPr>
        <w:tc>
          <w:tcPr>
            <w:tcW w:w="11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项目资金（万元）</w:t>
            </w:r>
          </w:p>
        </w:tc>
        <w:tc>
          <w:tcPr>
            <w:tcW w:w="12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年初</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全年</w:t>
            </w:r>
          </w:p>
        </w:tc>
        <w:tc>
          <w:tcPr>
            <w:tcW w:w="1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全年</w:t>
            </w:r>
          </w:p>
        </w:tc>
        <w:tc>
          <w:tcPr>
            <w:tcW w:w="10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分值</w:t>
            </w:r>
          </w:p>
        </w:tc>
        <w:tc>
          <w:tcPr>
            <w:tcW w:w="6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执行率</w:t>
            </w:r>
          </w:p>
        </w:tc>
        <w:tc>
          <w:tcPr>
            <w:tcW w:w="259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得分</w:t>
            </w:r>
          </w:p>
        </w:tc>
      </w:tr>
      <w:tr>
        <w:tblPrEx>
          <w:tblCellMar>
            <w:top w:w="0" w:type="dxa"/>
            <w:left w:w="0" w:type="dxa"/>
            <w:bottom w:w="0" w:type="dxa"/>
            <w:right w:w="0" w:type="dxa"/>
          </w:tblCellMar>
        </w:tblPrEx>
        <w:trPr>
          <w:trHeight w:val="40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预算数</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预算数</w:t>
            </w:r>
          </w:p>
        </w:tc>
        <w:tc>
          <w:tcPr>
            <w:tcW w:w="1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执行数</w:t>
            </w:r>
          </w:p>
        </w:tc>
        <w:tc>
          <w:tcPr>
            <w:tcW w:w="10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6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0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年度资金总额</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30</w:t>
            </w:r>
          </w:p>
        </w:tc>
        <w:tc>
          <w:tcPr>
            <w:tcW w:w="1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25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r>
      <w:tr>
        <w:tblPrEx>
          <w:tblCellMar>
            <w:top w:w="0" w:type="dxa"/>
            <w:left w:w="0" w:type="dxa"/>
            <w:bottom w:w="0" w:type="dxa"/>
            <w:right w:w="0" w:type="dxa"/>
          </w:tblCellMar>
        </w:tblPrEx>
        <w:trPr>
          <w:trHeight w:val="40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其中：当年财政拨款</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30</w:t>
            </w:r>
          </w:p>
        </w:tc>
        <w:tc>
          <w:tcPr>
            <w:tcW w:w="1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25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w:t>
            </w:r>
          </w:p>
        </w:tc>
      </w:tr>
      <w:tr>
        <w:tblPrEx>
          <w:tblCellMar>
            <w:top w:w="0" w:type="dxa"/>
            <w:left w:w="0" w:type="dxa"/>
            <w:bottom w:w="0" w:type="dxa"/>
            <w:right w:w="0" w:type="dxa"/>
          </w:tblCellMar>
        </w:tblPrEx>
        <w:trPr>
          <w:trHeight w:val="40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 xml:space="preserve">      </w:t>
            </w:r>
            <w:r>
              <w:rPr>
                <w:rFonts w:ascii="仿宋_GB2312" w:eastAsia="仿宋_GB2312" w:cs="仿宋_GB2312"/>
                <w:color w:val="000000"/>
                <w:kern w:val="0"/>
                <w:sz w:val="20"/>
                <w:szCs w:val="20"/>
              </w:rPr>
              <w:t>上年结转资金</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1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25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w:t>
            </w:r>
          </w:p>
        </w:tc>
      </w:tr>
      <w:tr>
        <w:tblPrEx>
          <w:tblCellMar>
            <w:top w:w="0" w:type="dxa"/>
            <w:left w:w="0" w:type="dxa"/>
            <w:bottom w:w="0" w:type="dxa"/>
            <w:right w:w="0" w:type="dxa"/>
          </w:tblCellMar>
        </w:tblPrEx>
        <w:trPr>
          <w:trHeight w:val="40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 xml:space="preserve">  </w:t>
            </w:r>
            <w:r>
              <w:rPr>
                <w:rFonts w:ascii="仿宋_GB2312" w:eastAsia="仿宋_GB2312" w:cs="仿宋_GB2312"/>
                <w:color w:val="000000"/>
                <w:kern w:val="0"/>
                <w:sz w:val="20"/>
                <w:szCs w:val="20"/>
              </w:rPr>
              <w:t>其他资金</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1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c>
          <w:tcPr>
            <w:tcW w:w="25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w:t>
            </w:r>
          </w:p>
        </w:tc>
      </w:tr>
      <w:tr>
        <w:tblPrEx>
          <w:tblCellMar>
            <w:top w:w="0" w:type="dxa"/>
            <w:left w:w="0" w:type="dxa"/>
            <w:bottom w:w="0" w:type="dxa"/>
            <w:right w:w="0" w:type="dxa"/>
          </w:tblCellMar>
        </w:tblPrEx>
        <w:trPr>
          <w:trHeight w:val="400" w:hRule="atLeast"/>
        </w:trPr>
        <w:tc>
          <w:tcPr>
            <w:tcW w:w="11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年度总体目标</w:t>
            </w:r>
          </w:p>
        </w:tc>
        <w:tc>
          <w:tcPr>
            <w:tcW w:w="44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预期目标</w:t>
            </w:r>
          </w:p>
        </w:tc>
        <w:tc>
          <w:tcPr>
            <w:tcW w:w="432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实际完成情况</w:t>
            </w:r>
          </w:p>
        </w:tc>
      </w:tr>
      <w:tr>
        <w:tblPrEx>
          <w:tblCellMar>
            <w:top w:w="0" w:type="dxa"/>
            <w:left w:w="0" w:type="dxa"/>
            <w:bottom w:w="0" w:type="dxa"/>
            <w:right w:w="0" w:type="dxa"/>
          </w:tblCellMar>
        </w:tblPrEx>
        <w:trPr>
          <w:trHeight w:val="1041"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4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随时为全区党政机关区委区政府开展活动组织会议提供医疗保障和纪委办案中突发医疗事件提供及时的救治、救护，为全区突发医疗公共卫生事件提供医疗应急保障</w:t>
            </w:r>
          </w:p>
        </w:tc>
        <w:tc>
          <w:tcPr>
            <w:tcW w:w="432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我院安排救护车</w:t>
            </w:r>
            <w:r>
              <w:rPr>
                <w:rFonts w:ascii="Times New Roman" w:eastAsia="宋体" w:cs="Times New Roman"/>
                <w:color w:val="000000"/>
                <w:kern w:val="0"/>
                <w:sz w:val="20"/>
                <w:szCs w:val="20"/>
              </w:rPr>
              <w:t>2</w:t>
            </w:r>
            <w:r>
              <w:rPr>
                <w:rFonts w:hint="eastAsia" w:ascii="宋体" w:hAnsi="宋体" w:eastAsia="宋体" w:cs="宋体"/>
                <w:color w:val="000000"/>
                <w:kern w:val="0"/>
                <w:sz w:val="20"/>
                <w:szCs w:val="20"/>
              </w:rPr>
              <w:t>辆，工作人员</w:t>
            </w:r>
            <w:r>
              <w:rPr>
                <w:rFonts w:ascii="Times New Roman" w:eastAsia="宋体" w:cs="Times New Roman"/>
                <w:color w:val="000000"/>
                <w:kern w:val="0"/>
                <w:sz w:val="20"/>
                <w:szCs w:val="20"/>
              </w:rPr>
              <w:t>6</w:t>
            </w:r>
            <w:r>
              <w:rPr>
                <w:rFonts w:hint="eastAsia" w:ascii="宋体" w:hAnsi="宋体" w:eastAsia="宋体" w:cs="宋体"/>
                <w:color w:val="000000"/>
                <w:kern w:val="0"/>
                <w:sz w:val="20"/>
                <w:szCs w:val="20"/>
              </w:rPr>
              <w:t>名，</w:t>
            </w:r>
            <w:r>
              <w:rPr>
                <w:rFonts w:ascii="Times New Roman" w:eastAsia="宋体" w:cs="Times New Roman"/>
                <w:color w:val="000000"/>
                <w:kern w:val="0"/>
                <w:sz w:val="20"/>
                <w:szCs w:val="20"/>
              </w:rPr>
              <w:t>24</w:t>
            </w:r>
            <w:r>
              <w:rPr>
                <w:rFonts w:hint="eastAsia" w:ascii="宋体" w:hAnsi="宋体" w:eastAsia="宋体" w:cs="宋体"/>
                <w:color w:val="000000"/>
                <w:kern w:val="0"/>
                <w:sz w:val="20"/>
                <w:szCs w:val="20"/>
              </w:rPr>
              <w:t>小时待命，随时处理相关的医疗保障及突发重大公共卫生事件。</w:t>
            </w:r>
          </w:p>
        </w:tc>
      </w:tr>
      <w:tr>
        <w:tblPrEx>
          <w:tblCellMar>
            <w:top w:w="0" w:type="dxa"/>
            <w:left w:w="0" w:type="dxa"/>
            <w:bottom w:w="0" w:type="dxa"/>
            <w:right w:w="0" w:type="dxa"/>
          </w:tblCellMar>
        </w:tblPrEx>
        <w:trPr>
          <w:trHeight w:val="270" w:hRule="atLeast"/>
        </w:trPr>
        <w:tc>
          <w:tcPr>
            <w:tcW w:w="11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绩效指标</w:t>
            </w:r>
          </w:p>
        </w:tc>
        <w:tc>
          <w:tcPr>
            <w:tcW w:w="12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一级指标</w:t>
            </w:r>
          </w:p>
        </w:tc>
        <w:tc>
          <w:tcPr>
            <w:tcW w:w="10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二级指标</w:t>
            </w:r>
          </w:p>
        </w:tc>
        <w:tc>
          <w:tcPr>
            <w:tcW w:w="134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三级指标</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w:t>
            </w:r>
          </w:p>
        </w:tc>
        <w:tc>
          <w:tcPr>
            <w:tcW w:w="6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分值</w:t>
            </w:r>
          </w:p>
        </w:tc>
        <w:tc>
          <w:tcPr>
            <w:tcW w:w="1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得分</w:t>
            </w:r>
          </w:p>
        </w:tc>
        <w:tc>
          <w:tcPr>
            <w:tcW w:w="12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偏差原因分析及改进措施</w:t>
            </w:r>
          </w:p>
        </w:tc>
      </w:tr>
      <w:tr>
        <w:tblPrEx>
          <w:tblCellMar>
            <w:top w:w="0" w:type="dxa"/>
            <w:left w:w="0" w:type="dxa"/>
            <w:bottom w:w="0" w:type="dxa"/>
            <w:right w:w="0" w:type="dxa"/>
          </w:tblCellMar>
        </w:tblPrEx>
        <w:trPr>
          <w:trHeight w:val="27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4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指标值</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完成值</w:t>
            </w:r>
          </w:p>
        </w:tc>
        <w:tc>
          <w:tcPr>
            <w:tcW w:w="6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56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产出指标</w:t>
            </w:r>
          </w:p>
        </w:tc>
        <w:tc>
          <w:tcPr>
            <w:tcW w:w="10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数量指标</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配备2辆救护车用于医疗应急保障任务</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r>
      <w:tr>
        <w:tblPrEx>
          <w:tblCellMar>
            <w:top w:w="0" w:type="dxa"/>
            <w:left w:w="0" w:type="dxa"/>
            <w:bottom w:w="0" w:type="dxa"/>
            <w:right w:w="0" w:type="dxa"/>
          </w:tblCellMar>
        </w:tblPrEx>
        <w:trPr>
          <w:trHeight w:val="56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采购相关急救药品完善急救药品种类</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r>
      <w:tr>
        <w:tblPrEx>
          <w:tblCellMar>
            <w:top w:w="0" w:type="dxa"/>
            <w:left w:w="0" w:type="dxa"/>
            <w:bottom w:w="0" w:type="dxa"/>
            <w:right w:w="0" w:type="dxa"/>
          </w:tblCellMar>
        </w:tblPrEx>
        <w:trPr>
          <w:trHeight w:val="56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质量指标</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急救设备合格率</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r>
      <w:tr>
        <w:tblPrEx>
          <w:tblCellMar>
            <w:top w:w="0" w:type="dxa"/>
            <w:left w:w="0" w:type="dxa"/>
            <w:bottom w:w="0" w:type="dxa"/>
            <w:right w:w="0" w:type="dxa"/>
          </w:tblCellMar>
        </w:tblPrEx>
        <w:trPr>
          <w:trHeight w:val="56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医疗应急物资合格率</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r>
      <w:tr>
        <w:tblPrEx>
          <w:tblCellMar>
            <w:top w:w="0" w:type="dxa"/>
            <w:left w:w="0" w:type="dxa"/>
            <w:bottom w:w="0" w:type="dxa"/>
            <w:right w:w="0" w:type="dxa"/>
          </w:tblCellMar>
        </w:tblPrEx>
        <w:trPr>
          <w:trHeight w:val="56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时效指标</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接到任务及时到达现场完成及时率</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15</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15</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r>
      <w:tr>
        <w:tblPrEx>
          <w:tblCellMar>
            <w:top w:w="0" w:type="dxa"/>
            <w:left w:w="0" w:type="dxa"/>
            <w:bottom w:w="0" w:type="dxa"/>
            <w:right w:w="0" w:type="dxa"/>
          </w:tblCellMar>
        </w:tblPrEx>
        <w:trPr>
          <w:trHeight w:val="56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成本指标</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项目实际使用的预算金额</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≤30</w:t>
            </w:r>
            <w:r>
              <w:rPr>
                <w:rFonts w:hint="eastAsia" w:ascii="宋体" w:hAnsi="宋体" w:eastAsia="宋体" w:cs="宋体"/>
                <w:color w:val="000000"/>
                <w:kern w:val="0"/>
                <w:sz w:val="20"/>
                <w:szCs w:val="20"/>
              </w:rPr>
              <w:t>万元</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≤30</w:t>
            </w:r>
            <w:r>
              <w:rPr>
                <w:rFonts w:hint="eastAsia" w:ascii="宋体" w:hAnsi="宋体" w:eastAsia="宋体" w:cs="宋体"/>
                <w:color w:val="000000"/>
                <w:kern w:val="0"/>
                <w:sz w:val="20"/>
                <w:szCs w:val="20"/>
              </w:rPr>
              <w:t>万元</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15</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15</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r>
      <w:tr>
        <w:tblPrEx>
          <w:tblCellMar>
            <w:top w:w="0" w:type="dxa"/>
            <w:left w:w="0" w:type="dxa"/>
            <w:bottom w:w="0" w:type="dxa"/>
            <w:right w:w="0" w:type="dxa"/>
          </w:tblCellMar>
        </w:tblPrEx>
        <w:trPr>
          <w:trHeight w:val="510"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社会效益</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提高社会稳定</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提升</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提升</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15</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15</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r>
      <w:tr>
        <w:tblPrEx>
          <w:tblCellMar>
            <w:top w:w="0" w:type="dxa"/>
            <w:left w:w="0" w:type="dxa"/>
            <w:bottom w:w="0" w:type="dxa"/>
            <w:right w:w="0" w:type="dxa"/>
          </w:tblCellMar>
        </w:tblPrEx>
        <w:trPr>
          <w:trHeight w:val="709" w:hRule="atLeast"/>
        </w:trPr>
        <w:tc>
          <w:tcPr>
            <w:tcW w:w="11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满意度</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服务对象满意度指标</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接受医疗应急保障服务的党政机关及相关人员对服务结果的满意程度</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100%</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15</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15</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0"/>
                <w:szCs w:val="20"/>
              </w:rPr>
            </w:pPr>
          </w:p>
        </w:tc>
      </w:tr>
      <w:tr>
        <w:tblPrEx>
          <w:tblCellMar>
            <w:top w:w="0" w:type="dxa"/>
            <w:left w:w="0" w:type="dxa"/>
            <w:bottom w:w="0" w:type="dxa"/>
            <w:right w:w="0" w:type="dxa"/>
          </w:tblCellMar>
        </w:tblPrEx>
        <w:trPr>
          <w:trHeight w:val="440" w:hRule="atLeast"/>
        </w:trPr>
        <w:tc>
          <w:tcPr>
            <w:tcW w:w="559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总分</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eastAsia="宋体" w:cs="Times New Roman"/>
                <w:color w:val="000000"/>
                <w:sz w:val="24"/>
                <w:szCs w:val="24"/>
              </w:rPr>
            </w:pPr>
          </w:p>
        </w:tc>
        <w:tc>
          <w:tcPr>
            <w:tcW w:w="1203" w:type="dxa"/>
            <w:tcBorders>
              <w:top w:val="single" w:color="000000" w:sz="4" w:space="0"/>
              <w:left w:val="single" w:color="000000" w:sz="4" w:space="0"/>
              <w:bottom w:val="single" w:color="000000" w:sz="4" w:space="0"/>
              <w:right w:val="single" w:color="000000" w:sz="4" w:space="0"/>
            </w:tcBorders>
          </w:tcPr>
          <w:p>
            <w:pPr>
              <w:jc w:val="center"/>
              <w:rPr>
                <w:rFonts w:ascii="Times New Roman" w:eastAsia="宋体" w:cs="Times New Roman"/>
                <w:color w:val="000000"/>
                <w:sz w:val="24"/>
                <w:szCs w:val="24"/>
              </w:rPr>
            </w:pPr>
          </w:p>
        </w:tc>
      </w:tr>
    </w:tbl>
    <w:p>
      <w:pPr>
        <w:rPr>
          <w:color w:val="000000"/>
        </w:rPr>
      </w:pPr>
      <w:r>
        <w:rPr>
          <w:color w:val="000000"/>
        </w:rPr>
        <w:pict>
          <v:rect id="矩形 40" o:spid="_x0000_s1027" o:spt="1" style="position:absolute;left:0pt;margin-left:-70.5pt;margin-top:-85.25pt;height:841.15pt;width:595.1pt;z-index:251676672;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kh/b3AAA&#10;AA8BAAAPAAAAAAAAAAEAIAAAACIAAABkcnMvZG93bnJldi54bWxQSwECFAAUAAAACACHTuJApCCs&#10;ZhoCAAAnBAAADgAAAAAAAAABACAAAAArAQAAZHJzL2Uyb0RvYy54bWxQSwUGAAAAAAYABgBZAQAA&#10;twUAAAAA&#10;">
            <v:path/>
            <v:fill on="t" focussize="0,0"/>
            <v:stroke on="f" joinstyle="round"/>
            <v:imagedata o:title=""/>
            <o:lock v:ext="edit"/>
          </v:rect>
        </w:pict>
      </w:r>
    </w:p>
    <w:sectPr>
      <w:pgSz w:w="11907" w:h="16840"/>
      <w:pgMar w:top="1701" w:right="1418" w:bottom="1281" w:left="141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45" o:spid="_x0000_s2056" o:spt="1" style="position:absolute;left:0pt;margin-left:209.15pt;margin-top:-6pt;height:18.7pt;width:26pt;mso-position-horizontal-relative:margin;mso-wrap-style:none;z-index:251677696;mso-width-relative:page;mso-height-relative:page;" filled="f" stroked="f" coordsize="21600,21600"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O12fZAAAACgEAAA8AAAAAAAAAAQAgAAAAIgAA&#10;AGRycy9kb3ducmV2LnhtbFBLAQIUABQAAAAIAIdO4kCdHKr+BwIAAPcDAAAOAAAAAAAAAAEAIAAA&#10;ACgBAABkcnMvZTJvRG9jLnhtbFBLBQYAAAAABgAGAFkBAAChBQAAAAA=&#10;">
          <v:path/>
          <v:fill on="f" focussize="0,0"/>
          <v:stroke on="f" weight="0.5pt" joinstyle="round"/>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- 45 -</w:t>
                </w:r>
                <w:r>
                  <w:rPr>
                    <w:rFonts w:ascii="Times New Roman" w:cs="Times New Roman"/>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2" o:spid="_x0000_s2099" o:spt="1" style="position:absolute;left:0pt;margin-left:209.6pt;margin-top:-12.95pt;height:14.3pt;width:30.6pt;mso-position-horizontal-relative:margin;z-index:251664384;mso-width-relative:page;mso-height-relative:page;" filled="f" stroked="f" coordsize="21600,21600" o:gfxdata="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wzIbtgAAAAJAQAADwAAAAAAAAABACAAAAAiAAAAZHJz&#10;L2Rvd25yZXYueG1sUEsBAhQAFAAAAAgAh07iQOobA4sEAgAA9wMAAA4AAAAAAAAAAQAgAAAAJwEA&#10;AGRycy9lMm9Eb2MueG1sUEsFBgAAAAAGAAYAWQEAAJ0FAAAAAA==&#10;">
          <v:path/>
          <v:fill on="f" focussize="0,0"/>
          <v:stroke on="f" weight="0.5pt" joinstyle="round"/>
          <v:imagedata o:title=""/>
          <o:lock v:ext="edit"/>
          <v:textbox inset="0mm,0mm,0mm,0mm">
            <w:txbxContent>
              <w:p>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- 12 -</w:t>
                </w:r>
                <w:r>
                  <w:rPr>
                    <w:rFonts w:ascii="Times New Roman" w:cs="Times New Roman"/>
                    <w:sz w:val="24"/>
                    <w:szCs w:val="24"/>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3" o:spid="_x0000_s2107" o:spt="1" style="position:absolute;left:0pt;margin-left:206.55pt;margin-top:-22.45pt;height:35.15pt;width:34pt;mso-position-horizontal-relative:margin;z-index:251661312;mso-width-relative:page;mso-height-relative:page;" filled="f" stroked="f" coordsize="21600,21600" o:gfxdata="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&#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OD3n2AAAAAoBAAAPAAAAAAAAAAEAIAAAACIAAABk&#10;cnMvZG93bnJldi54bWxQSwECFAAUAAAACACHTuJARK2KTgYCAAD3AwAADgAAAAAAAAABACAAAAAn&#10;AQAAZHJzL2Uyb0RvYy54bWxQSwUGAAAAAAYABgBZAQAAnwUAAAAA&#10;">
          <v:path/>
          <v:fill on="f" focussize="0,0"/>
          <v:stroke on="f" weight="0.5pt" joinstyle="round"/>
          <v:imagedata o:title=""/>
          <o:lock v:ext="edit"/>
          <v:textbox inset="0mm,0mm,0mm,0mm">
            <w:txbxContent>
              <w:p>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- 6 -</w:t>
                </w:r>
                <w:r>
                  <w:rPr>
                    <w:rFonts w:ascii="Times New Roman" w:cs="Times New Roman"/>
                    <w:sz w:val="24"/>
                    <w:szCs w:val="24"/>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5" o:spid="_x0000_s2076" o:spt="1" style="position:absolute;left:0pt;margin-left:209.15pt;margin-top:-6pt;height:18.7pt;width:26pt;mso-position-horizontal-relative:margin;mso-wrap-style:none;z-index:251671552;mso-width-relative:page;mso-height-relative:page;" filled="f" stroked="f" coordsize="21600,21600"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&#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07XZ9kAAAAKAQAADwAAAAAAAAABACAAAAAiAAAA&#10;ZHJzL2Rvd25yZXYueG1sUEsBAhQAFAAAAAgAh07iQBB0b/UGAgAA9gMAAA4AAAAAAAAAAQAgAAAA&#10;KAEAAGRycy9lMm9Eb2MueG1sUEsFBgAAAAAGAAYAWQEAAKAFAAAAAA==&#10;">
          <v:path/>
          <v:fill on="f" focussize="0,0"/>
          <v:stroke on="f" weight="0.5pt" joinstyle="round"/>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- 17 -</w:t>
                </w:r>
                <w:r>
                  <w:rPr>
                    <w:rFonts w:ascii="Times New Roman" w:cs="Times New Roman"/>
                    <w:sz w:val="24"/>
                    <w:szCs w:val="24"/>
                  </w:rP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14" o:spid="_x0000_s2084" o:spt="1" style="position:absolute;left:0pt;margin-left:205.45pt;margin-top:-18.75pt;height:31.45pt;width:30.15pt;mso-position-horizontal-relative:margin;z-index:251669504;mso-width-relative:page;mso-height-relative:page;" filled="f" stroked="f" coordsize="21600,21600" o:gfxdata="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D2aQ2QAAAAoBAAAPAAAAAAAAAAEAIAAAACIA&#10;AABkcnMvZG93bnJldi54bWxQSwECFAAUAAAACACHTuJAFmBLhwgCAAD5AwAADgAAAAAAAAABACAA&#10;AAAoAQAAZHJzL2Uyb0RvYy54bWxQSwUGAAAAAAYABgBZAQAAogUAAAAA&#10;">
          <v:path/>
          <v:fill on="f" focussize="0,0"/>
          <v:stroke on="f" weight="0.5pt" joinstyle="round"/>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- 13 -</w:t>
                </w:r>
                <w:r>
                  <w:rPr>
                    <w:rFonts w:ascii="Times New Roman" w:cs="Times New Roman"/>
                    <w:sz w:val="24"/>
                    <w:szCs w:val="24"/>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12" o:spid="_x0000_s2112" o:spt="203" style="position:absolute;left:0pt;margin-top:29.75pt;height:32.05pt;width:157.55pt;mso-position-horizontal:left;mso-position-horizontal-relative:page;mso-position-vertical-relative:page;z-index:251659264;mso-width-relative:page;mso-height-relative:page;" coordsize="2000885,407035203"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Fi9FBvXAAAABwEAAA8AAAAAAAAAAQAgAAAAIgAAAGRycy9kb3ducmV2LnhtbFBLAQIUABQAAAAI&#10;AIdO4kBfSkPQ0gIAALsHAAAOAAAAAAAAAAEAIAAAACYBAABkcnMvZTJvRG9jLnhtbFBLBQYAAAAA&#10;BgAGAFkBAABqBgAAAAA=&#10;">
          <o:lock v:ext="edit"/>
          <v:rect id="_x0000_s2114" o:spid="_x0000_s2114" o:spt="1" style="position:absolute;left:40640;top:0;height:407035;width:1960245;"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path/>
            <v:fill on="f" focussize="0,0"/>
            <v:stroke on="f"/>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_x0000_s2113" o:spid="_x0000_s2113" o:spt="1" style="position:absolute;left:0;top:103505;height:209550;width:75565;"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path/>
            <v:fill on="t" focussize="0,0"/>
            <v:stroke on="f"/>
            <v:imagedata o:title=""/>
            <o:lock v:ext="edit"/>
          </v:rect>
        </v:group>
      </w:pict>
    </w:r>
    <w:r>
      <w:pict>
        <v:group id="_x0000_s2108" o:spid="_x0000_s2108" o:spt="203" style="position:absolute;left:0pt;height:58.95pt;width:596.5pt;mso-position-horizontal:center;mso-position-horizontal-relative:page;mso-position-vertical:bottom;z-index:251660288;mso-width-relative:page;mso-height-relative:page;" coordsize="7575550,748665203" o:gfxdata="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ru15dNYAAAAGAQAADwAAAAAAAAABACAAAAAiAAAAZHJzL2Rvd25yZXYueG1sUEsBAhQAFAAA&#10;AAgAh07iQL9apYHyAwAAYw4AAA4AAAAAAAAAAQAgAAAAJQEAAGRycy9lMm9Eb2MueG1sUEsFBgAA&#10;AAAGAAYAWQEAAIkHAAAAAA==&#10;">
          <o:lock v:ext="edit"/>
          <v:rect id="_x0000_s2111" o:spid="_x0000_s2111" o:spt="1" style="position:absolute;left:0;top:655954;height:92710;width:7572375;" fillcolor="#FFD966" filled="t" stroked="f" coordsize="21600,21600" o:gfxdata="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noKS8AAAA&#10;2wAAAA8AAAAAAAAAAQAgAAAAIgAAAGRycy9kb3ducmV2LnhtbFBLAQIUABQAAAAIAIdO4kAzLwWe&#10;OwAAADkAAAAQAAAAAAAAAAEAIAAAAAsBAABkcnMvc2hhcGV4bWwueG1sUEsFBgAAAAAGAAYAWwEA&#10;ALUDAAAAAA==&#10;">
            <v:path/>
            <v:fill on="t" focussize="0,0"/>
            <v:stroke on="f"/>
            <v:imagedata o:title=""/>
            <o:lock v:ext="edit"/>
          </v:rect>
          <v:shape id="曲线 12" o:spid="_x0000_s2110" o:spt="100" style="position:absolute;left:5902325;top:114935;height:547370;width:1663065;" fillcolor="#000000" filled="t" stroked="f" coordsize="21600,21600" o:gfxdata="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bqz37UAAADbAAAADwAA&#10;AAAAAAABACAAAAAiAAAAZHJzL2Rvd25yZXYueG1sUEsBAhQAFAAAAAgAh07iQDMvBZ47AAAAOQAA&#10;ABAAAAAAAAAAAQAgAAAABAEAAGRycy9zaGFwZXhtbC54bWxQSwUGAAAAAAYABgBbAQAArgMAAAAA&#10;" adj=",," path="m4909,25l21600,0,21600,21600,0,21600,4909,25,4909,25xe">
            <v:path o:connecttype="segments"/>
            <v:fill on="t" focussize="0,0"/>
            <v:stroke on="f" joinstyle="miter"/>
            <v:imagedata o:title=""/>
            <o:lock v:ext="edit"/>
          </v:shape>
          <v:shape id="曲线 13" o:spid="_x0000_s2109" o:spt="100" style="position:absolute;left:6087110;top:0;height:703580;width:1488440;" fillcolor="#FFD966" filled="t" stroked="f" coordsize="21600,21600" o:gfxdata="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GO8rsAAADb&#10;AAAADwAAAAAAAAABACAAAAAiAAAAZHJzL2Rvd25yZXYueG1sUEsBAhQAFAAAAAgAh07iQDMvBZ47&#10;AAAAOQAAABAAAAAAAAAAAQAgAAAACgEAAGRycy9zaGFwZXhtbC54bWxQSwUGAAAAAAYABgBbAQAA&#10;tAMAAAAA&#10;" adj=",," path="m5510,0l21600,155,21600,21600,0,21600,5510,0,5510,0xe">
            <v:path o:connecttype="segments"/>
            <v:fill on="t" focussize="0,0"/>
            <v:stroke on="f"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0" o:spid="_x0000_s2080" o:spt="203" style="position:absolute;left:0pt;margin-left:0pt;margin-top:43.3pt;height:37.85pt;width:594.85pt;mso-position-horizontal-relative:page;z-index:251670528;mso-width-relative:page;mso-height-relative:page;" coordsize="7554593,480695203" o:gfxdata="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HSju&#10;3tkAAAAIAQAADwAAAAAAAAABACAAAAAiAAAAZHJzL2Rvd25yZXYueG1sUEsBAhQAFAAAAAgAh07i&#10;QCIsp4/pAwAAZw4AAA4AAAAAAAAAAQAgAAAAKAEAAGRycy9lMm9Eb2MueG1sUEsFBgAAAAAGAAYA&#10;WQEAAIMHAAAAAA==&#10;">
          <o:lock v:ext="edit"/>
          <v:rect id="_x0000_s2083" o:spid="_x0000_s2083" o:spt="1" style="position:absolute;left:0;top:421640;height:59055;width:7551418;" fillcolor="#FFD966" filled="t" stroked="f" coordsize="21600,21600" o:gfxdata="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ndvOvQAA&#10;ANwAAAAPAAAAAAAAAAEAIAAAACIAAABkcnMvZG93bnJldi54bWxQSwECFAAUAAAACACHTuJAMy8F&#10;njsAAAA5AAAAEAAAAAAAAAABACAAAAAMAQAAZHJzL3NoYXBleG1sLnhtbFBLBQYAAAAABgAGAFsB&#10;AAC2AwAAAAA=&#10;">
            <v:path/>
            <v:fill on="t" focussize="0,0"/>
            <v:stroke on="f"/>
            <v:imagedata o:title=""/>
            <o:lock v:ext="edit"/>
          </v:rect>
          <v:shape id="曲线 132" o:spid="_x0000_s2082" o:spt="100" style="position:absolute;left:5886308;top:74295;height:351155;width:1658124;" fillcolor="#000000" filled="t" stroked="f" coordsize="21600,21600" o:gfxdata="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Jh/Z22AAAA3AAAAA8A&#10;AAAAAAAAAQAgAAAAIgAAAGRycy9kb3ducmV2LnhtbFBLAQIUABQAAAAIAIdO4kAzLwWeOwAAADkA&#10;AAAQAAAAAAAAAAEAIAAAAAUBAABkcnMvc2hhcGV4bWwueG1sUEsFBgAAAAAGAAYAWwEAAK8DAAAA&#10;AA==&#10;" adj=",," path="m4905,0l21600,0,21600,21600,0,21600,4905,0,4905,0xe">
            <v:path o:connecttype="segments"/>
            <v:fill on="t" focussize="0,0"/>
            <v:stroke on="f" joinstyle="miter"/>
            <v:imagedata o:title=""/>
            <o:lock v:ext="edit"/>
          </v:shape>
          <v:shape id="曲线 133" o:spid="_x0000_s2081" o:spt="100" style="position:absolute;left:6069838;top:0;height:451485;width:1484754;" fillcolor="#FFD966" filled="t" stroked="f" coordsize="21600,21600" o:gfxdata="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hTcgugAAANwA&#10;AAAPAAAAAAAAAAEAIAAAACIAAABkcnMvZG93bnJldi54bWxQSwECFAAUAAAACACHTuJAMy8FnjsA&#10;AAA5AAAAEAAAAAAAAAABACAAAAAJAQAAZHJzL3NoYXBleG1sLnhtbFBLBQYAAAAABgAGAFsBAACz&#10;AwAAAAA=&#10;" adj=",," path="m5506,0l21600,151,21600,21600,0,21600,5506,0,5506,0xe">
            <v:path o:connecttype="segments"/>
            <v:fill on="t" focussize="0,0"/>
            <v:stroke on="f" joinstyle="miter"/>
            <v:imagedata o:title=""/>
            <o:lock v:ext="edit"/>
          </v:shape>
        </v:group>
      </w:pict>
    </w:r>
    <w:r>
      <w:pict>
        <v:group id="_x0000_s2077" o:spid="_x0000_s2077" o:spt="203" style="position:absolute;left:0pt;margin-left:-2.1pt;margin-top:47.15pt;height:32.05pt;width:235.65pt;mso-position-horizontal-relative:page;mso-position-vertical-relative:page;z-index:251670528;mso-width-relative:page;mso-height-relative:page;" coordsize="2993070,407035203" o:gfxdata="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W6CB42gAAAAkBAAAPAAAAAAAAAAEAIAAAACIAAABkcnMvZG93bnJldi54bWxQSwEC&#10;FAAUAAAACACHTuJA3vjZsNYCAADGBwAADgAAAAAAAAABACAAAAApAQAAZHJzL2Uyb0RvYy54bWxQ&#10;SwUGAAAAAAYABgBZAQAAcQYAAAAA&#10;">
          <o:lock v:ext="edit"/>
          <v:rect id="文本框 140" o:spid="_x0000_s2079" o:spt="1" style="position:absolute;left:59696;top:0;height:407035;width:2933374;" filled="f" stroked="f" coordsize="21600,21600" o:gfxdata="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GJV+/&#10;AAAA3AAAAA8AAAAAAAAAAQAgAAAAIgAAAGRycy9kb3ducmV2LnhtbFBLAQIUABQAAAAIAIdO4kAz&#10;LwWeOwAAADkAAAAQAAAAAAAAAAEAIAAAAA4BAABkcnMvc2hhcGV4bWwueG1sUEsFBgAAAAAGAAYA&#10;WwEAALgDAAAAAA==&#10;">
            <v:path/>
            <v:fill on="f" focussize="0,0"/>
            <v:stroke on="f"/>
            <v:imagedata o:title=""/>
            <o:lock v:ext="edit"/>
            <v:textbox>
              <w:txbxContent>
                <w:p>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rect>
          <v:rect id="_x0000_s2078" o:spid="_x0000_s2078" o:spt="1" style="position:absolute;left:0;top:104139;height:209550;width:113041;"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path/>
            <v:fill on="t" focussize="0,0"/>
            <v:stroke on="f"/>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9" o:spid="_x0000_s2089" o:spt="203" style="position:absolute;left:0pt;margin-top:29.75pt;height:32.05pt;width:157.55pt;mso-position-horizontal:left;mso-position-horizontal-relative:page;mso-position-vertical-relative:page;z-index:251667456;mso-width-relative:page;mso-height-relative:page;" coordsize="2000885,407035203"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WL0UG9cAAAAHAQAADwAAAAAAAAABACAAAAAiAAAAZHJzL2Rvd25yZXYueG1sUEsBAhQA&#10;FAAAAAgAh07iQIf+45nXAgAAxQcAAA4AAAAAAAAAAQAgAAAAJgEAAGRycy9lMm9Eb2MueG1sUEsF&#10;BgAAAAAGAAYAWQEAAG8GAAAAAA==&#10;">
          <o:lock v:ext="edit"/>
          <v:rect id="文本框 148" o:spid="_x0000_s2091" o:spt="1" style="position:absolute;left:40640;top:0;height:407035;width:1960245;" filled="f" stroked="f" coordsize="21600,21600" o:gfxdata="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wKVm/&#10;AAAA3AAAAA8AAAAAAAAAAQAgAAAAIgAAAGRycy9kb3ducmV2LnhtbFBLAQIUABQAAAAIAIdO4kAz&#10;LwWeOwAAADkAAAAQAAAAAAAAAAEAIAAAAA4BAABkcnMvc2hhcGV4bWwueG1sUEsFBgAAAAAGAAYA&#10;WwEAALgDAAAAAA==&#10;">
            <v:path/>
            <v:fill on="f" focussize="0,0"/>
            <v:stroke on="f"/>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_x0000_s2090" o:spid="_x0000_s2090" o:spt="1" style="position:absolute;left:0;top:103505;height:209550;width:75565;" fillcolor="#000000" filled="t" stroked="f" coordsize="21600,2160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v:path/>
            <v:fill on="t" focussize="0,0"/>
            <v:stroke on="f"/>
            <v:imagedata o:title=""/>
            <o:lock v:ext="edit"/>
          </v:rect>
        </v:group>
      </w:pict>
    </w:r>
    <w:r>
      <w:pict>
        <v:group id="_x0000_s2085" o:spid="_x0000_s2085" o:spt="203" style="position:absolute;left:0pt;height:58.95pt;width:596.5pt;mso-position-horizontal:center;mso-position-horizontal-relative:page;mso-position-vertical:bottom;z-index:251668480;mso-width-relative:page;mso-height-relative:page;" coordsize="7575550,748665203" o:gfxdata="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ru15dNYAAAAGAQAADwAAAAAAAAABACAAAAAiAAAAZHJzL2Rvd25yZXYueG1sUEsBAhQAFAAAAAgA&#10;h07iQIcDd/XvAwAAaw4AAA4AAAAAAAAAAQAgAAAAJQEAAGRycy9lMm9Eb2MueG1sUEsFBgAAAAAG&#10;AAYAWQEAAIYHAAAAAA==&#10;">
          <o:lock v:ext="edit"/>
          <v:rect id="_x0000_s2088" o:spid="_x0000_s2088" o:spt="1" style="position:absolute;left:0;top:655954;height:92710;width:7572375;" fillcolor="#FFD966" filled="t" stroked="f" coordsize="21600,21600" o:gfxdata="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umGrsAAADc&#10;AAAADwAAAAAAAAABACAAAAAiAAAAZHJzL2Rvd25yZXYueG1sUEsBAhQAFAAAAAgAh07iQDMvBZ47&#10;AAAAOQAAABAAAAAAAAAAAQAgAAAACgEAAGRycy9zaGFwZXhtbC54bWxQSwUGAAAAAAYABgBbAQAA&#10;tAMAAAAA&#10;">
            <v:path/>
            <v:fill on="t" focussize="0,0"/>
            <v:stroke on="f"/>
            <v:imagedata o:title=""/>
            <o:lock v:ext="edit"/>
          </v:rect>
          <v:shape id="曲线 157" o:spid="_x0000_s2087" o:spt="100" style="position:absolute;left:5902325;top:114935;height:547370;width:1663065;" fillcolor="#000000" filled="t" stroked="f" coordsize="21600,21600" o:gfxdata="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Ju6W2AAAA3AAAAA8A&#10;AAAAAAAAAQAgAAAAIgAAAGRycy9kb3ducmV2LnhtbFBLAQIUABQAAAAIAIdO4kAzLwWeOwAAADkA&#10;AAAQAAAAAAAAAAEAIAAAAAUBAABkcnMvc2hhcGV4bWwueG1sUEsFBgAAAAAGAAYAWwEAAK8DAAAA&#10;AA==&#10;" adj=",," path="m4909,25l21600,0,21600,21600,0,21600,4909,25,4909,25xe">
            <v:path o:connecttype="segments"/>
            <v:fill on="t" focussize="0,0"/>
            <v:stroke on="f" joinstyle="miter"/>
            <v:imagedata o:title=""/>
            <o:lock v:ext="edit"/>
          </v:shape>
          <v:shape id="曲线 158" o:spid="_x0000_s2086" o:spt="100" style="position:absolute;left:6087110;top:0;height:703580;width:1488440;" fillcolor="#FFD966" filled="t" stroked="f" coordsize="21600,21600" o:gfxdata="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5A8b4A&#10;AADcAAAADwAAAAAAAAABACAAAAAiAAAAZHJzL2Rvd25yZXYueG1sUEsBAhQAFAAAAAgAh07iQDMv&#10;BZ47AAAAOQAAABAAAAAAAAAAAQAgAAAADQEAAGRycy9zaGFwZXhtbC54bWxQSwUGAAAAAAYABgBb&#10;AQAAtwMAAAAA&#10;" adj=",," path="m5510,0l21600,155,21600,21600,0,21600,5510,0,5510,0xe">
            <v:path o:connecttype="segments"/>
            <v:fill on="t" focussize="0,0"/>
            <v:stroke on="f"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2" o:spid="_x0000_s2072" o:spt="203" style="position:absolute;left:0pt;margin-left:-2.15pt;margin-top:59pt;height:32.8pt;width:596.8pt;mso-position-horizontal-relative:page;z-index:251672576;mso-width-relative:page;mso-height-relative:page;" coordsize="7579360,416560203" o:gfxdata="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A3bH462gAAAAsBAAAPAAAAAAAAAAEAIAAAACIAAABkcnMvZG93bnJldi54&#10;bWxQSwECFAAUAAAACACHTuJA1d6iIPkDAABnDgAADgAAAAAAAAABACAAAAApAQAAZHJzL2Uyb0Rv&#10;Yy54bWxQSwUGAAAAAAYABgBZAQAAlAcAAAAA&#10;">
          <o:lock v:ext="edit"/>
          <v:rect id="_x0000_s2075" o:spid="_x0000_s2075" o:spt="1" style="position:absolute;left:0;top:365124;height:51435;width:7550784;" fillcolor="#FFD966" filled="t" stroked="f" coordsize="21600,21600" o:gfxdata="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GQNvQAA&#10;ANwAAAAPAAAAAAAAAAEAIAAAACIAAABkcnMvZG93bnJldi54bWxQSwECFAAUAAAACACHTuJAMy8F&#10;njsAAAA5AAAAEAAAAAAAAAABACAAAAAMAQAAZHJzL3NoYXBleG1sLnhtbFBLBQYAAAAABgAGAFsB&#10;AAC2AwAAAAA=&#10;">
            <v:path/>
            <v:fill on="t" focussize="0,0"/>
            <v:stroke on="f"/>
            <v:imagedata o:title=""/>
            <o:lock v:ext="edit"/>
          </v:rect>
          <v:shape id="曲线 176" o:spid="_x0000_s2074" o:spt="100" style="position:absolute;left:5885815;top:64134;height:304165;width:1657984;" fillcolor="#000000" filled="t" stroked="f" coordsize="21600,21600" o:gfxdata="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swQl62AAAA3AAAAA8A&#10;AAAAAAAAAQAgAAAAIgAAAGRycy9kb3ducmV2LnhtbFBLAQIUABQAAAAIAIdO4kAzLwWeOwAAADkA&#10;AAAQAAAAAAAAAAEAIAAAAAUBAABkcnMvc2hhcGV4bWwueG1sUEsFBgAAAAAGAAYAWwEAAK8DAAAA&#10;AA==&#10;" adj=",," path="m4905,0l21600,0,21600,21599,0,21599,4905,0,4905,0xe">
            <v:path o:connecttype="segments"/>
            <v:fill on="t" focussize="0,0"/>
            <v:stroke on="f" joinstyle="miter"/>
            <v:imagedata o:title=""/>
            <o:lock v:ext="edit"/>
          </v:shape>
          <v:shape id="曲线 177" o:spid="_x0000_s2073" o:spt="100" style="position:absolute;left:6069330;top:0;height:390525;width:1510029;" fillcolor="#FFD966" filled="t" stroked="f" coordsize="21600,21600" o:gfxdata="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SI47sAAADc&#10;AAAADwAAAAAAAAABACAAAAAiAAAAZHJzL2Rvd25yZXYueG1sUEsBAhQAFAAAAAgAh07iQDMvBZ47&#10;AAAAOQAAABAAAAAAAAAAAQAgAAAACgEAAGRycy9zaGFwZXhtbC54bWxQSwUGAAAAAAYABgBbAQAA&#10;tAMAAAAA&#10;" adj=",," path="m5504,0l21600,140,21600,21599,0,21599,5504,0,5504,0xe">
            <v:path o:connecttype="segments"/>
            <v:fill on="t" focussize="0,0"/>
            <v:stroke on="f" joinstyle="miter"/>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2.5pt;margin-top:28.75pt;height:35.2pt;width:594.85pt;mso-position-horizontal-relative:page;z-index:251676672;mso-width-relative:page;mso-height-relative:page;" coordsize="7554593,447040203" o:gfxdata="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KXsxXTZAAAACQEAAA8AAAAAAAAAAQAgAAAAIgAAAGRycy9kb3ducmV2&#10;LnhtbFBLAQIUABQAAAAIAIdO4kAAyzWN/AMAAGcOAAAOAAAAAAAAAAEAIAAAACgBAABkcnMvZTJv&#10;RG9jLnhtbFBLBQYAAAAABgAGAFkBAACWBwAAAAA=&#10;">
          <o:lock v:ext="edit"/>
          <v:rect id="_x0000_s2063" o:spid="_x0000_s2063" o:spt="1" style="position:absolute;left:0;top:391794;height:55245;width:7551418;" fillcolor="#FFD966" filled="t" stroked="f" coordsize="21600,21600" o:gfxdata="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nbLsAAADc&#10;AAAADwAAAAAAAAABACAAAAAiAAAAZHJzL2Rvd25yZXYueG1sUEsBAhQAFAAAAAgAh07iQDMvBZ47&#10;AAAAOQAAABAAAAAAAAAAAQAgAAAACgEAAGRycy9zaGFwZXhtbC54bWxQSwUGAAAAAAYABgBbAQAA&#10;tAMAAAAA&#10;">
            <v:path/>
            <v:fill on="t" focussize="0,0"/>
            <v:stroke on="f"/>
            <v:imagedata o:title=""/>
            <o:lock v:ext="edit"/>
          </v:rect>
          <v:shape id="曲线 195" o:spid="_x0000_s2062" o:spt="100" style="position:absolute;left:5886308;top:68580;height:327025;width:1658124;" fillcolor="#000000" filled="t" stroked="f" coordsize="21600,21600" o:gfxdata="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vuOtO2AAAA3AAAAA8A&#10;AAAAAAAAAQAgAAAAIgAAAGRycy9kb3ducmV2LnhtbFBLAQIUABQAAAAIAIdO4kAzLwWeOwAAADkA&#10;AAAQAAAAAAAAAAEAIAAAAAUBAABkcnMvc2hhcGV4bWwueG1sUEsFBgAAAAAGAAYAWwEAAK8DAAAA&#10;AA==&#10;" adj=",," path="m4905,0l21600,0,21600,21599,0,21599,4905,0,4905,0xe">
            <v:path o:connecttype="segments"/>
            <v:fill on="t" focussize="0,0"/>
            <v:stroke on="f" joinstyle="miter"/>
            <v:imagedata o:title=""/>
            <o:lock v:ext="edit"/>
          </v:shape>
          <v:shape id="曲线 196" o:spid="_x0000_s2061" o:spt="100" style="position:absolute;left:6069838;top:0;height:420370;width:1484754;" fillcolor="#FFD966" filled="t" stroked="f" coordsize="21600,21600" o:gfxdata="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lMuCugAAANwA&#10;AAAPAAAAAAAAAAEAIAAAACIAAABkcnMvZG93bnJldi54bWxQSwECFAAUAAAACACHTuJAMy8FnjsA&#10;AAA5AAAAEAAAAAAAAAABACAAAAAJAQAAZHJzL3NoYXBleG1sLnhtbFBLBQYAAAAABgAGAFsBAACz&#10;AwAAAAA=&#10;" adj=",," path="m5506,0l21600,163,21600,21599,0,21599,5506,0,5506,0xe">
            <v:path o:connecttype="segments"/>
            <v:fill on="t" focussize="0,0"/>
            <v:stroke on="f" joinstyle="miter"/>
            <v:imagedata o:title=""/>
            <o:lock v:ext="edit"/>
          </v:shape>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7" o:spid="_x0000_s2067" o:spt="203" style="position:absolute;left:0pt;margin-left:0.75pt;margin-top:24.2pt;height:38pt;width:596.5pt;mso-position-horizontal-relative:page;z-index:251674624;mso-width-relative:page;mso-height-relative:page;" coordsize="7575550,482600203" o:gfxdata="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ARH/7D2AAAAAkBAAAPAAAAAAAAAAEAIAAAACIAAABkcnMvZG93bnJldi54bWxQSwEC&#10;FAAUAAAACACHTuJA+4dqdPUDAABnDgAADgAAAAAAAAABACAAAAAnAQAAZHJzL2Uyb0RvYy54bWxQ&#10;SwUGAAAAAAYABgBZAQAAjgcAAAAA&#10;">
          <o:lock v:ext="edit"/>
          <v:rect id="_x0000_s2070" o:spid="_x0000_s2070" o:spt="1" style="position:absolute;left:0;top:422910;height:59689;width:7572375;" fillcolor="#FFD966" filled="t" stroked="f" coordsize="21600,21600" o:gfxdata="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N5tK/&#10;AAAA3AAAAA8AAAAAAAAAAQAgAAAAIgAAAGRycy9kb3ducmV2LnhtbFBLAQIUABQAAAAIAIdO4kAz&#10;LwWeOwAAADkAAAAQAAAAAAAAAAEAIAAAAA4BAABkcnMvc2hhcGV4bWwueG1sUEsFBgAAAAAGAAYA&#10;WwEAALgDAAAAAA==&#10;">
            <v:path/>
            <v:fill on="t" focussize="0,0"/>
            <v:stroke on="f"/>
            <v:imagedata o:title=""/>
            <o:lock v:ext="edit"/>
          </v:rect>
          <v:shape id="曲线 212" o:spid="_x0000_s2069" o:spt="100" style="position:absolute;left:5902325;top:73660;height:353059;width:1663065;" fillcolor="#000000" filled="t" stroked="f" coordsize="21600,21600" o:gfxdata="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xwIG8AAAA&#10;3AAAAA8AAAAAAAAAAQAgAAAAIgAAAGRycy9kb3ducmV2LnhtbFBLAQIUABQAAAAIAIdO4kAzLwWe&#10;OwAAADkAAAAQAAAAAAAAAAEAIAAAAAsBAABkcnMvc2hhcGV4bWwueG1sUEsFBgAAAAAGAAYAWwEA&#10;ALUDAAAAAA==&#10;" adj=",," path="m4909,0l21600,0,21600,21600,0,21600,4909,0,4909,0xe">
            <v:path o:connecttype="segments"/>
            <v:fill on="t" focussize="0,0"/>
            <v:stroke on="f" joinstyle="miter"/>
            <v:imagedata o:title=""/>
            <o:lock v:ext="edit"/>
          </v:shape>
          <v:shape id="曲线 213" o:spid="_x0000_s2068" o:spt="100" style="position:absolute;left:6087110;top:0;height:454025;width:1488440;" fillcolor="#FFD966" filled="t" stroked="f" coordsize="21600,21600" o:gfxdata="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UKPL4A&#10;AADcAAAADwAAAAAAAAABACAAAAAiAAAAZHJzL2Rvd25yZXYueG1sUEsBAhQAFAAAAAgAh07iQDMv&#10;BZ47AAAAOQAAABAAAAAAAAAAAQAgAAAADQEAAGRycy9zaGFwZXhtbC54bWxQSwUGAAAAAAYABgBb&#10;AQAAtwMAAAAA&#10;" adj=",," path="m5510,0l21600,151,21600,21600,0,21600,5510,0,5510,0xe">
            <v:path o:connecttype="segments"/>
            <v:fill on="t" focussize="0,0"/>
            <v:stroke on="f" joinstyle="miter"/>
            <v:imagedata o:title=""/>
            <o:lock v:ext="edit"/>
          </v:shape>
        </v:group>
      </w:pict>
    </w:r>
    <w:r>
      <w:pict>
        <v:group id="_x0000_s2064" o:spid="_x0000_s2064" o:spt="203" style="position:absolute;left:0pt;margin-top:29.75pt;height:32.05pt;width:254.35pt;mso-position-horizontal:left;mso-position-horizontal-relative:page;mso-position-vertical-relative:page;z-index:251675648;mso-width-relative:page;mso-height-relative:page;" coordsize="3230000,407035203" o:gfxdata="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r1wtntgAAAAHAQAADwAAAAAAAAABACAAAAAiAAAAZHJzL2Rvd25yZXYueG1sUEsB&#10;AhQAFAAAAAgAh07iQApVhmbZAgAAxgcAAA4AAAAAAAAAAQAgAAAAJwEAAGRycy9lMm9Eb2MueG1s&#10;UEsFBgAAAAAGAAYAWQEAAHIGAAAAAA==&#10;">
          <o:lock v:ext="edit"/>
          <v:rect id="文本框 220" o:spid="_x0000_s2066" o:spt="1" style="position:absolute;left:65412;top:0;height:407035;width:3164587;" filled="f" stroked="f" coordsize="21600,21600" o:gfxdata="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yhg7sAAADc&#10;AAAADwAAAAAAAAABACAAAAAiAAAAZHJzL2Rvd25yZXYueG1sUEsBAhQAFAAAAAgAh07iQDMvBZ47&#10;AAAAOQAAABAAAAAAAAAAAQAgAAAACgEAAGRycy9zaGFwZXhtbC54bWxQSwUGAAAAAAYABgBbAQAA&#10;tAMAAAAA&#10;">
            <v:path/>
            <v:fill on="f" focussize="0,0"/>
            <v:stroke on="f"/>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rect>
          <v:rect id="_x0000_s2065" o:spid="_x0000_s2065" o:spt="1" style="position:absolute;left:0;top:103505;height:209550;width:121934;" fillcolor="#000000" filled="t" stroked="f" coordsize="21600,2160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v:path/>
            <v:fill on="t" focussize="0,0"/>
            <v:stroke on="f"/>
            <v:imagedata o:title=""/>
            <o:lock v:ext="edit"/>
          </v:rect>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2" o:spid="_x0000_s2052" o:spt="203" style="position:absolute;left:0pt;margin-left:2.25pt;margin-top:28.45pt;height:35.25pt;width:544.55pt;mso-position-horizontal-relative:page;z-index:251678720;mso-width-relative:page;mso-height-relative:page;" coordsize="6915729,447675203" o:gfxdata="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GSUZS7aAAAACQEAAA8AAAAAAAAAAQAgAAAAIgAAAGRycy9kb3ducmV2&#10;LnhtbFBLAQIUABQAAAAIAIdO4kD0b+UR+wMAAGcOAAAOAAAAAAAAAAEAIAAAACkBAABkcnMvZTJv&#10;RG9jLnhtbFBLBQYAAAAABgAGAFkBAACWBwAAAAA=&#10;">
          <o:lock v:ext="edit"/>
          <v:rect id="_x0000_s2055" o:spid="_x0000_s2055" o:spt="1" style="position:absolute;left:0;top:392430;height:55245;width:6912554;" fillcolor="#FFD966" filled="t" stroked="f" coordsize="21600,21600" o:gfxdata="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7yxvQAA&#10;ANwAAAAPAAAAAAAAAAEAIAAAACIAAABkcnMvZG93bnJldi54bWxQSwECFAAUAAAACACHTuJAMy8F&#10;njsAAAA5AAAAEAAAAAAAAAABACAAAAAMAQAAZHJzL3NoYXBleG1sLnhtbFBLBQYAAAAABgAGAFsB&#10;AAC2AwAAAAA=&#10;">
            <v:path/>
            <v:fill on="t" focussize="0,0"/>
            <v:stroke on="f"/>
            <v:imagedata o:title=""/>
            <o:lock v:ext="edit"/>
          </v:rect>
          <v:shape id="曲线 236" o:spid="_x0000_s2054" o:spt="100" style="position:absolute;left:5388427;top:69215;height:327025;width:1517777;" fillcolor="#000000" filled="t" stroked="f" coordsize="21600,21600" o:gfxdata="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f5rivQAA&#10;ANwAAAAPAAAAAAAAAAEAIAAAACIAAABkcnMvZG93bnJldi54bWxQSwECFAAUAAAACACHTuJAMy8F&#10;njsAAAA5AAAAEAAAAAAAAAABACAAAAAMAQAAZHJzL3NoYXBleG1sLnhtbFBLBQYAAAAABgAGAFsB&#10;AAC2AwAAAAA=&#10;" adj=",," path="m4907,0l21600,0,21600,21599,0,21599,4907,0,4907,0xe">
            <v:path o:connecttype="segments"/>
            <v:fill on="t" focussize="0,0"/>
            <v:stroke on="f" joinstyle="miter"/>
            <v:imagedata o:title=""/>
            <o:lock v:ext="edit"/>
          </v:shape>
          <v:shape id="曲线 237" o:spid="_x0000_s2053" o:spt="100" style="position:absolute;left:5556715;top:0;height:420370;width:1359013;" fillcolor="#FFD966" filled="t" stroked="f" coordsize="21600,21600" o:gfxdata="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tQX74A&#10;AADcAAAADwAAAAAAAAABACAAAAAiAAAAZHJzL2Rvd25yZXYueG1sUEsBAhQAFAAAAAgAh07iQDMv&#10;BZ47AAAAOQAAABAAAAAAAAAAAQAgAAAADQEAAGRycy9zaGFwZXhtbC54bWxQSwUGAAAAAAYABgBb&#10;AQAAtwMAAAAA&#10;" adj=",," path="m5500,0l21600,163,21600,21599,0,21599,5500,0,5500,0xe">
            <v:path o:connecttype="segments"/>
            <v:fill on="t" focussize="0,0"/>
            <v:stroke on="f" joinstyle="miter"/>
            <v:imagedata o:title=""/>
            <o:lock v:ext="edit"/>
          </v:shape>
        </v:group>
      </w:pic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3" o:spid="_x0000_s2103" o:spt="203" style="position:absolute;left:0pt;margin-left:0pt;margin-top:53.75pt;height:31.5pt;width:594.85pt;mso-position-horizontal-relative:page;z-index:251662336;mso-width-relative:page;mso-height-relative:page;" coordsize="7554593,400050203" o:gfxdata="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A9y6aM2QAAAAkBAAAPAAAAAAAAAAEAIAAAACIAAABkcnMvZG93bnJldi54bWxQ&#10;SwECFAAUAAAACACHTuJAjYT4K/cDAABgDgAADgAAAAAAAAABACAAAAAoAQAAZHJzL2Uyb0RvYy54&#10;bWxQSwUGAAAAAAYABgBZAQAAkQcAAAAA&#10;">
          <o:lock v:ext="edit"/>
          <v:rect id="_x0000_s2106" o:spid="_x0000_s2106" o:spt="1" style="position:absolute;left:0;top:350520;height:49529;width:7551418;" fillcolor="#FFD966" filled="t" stroked="f" coordsize="21600,21600" o:gfxdata="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G8/7sAAADb&#10;AAAADwAAAAAAAAABACAAAAAiAAAAZHJzL2Rvd25yZXYueG1sUEsBAhQAFAAAAAgAh07iQDMvBZ47&#10;AAAAOQAAABAAAAAAAAAAAQAgAAAACgEAAGRycy9zaGFwZXhtbC54bWxQSwUGAAAAAAYABgBbAQAA&#10;tAMAAAAA&#10;">
            <v:path/>
            <v:fill on="t" focussize="0,0"/>
            <v:stroke on="f"/>
            <v:imagedata o:title=""/>
            <o:lock v:ext="edit"/>
          </v:rect>
          <v:shape id="曲线 51" o:spid="_x0000_s2105" o:spt="100" style="position:absolute;left:5886308;top:61595;height:292100;width:1658124;" fillcolor="#000000" filled="t" stroked="f" coordsize="21600,21600" o:gfxdata="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ApRougAAANsA&#10;AAAPAAAAAAAAAAEAIAAAACIAAABkcnMvZG93bnJldi54bWxQSwECFAAUAAAACACHTuJAMy8FnjsA&#10;AAA5AAAAEAAAAAAAAAABACAAAAAJAQAAZHJzL3NoYXBleG1sLnhtbFBLBQYAAAAABgAGAFsBAACz&#10;AwAAAAA=&#10;" adj=",," path="m4905,0l21600,0,21600,21600,0,21600,4905,0,4905,0xe">
            <v:path o:connecttype="segments"/>
            <v:fill on="t" focussize="0,0"/>
            <v:stroke on="f" joinstyle="miter"/>
            <v:imagedata o:title=""/>
            <o:lock v:ext="edit"/>
          </v:shape>
          <v:shape id="曲线 52" o:spid="_x0000_s2104" o:spt="100" style="position:absolute;left:6069838;top:0;height:375920;width:1484754;" fillcolor="#FFD966" filled="t" stroked="f" coordsize="21600,21600" o:gfxdata="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5KpvQAA&#10;ANsAAAAPAAAAAAAAAAEAIAAAACIAAABkcnMvZG93bnJldi54bWxQSwECFAAUAAAACACHTuJAMy8F&#10;njsAAAA5AAAAEAAAAAAAAAABACAAAAAMAQAAZHJzL3NoYXBleG1sLnhtbFBLBQYAAAAABgAGAFsB&#10;AAC2AwAAAAA=&#10;" adj=",," path="m5506,0l21600,145,21600,21600,0,21600,5506,0,5506,0xe">
            <v:path o:connecttype="segments"/>
            <v:fill on="t" focussize="0,0"/>
            <v:stroke on="f" joinstyle="miter"/>
            <v:imagedata o:title=""/>
            <o:lock v:ext="edit"/>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2" o:spid="_x0000_s2092" o:spt="203" style="position:absolute;left:0pt;margin-left:2.7pt;margin-top:46.95pt;height:32.75pt;width:596.85pt;mso-position-horizontal-relative:page;z-index:251666432;mso-width-relative:page;mso-height-relative:page;" coordsize="7579995,415925203" o:gfxdata="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qUTZL9kAAAAJAQAADwAAAAAAAAABACAAAAAiAAAAZHJzL2Rvd25yZXYu&#10;eG1sUEsBAhQAFAAAAAgAh07iQPjSMhz7AwAAYA4AAA4AAAAAAAAAAQAgAAAAKAEAAGRycy9lMm9E&#10;b2MueG1sUEsFBgAAAAAGAAYAWQEAAJUHAAAAAA==&#10;">
          <o:lock v:ext="edit"/>
          <v:rect id="_x0000_s2095" o:spid="_x0000_s2095" o:spt="1" style="position:absolute;left:0;top:364490;height:51435;width:7550784;" fillcolor="#FFD966" filled="t" stroked="f" coordsize="21600,21600" o:gfxdata="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YzIL4A&#10;AADbAAAADwAAAAAAAAABACAAAAAiAAAAZHJzL2Rvd25yZXYueG1sUEsBAhQAFAAAAAgAh07iQDMv&#10;BZ47AAAAOQAAABAAAAAAAAAAAQAgAAAADQEAAGRycy9zaGFwZXhtbC54bWxQSwUGAAAAAAYABgBb&#10;AQAAtwMAAAAA&#10;">
            <v:path/>
            <v:fill on="t" focussize="0,0"/>
            <v:stroke on="f"/>
            <v:imagedata o:title=""/>
            <o:lock v:ext="edit"/>
          </v:rect>
          <v:shape id="曲线 86" o:spid="_x0000_s2094" o:spt="100" style="position:absolute;left:5886450;top:63500;height:304165;width:1657985;" fillcolor="#000000" filled="t" stroked="f" coordsize="21600,21600" o:gfxdata="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osgW7gAAADbAAAA&#10;DwAAAAAAAAABACAAAAAiAAAAZHJzL2Rvd25yZXYueG1sUEsBAhQAFAAAAAgAh07iQDMvBZ47AAAA&#10;OQAAABAAAAAAAAAAAQAgAAAABwEAAGRycy9zaGFwZXhtbC54bWxQSwUGAAAAAAYABgBbAQAAsQMA&#10;AAAA&#10;" adj=",," path="m4905,0l21600,0,21600,21600,0,21600,4905,0,4905,0xe">
            <v:path o:connecttype="segments"/>
            <v:fill on="t" focussize="0,0"/>
            <v:stroke on="f" joinstyle="miter"/>
            <v:imagedata o:title=""/>
            <o:lock v:ext="edit"/>
          </v:shape>
          <v:shape id="曲线 87" o:spid="_x0000_s2093" o:spt="100" style="position:absolute;left:6069965;top:0;height:390525;width:1510030;" fillcolor="#FFD966" filled="t" stroked="f" coordsize="21600,21600" o:gfxdata="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sB12vQAA&#10;ANsAAAAPAAAAAAAAAAEAIAAAACIAAABkcnMvZG93bnJldi54bWxQSwECFAAUAAAACACHTuJAMy8F&#10;njsAAAA5AAAAEAAAAAAAAAABACAAAAAMAQAAZHJzL3NoYXBleG1sLnhtbFBLBQYAAAAABgAGAFsB&#10;AAC2AwAAAAA=&#10;" adj=",," path="m5504,0l21600,140,21600,21599,0,21599,5504,0,5504,0xe">
            <v:path o:connecttype="segments"/>
            <v:fill on="t" focussize="0,0"/>
            <v:stroke on="f"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59950409"/>
    <w:multiLevelType w:val="singleLevel"/>
    <w:tmpl w:val="59950409"/>
    <w:lvl w:ilvl="0" w:tentative="0">
      <w:start w:val="1"/>
      <w:numFmt w:val="decimal"/>
      <w:suff w:val="space"/>
      <w:lvlText w:val="%1."/>
      <w:lvlJc w:val="left"/>
      <w:pPr>
        <w:tabs>
          <w:tab w:val="left" w:pos="0"/>
        </w:tabs>
        <w:ind w:left="0" w:firstLine="0"/>
      </w:pPr>
    </w:lvl>
  </w:abstractNum>
  <w:abstractNum w:abstractNumId="2">
    <w:nsid w:val="78C1413D"/>
    <w:multiLevelType w:val="singleLevel"/>
    <w:tmpl w:val="78C1413D"/>
    <w:lvl w:ilvl="0" w:tentative="0">
      <w:start w:val="1"/>
      <w:numFmt w:val="decimal"/>
      <w:suff w:val="space"/>
      <w:lvlText w:val="%1."/>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63"/>
  <w:noPunctuationKerning w:val="1"/>
  <w:characterSpacingControl w:val="compressPunctuation"/>
  <w:hdrShapeDefaults>
    <o:shapelayout v:ext="edit">
      <o:idmap v:ext="edit" data="2"/>
    </o:shapelayout>
  </w:hdrShapeDefaults>
  <w:compat>
    <w:spaceForUL/>
    <w:balanceSingleByteDoubleByteWidth/>
    <w:doNotExpandShiftReturn/>
    <w:adjustLineHeightInTable/>
    <w:doNotWrapTextWithPunct/>
    <w:doNotUseEastAsianBreakRules/>
    <w:growAutofit/>
    <w:useFELayout/>
    <w:doNotUseIndentAsNumberingTabStop/>
    <w:useAltKinsokuLineBreakRules/>
    <w:compatSetting w:name="compatibilityMode" w:uri="http://schemas.microsoft.com/office/word" w:val="12"/>
  </w:compat>
  <w:rsids>
    <w:rsidRoot w:val="00601598"/>
    <w:rsid w:val="000137BB"/>
    <w:rsid w:val="001171C5"/>
    <w:rsid w:val="001A4572"/>
    <w:rsid w:val="005705AC"/>
    <w:rsid w:val="005748FD"/>
    <w:rsid w:val="00601598"/>
    <w:rsid w:val="006E26A6"/>
    <w:rsid w:val="009F7635"/>
    <w:rsid w:val="00BB7438"/>
    <w:rsid w:val="01073F90"/>
    <w:rsid w:val="014F047B"/>
    <w:rsid w:val="026A3465"/>
    <w:rsid w:val="03075DA5"/>
    <w:rsid w:val="031B71DA"/>
    <w:rsid w:val="057E4383"/>
    <w:rsid w:val="06DF6493"/>
    <w:rsid w:val="07175230"/>
    <w:rsid w:val="07C3269C"/>
    <w:rsid w:val="07E706A3"/>
    <w:rsid w:val="09027B8B"/>
    <w:rsid w:val="0B670384"/>
    <w:rsid w:val="0B7D7612"/>
    <w:rsid w:val="0BF4285B"/>
    <w:rsid w:val="0CF0322D"/>
    <w:rsid w:val="0E2B5FA8"/>
    <w:rsid w:val="0E2F585A"/>
    <w:rsid w:val="0E9B0E74"/>
    <w:rsid w:val="10E05E7E"/>
    <w:rsid w:val="10F11DF4"/>
    <w:rsid w:val="11875D7D"/>
    <w:rsid w:val="14240CB6"/>
    <w:rsid w:val="147C6500"/>
    <w:rsid w:val="15A80CEA"/>
    <w:rsid w:val="16DB5768"/>
    <w:rsid w:val="19247645"/>
    <w:rsid w:val="19CC0538"/>
    <w:rsid w:val="1A7450A0"/>
    <w:rsid w:val="1FF50BA9"/>
    <w:rsid w:val="20837D64"/>
    <w:rsid w:val="23CF1A08"/>
    <w:rsid w:val="23E6157F"/>
    <w:rsid w:val="2479112B"/>
    <w:rsid w:val="295F5EB7"/>
    <w:rsid w:val="29ED3F3E"/>
    <w:rsid w:val="2A2A42BE"/>
    <w:rsid w:val="2AB4786E"/>
    <w:rsid w:val="2ACA7061"/>
    <w:rsid w:val="2C7F2CF0"/>
    <w:rsid w:val="2CC67C28"/>
    <w:rsid w:val="2E451287"/>
    <w:rsid w:val="2EDF22DA"/>
    <w:rsid w:val="2F0D0CFD"/>
    <w:rsid w:val="2F7D44B9"/>
    <w:rsid w:val="31E753C9"/>
    <w:rsid w:val="334C7F8A"/>
    <w:rsid w:val="39152252"/>
    <w:rsid w:val="3C553605"/>
    <w:rsid w:val="453A7709"/>
    <w:rsid w:val="469401CB"/>
    <w:rsid w:val="472E228F"/>
    <w:rsid w:val="47FC5739"/>
    <w:rsid w:val="48BA4BD0"/>
    <w:rsid w:val="49C243B1"/>
    <w:rsid w:val="49D01657"/>
    <w:rsid w:val="4D847FB6"/>
    <w:rsid w:val="4E4A5061"/>
    <w:rsid w:val="4F343165"/>
    <w:rsid w:val="4F9455BB"/>
    <w:rsid w:val="53D24694"/>
    <w:rsid w:val="54B54882"/>
    <w:rsid w:val="55841BB1"/>
    <w:rsid w:val="568D7F58"/>
    <w:rsid w:val="57C748F3"/>
    <w:rsid w:val="584B3EEE"/>
    <w:rsid w:val="5A142262"/>
    <w:rsid w:val="5A35675C"/>
    <w:rsid w:val="5E116C0D"/>
    <w:rsid w:val="5F9D03E1"/>
    <w:rsid w:val="63C76E7C"/>
    <w:rsid w:val="6472384E"/>
    <w:rsid w:val="64E40D71"/>
    <w:rsid w:val="65570354"/>
    <w:rsid w:val="67191462"/>
    <w:rsid w:val="686F5992"/>
    <w:rsid w:val="6A50229D"/>
    <w:rsid w:val="6AD76E09"/>
    <w:rsid w:val="6B28705B"/>
    <w:rsid w:val="6F381AC0"/>
    <w:rsid w:val="6FB216FB"/>
    <w:rsid w:val="6FD2495F"/>
    <w:rsid w:val="70C867A0"/>
    <w:rsid w:val="724A6499"/>
    <w:rsid w:val="73DA3257"/>
    <w:rsid w:val="74977674"/>
    <w:rsid w:val="75F3536D"/>
    <w:rsid w:val="7801319F"/>
    <w:rsid w:val="780F65A1"/>
    <w:rsid w:val="7850341B"/>
    <w:rsid w:val="7BDD40EC"/>
    <w:rsid w:val="7C1F5320"/>
    <w:rsid w:val="7C57093E"/>
    <w:rsid w:val="7D20530A"/>
    <w:rsid w:val="7EB077D2"/>
    <w:rsid w:val="7F7B1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cs="仿宋_GB2312"/>
      <w:sz w:val="32"/>
      <w:szCs w:val="32"/>
      <w:lang w:val="zh-CN" w:bidi="zh-CN"/>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customStyle="1" w:styleId="9">
    <w:name w:val="列出段落1"/>
    <w:basedOn w:val="1"/>
    <w:qFormat/>
    <w:uiPriority w:val="0"/>
    <w:pPr>
      <w:spacing w:before="2"/>
      <w:ind w:left="119" w:right="434" w:firstLine="643"/>
    </w:pPr>
    <w:rPr>
      <w:rFonts w:ascii="仿宋_GB2312" w:eastAsia="仿宋_GB2312" w:cs="仿宋_GB2312"/>
      <w:lang w:val="zh-CN" w:bidi="zh-CN"/>
    </w:rPr>
  </w:style>
  <w:style w:type="character" w:customStyle="1" w:styleId="10">
    <w:name w:val="font11"/>
    <w:qFormat/>
    <w:uiPriority w:val="0"/>
    <w:rPr>
      <w:rFonts w:ascii="仿宋_GB2312" w:eastAsia="仿宋_GB2312" w:cs="仿宋_GB2312"/>
      <w:color w:val="000000"/>
      <w:sz w:val="18"/>
      <w:szCs w:val="18"/>
      <w:u w:val="none"/>
      <w:lang w:bidi="ar-SA"/>
    </w:rPr>
  </w:style>
  <w:style w:type="character" w:customStyle="1" w:styleId="11">
    <w:name w:val="font112"/>
    <w:qFormat/>
    <w:uiPriority w:val="0"/>
    <w:rPr>
      <w:rFonts w:ascii="宋体" w:eastAsia="宋体" w:cs="宋体"/>
      <w:color w:val="000000"/>
      <w:sz w:val="18"/>
      <w:szCs w:val="18"/>
      <w:u w:val="none"/>
      <w:lang w:bidi="ar-SA"/>
    </w:rPr>
  </w:style>
  <w:style w:type="character" w:customStyle="1" w:styleId="12">
    <w:name w:val="font141"/>
    <w:qFormat/>
    <w:uiPriority w:val="0"/>
    <w:rPr>
      <w:rFonts w:ascii="Times New Roman" w:hAnsi="Times New Roman" w:cs="Times New Roman"/>
      <w:color w:val="000000"/>
      <w:sz w:val="18"/>
      <w:szCs w:val="18"/>
      <w:u w:val="none"/>
      <w:lang w:bidi="ar-SA"/>
    </w:rPr>
  </w:style>
  <w:style w:type="paragraph" w:customStyle="1" w:styleId="13">
    <w:name w:val="列出段落2"/>
    <w:basedOn w:val="1"/>
    <w:qFormat/>
    <w:uiPriority w:val="0"/>
    <w:pPr>
      <w:ind w:firstLine="200" w:firstLineChars="200"/>
    </w:pPr>
  </w:style>
  <w:style w:type="character" w:customStyle="1" w:styleId="14">
    <w:name w:val="font171"/>
    <w:basedOn w:val="8"/>
    <w:qFormat/>
    <w:uiPriority w:val="0"/>
    <w:rPr>
      <w:rFonts w:ascii="仿宋_GB2312" w:eastAsia="仿宋_GB2312" w:cs="仿宋_GB2312"/>
      <w:color w:val="000000"/>
      <w:sz w:val="18"/>
      <w:szCs w:val="18"/>
      <w:u w:val="none"/>
    </w:rPr>
  </w:style>
  <w:style w:type="character" w:customStyle="1" w:styleId="15">
    <w:name w:val="font51"/>
    <w:basedOn w:val="8"/>
    <w:qFormat/>
    <w:uiPriority w:val="0"/>
    <w:rPr>
      <w:rFonts w:ascii="Times New Roman" w:hAnsi="Times New Roman" w:cs="Times New Roman"/>
      <w:color w:val="000000"/>
      <w:sz w:val="18"/>
      <w:szCs w:val="18"/>
      <w:u w:val="none"/>
    </w:rPr>
  </w:style>
  <w:style w:type="character" w:customStyle="1" w:styleId="16">
    <w:name w:val="font161"/>
    <w:basedOn w:val="8"/>
    <w:qFormat/>
    <w:uiPriority w:val="0"/>
    <w:rPr>
      <w:rFonts w:ascii="宋体" w:eastAsia="宋体" w:cs="宋体"/>
      <w:color w:val="000000"/>
      <w:sz w:val="18"/>
      <w:szCs w:val="18"/>
      <w:u w:val="none"/>
    </w:rPr>
  </w:style>
  <w:style w:type="character" w:customStyle="1" w:styleId="17">
    <w:name w:val="font81"/>
    <w:basedOn w:val="8"/>
    <w:qFormat/>
    <w:uiPriority w:val="0"/>
    <w:rPr>
      <w:rFonts w:ascii="Times New Roman" w:hAnsi="Times New Roman" w:cs="Times New Roman"/>
      <w:color w:val="000000"/>
      <w:sz w:val="21"/>
      <w:szCs w:val="21"/>
      <w:u w:val="none"/>
    </w:rPr>
  </w:style>
  <w:style w:type="character" w:customStyle="1" w:styleId="18">
    <w:name w:val="font121"/>
    <w:basedOn w:val="8"/>
    <w:qFormat/>
    <w:uiPriority w:val="0"/>
    <w:rPr>
      <w:rFonts w:ascii="Times New Roman" w:hAnsi="Times New Roman" w:cs="Times New Roman"/>
      <w:color w:val="000000"/>
      <w:sz w:val="20"/>
      <w:szCs w:val="20"/>
      <w:u w:val="none"/>
    </w:rPr>
  </w:style>
  <w:style w:type="character" w:customStyle="1" w:styleId="19">
    <w:name w:val="font131"/>
    <w:basedOn w:val="8"/>
    <w:qFormat/>
    <w:uiPriority w:val="0"/>
    <w:rPr>
      <w:rFonts w:ascii="宋体" w:eastAsia="宋体" w:cs="宋体"/>
      <w:color w:val="000000"/>
      <w:sz w:val="20"/>
      <w:szCs w:val="20"/>
      <w:u w:val="none"/>
    </w:rPr>
  </w:style>
  <w:style w:type="character" w:customStyle="1" w:styleId="20">
    <w:name w:val="font151"/>
    <w:basedOn w:val="8"/>
    <w:uiPriority w:val="0"/>
    <w:rPr>
      <w:rFonts w:hint="default" w:ascii="Times New Roman" w:hAnsi="Times New Roman" w:cs="Times New Roman"/>
      <w:color w:val="000000"/>
      <w:sz w:val="20"/>
      <w:szCs w:val="20"/>
      <w:u w:val="none"/>
    </w:rPr>
  </w:style>
  <w:style w:type="character" w:customStyle="1" w:styleId="21">
    <w:name w:val="font101"/>
    <w:basedOn w:val="8"/>
    <w:qFormat/>
    <w:uiPriority w:val="0"/>
    <w:rPr>
      <w:rFonts w:hint="default" w:ascii="Times New Roman" w:hAnsi="Times New Roman" w:cs="Times New Roman"/>
      <w:color w:val="000000"/>
      <w:sz w:val="24"/>
      <w:szCs w:val="24"/>
      <w:u w:val="none"/>
    </w:rPr>
  </w:style>
  <w:style w:type="character" w:customStyle="1" w:styleId="22">
    <w:name w:val="font91"/>
    <w:basedOn w:val="8"/>
    <w:uiPriority w:val="0"/>
    <w:rPr>
      <w:rFonts w:hint="default" w:ascii="Times New Roman" w:hAnsi="Times New Roman" w:cs="Times New Roman"/>
      <w:color w:val="000000"/>
      <w:sz w:val="22"/>
      <w:szCs w:val="22"/>
      <w:u w:val="none"/>
    </w:rPr>
  </w:style>
  <w:style w:type="character" w:customStyle="1" w:styleId="23">
    <w:name w:val="font61"/>
    <w:basedOn w:val="8"/>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GIF"/><Relationship Id="rId31" Type="http://schemas.openxmlformats.org/officeDocument/2006/relationships/theme" Target="theme/theme1.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footer" Target="footer10.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14"/>
    <customShpInfo spid="_x0000_s2113"/>
    <customShpInfo spid="_x0000_s2112"/>
    <customShpInfo spid="_x0000_s2111"/>
    <customShpInfo spid="_x0000_s2110"/>
    <customShpInfo spid="_x0000_s2109"/>
    <customShpInfo spid="_x0000_s2108"/>
    <customShpInfo spid="_x0000_s2106"/>
    <customShpInfo spid="_x0000_s2105"/>
    <customShpInfo spid="_x0000_s2104"/>
    <customShpInfo spid="_x0000_s2103"/>
    <customShpInfo spid="_x0000_s2099"/>
    <customShpInfo spid="_x0000_s2107"/>
    <customShpInfo spid="_x0000_s2095"/>
    <customShpInfo spid="_x0000_s2094"/>
    <customShpInfo spid="_x0000_s2093"/>
    <customShpInfo spid="_x0000_s2092"/>
    <customShpInfo spid="_x0000_s2083"/>
    <customShpInfo spid="_x0000_s2082"/>
    <customShpInfo spid="_x0000_s2081"/>
    <customShpInfo spid="_x0000_s2080"/>
    <customShpInfo spid="_x0000_s2079"/>
    <customShpInfo spid="_x0000_s2078"/>
    <customShpInfo spid="_x0000_s2077"/>
    <customShpInfo spid="_x0000_s2091"/>
    <customShpInfo spid="_x0000_s2090"/>
    <customShpInfo spid="_x0000_s2089"/>
    <customShpInfo spid="_x0000_s2088"/>
    <customShpInfo spid="_x0000_s2087"/>
    <customShpInfo spid="_x0000_s2086"/>
    <customShpInfo spid="_x0000_s2085"/>
    <customShpInfo spid="_x0000_s2076"/>
    <customShpInfo spid="_x0000_s2084"/>
    <customShpInfo spid="_x0000_s2075"/>
    <customShpInfo spid="_x0000_s2074"/>
    <customShpInfo spid="_x0000_s2073"/>
    <customShpInfo spid="_x0000_s2072"/>
    <customShpInfo spid="_x0000_s2063"/>
    <customShpInfo spid="_x0000_s2062"/>
    <customShpInfo spid="_x0000_s2061"/>
    <customShpInfo spid="_x0000_s2060"/>
    <customShpInfo spid="_x0000_s2070"/>
    <customShpInfo spid="_x0000_s2069"/>
    <customShpInfo spid="_x0000_s2068"/>
    <customShpInfo spid="_x0000_s2067"/>
    <customShpInfo spid="_x0000_s2066"/>
    <customShpInfo spid="_x0000_s2065"/>
    <customShpInfo spid="_x0000_s2064"/>
    <customShpInfo spid="_x0000_s2056"/>
    <customShpInfo spid="_x0000_s2055"/>
    <customShpInfo spid="_x0000_s2054"/>
    <customShpInfo spid="_x0000_s2053"/>
    <customShpInfo spid="_x0000_s2052"/>
    <customShpInfo spid="_x0000_s1037"/>
    <customShpInfo spid="_x0000_s1036"/>
    <customShpInfo spid="_x0000_s1035"/>
    <customShpInfo spid="_x0000_s1026"/>
    <customShpInfo spid="_x0000_s1043"/>
    <customShpInfo spid="_x0000_s1042"/>
    <customShpInfo spid="_x0000_s1041"/>
    <customShpInfo spid="_x0000_s1034"/>
    <customShpInfo spid="_x0000_s1040"/>
    <customShpInfo spid="_x0000_s1039"/>
    <customShpInfo spid="_x0000_s1038"/>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4044</Words>
  <Characters>23051</Characters>
  <Lines>192</Lines>
  <Paragraphs>54</Paragraphs>
  <TotalTime>30</TotalTime>
  <ScaleCrop>false</ScaleCrop>
  <LinksUpToDate>false</LinksUpToDate>
  <CharactersWithSpaces>27041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lenovo</cp:lastModifiedBy>
  <cp:lastPrinted>2020-11-20T01:42:00Z</cp:lastPrinted>
  <dcterms:modified xsi:type="dcterms:W3CDTF">2023-06-02T01:54:39Z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1AD75DA7F3494C298C8A50986845D909</vt:lpwstr>
  </property>
</Properties>
</file>