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lang w:eastAsia="zh-CN"/>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广阳区医疗</w:t>
      </w:r>
      <w:r>
        <w:rPr>
          <w:rFonts w:ascii="Times New Roman" w:hAnsi="Times New Roman" w:eastAsia="方正小标宋简体" w:cs="Times New Roman"/>
          <w:sz w:val="44"/>
          <w:szCs w:val="44"/>
        </w:rPr>
        <w:t>保障局20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7" w:name="_GoBack"/>
      <w:bookmarkEnd w:id="7"/>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0" w:lineRule="exact"/>
        <w:ind w:firstLine="640" w:firstLineChars="200"/>
        <w:rPr>
          <w:rFonts w:ascii="仿宋_GB2312" w:hAnsi="仿宋_GB2312" w:eastAsia="仿宋_GB2312" w:cs="仿宋_GB2312"/>
          <w:color w:val="0070C0"/>
          <w:sz w:val="32"/>
          <w:szCs w:val="32"/>
        </w:rPr>
      </w:pPr>
      <w:r>
        <w:rPr>
          <w:rFonts w:hint="eastAsia" w:ascii="仿宋_GB2312" w:eastAsia="仿宋_GB2312"/>
          <w:sz w:val="32"/>
          <w:szCs w:val="32"/>
        </w:rPr>
        <w:t>廊坊市广阳</w:t>
      </w:r>
      <w:r>
        <w:rPr>
          <w:rFonts w:eastAsia="仿宋_GB2312"/>
          <w:sz w:val="32"/>
          <w:szCs w:val="32"/>
        </w:rPr>
        <w:t>区医疗保障局是2019年广阳区机构改革新组建部门之一，1月26日挂牌成立，设立了4个机关股室和区医疗保险所、城乡居民基本医疗保险所2个医保经办事业机构</w:t>
      </w:r>
      <w:r>
        <w:rPr>
          <w:rFonts w:eastAsia="仿宋_GB2312"/>
          <w:sz w:val="32"/>
          <w:szCs w:val="32"/>
          <w:shd w:val="clear" w:color="auto" w:fill="FFFFFF"/>
        </w:rPr>
        <w:t>。</w:t>
      </w:r>
      <w:r>
        <w:rPr>
          <w:rFonts w:hint="eastAsia" w:ascii="仿宋_GB2312" w:hAnsi="仿宋_GB2312" w:eastAsia="仿宋_GB2312" w:cs="仿宋_GB2312"/>
          <w:sz w:val="32"/>
          <w:szCs w:val="32"/>
        </w:rPr>
        <w:t>主要职责是：拟定全区城镇职工和城乡居民医疗保险、生育保险、</w:t>
      </w:r>
      <w:r>
        <w:rPr>
          <w:rFonts w:hint="eastAsia" w:ascii="仿宋_GB2312" w:hAnsi="仿宋_GB2312" w:eastAsia="仿宋_GB2312" w:cs="仿宋_GB2312"/>
          <w:color w:val="000000"/>
          <w:sz w:val="32"/>
          <w:szCs w:val="32"/>
        </w:rPr>
        <w:t>大病保险、</w:t>
      </w:r>
      <w:r>
        <w:rPr>
          <w:rFonts w:hint="eastAsia" w:ascii="仿宋_GB2312" w:hAnsi="仿宋_GB2312" w:eastAsia="仿宋_GB2312" w:cs="仿宋_GB2312"/>
          <w:sz w:val="32"/>
          <w:szCs w:val="32"/>
        </w:rPr>
        <w:t>医疗救助等医疗保障地方性政策、制度、规划和标准，贯彻落实省离休干部医疗费社会统筹政策并组织实施；贯彻落实省、市医疗保障基金监督管理办法，建立健全医疗保障基金安全防控机制，全面开展使用医保智能监控，推进医疗保障基金支付方式改革，并组织实施；贯彻落实廊坊市城镇职工、城乡居民参保筹资和保障待遇政策，统筹城乡医疗保障政策标准，建立健全与筹资水平相适应的待遇调整机制，贯彻落实省长期护理保险制度方案及政策标准并组织实施；贯彻落实全省城乡统一的药品、医用耗材、医疗服务项目、医疗服务设施等医保目录,贯彻落实全市城乡统一的药品、医用耗材、医疗服务项目、医疗服务设施的医保支付标准并组织实施，建立动态调整机制；贯彻落实省、市药品医用耗材价格和医疗服务项目、医疗服务设施收费等政策，贯彻落实医保支付医药服务价格和动态调整机制，依法管理药品、医用耗材、医疗服务价格政策执行情况，建立和完善药品、医用耗材和医疗服务价格监测信息发布制度；贯彻落实省药品、医用耗材的招标采购政策并组织实施，做好监督工作，做好药品、医用耗材招标采购平台建设工作；贯彻落实全市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落实和完善异地就医管理和费用结算政策并组织实施，建立健全医疗保障关系转移接续制度；完成区委、区政府交办的其他任务。</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4443" w:type="dxa"/>
            <w:tcBorders>
              <w:bottom w:val="single" w:color="auto" w:sz="4" w:space="0"/>
            </w:tcBorders>
            <w:shd w:val="clear" w:color="auto" w:fill="auto"/>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广阳区医疗保障局</w:t>
            </w:r>
          </w:p>
        </w:tc>
        <w:tc>
          <w:tcPr>
            <w:tcW w:w="1134" w:type="dxa"/>
            <w:tcBorders>
              <w:bottom w:val="single" w:color="auto" w:sz="4" w:space="0"/>
            </w:tcBorders>
            <w:shd w:val="clear" w:color="auto" w:fill="auto"/>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tcBorders>
              <w:bottom w:val="single" w:color="auto" w:sz="4" w:space="0"/>
            </w:tcBorders>
            <w:shd w:val="clear" w:color="auto" w:fill="auto"/>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财政</w:t>
            </w:r>
            <w:r>
              <w:rPr>
                <w:rFonts w:ascii="Times New Roman" w:hAnsi="Times New Roman" w:eastAsia="仿宋_GB2312" w:cs="Times New Roman"/>
                <w:b/>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b/>
              </w:rPr>
              <w:t>廊坊市广阳区医疗保险所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b/>
              </w:rPr>
              <w:t>廊坊市广阳区城乡基本医疗保险所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2年预算收入3638.25万元，其中：一般公共预算收入3545.25万元，基金预算收入0万元，财政专户核拨收入0万元，其他来源收入0万元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上年结转93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广阳区医疗保障局2022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3638.25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549.69</w:t>
      </w:r>
      <w:r>
        <w:rPr>
          <w:rFonts w:ascii="Times New Roman" w:hAnsi="Times New Roman" w:eastAsia="仿宋_GB2312" w:cs="Times New Roman"/>
          <w:sz w:val="32"/>
          <w:szCs w:val="32"/>
        </w:rPr>
        <w:t>万元，包括人员类项目经费507.77万元和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公用项目经费41.92万元；运转类其他及特定目标类项目支出3088.56万元，包括本级支出</w:t>
      </w:r>
      <w:r>
        <w:rPr>
          <w:rFonts w:hint="eastAsia" w:ascii="Times New Roman" w:hAnsi="Times New Roman" w:eastAsia="仿宋_GB2312" w:cs="Times New Roman"/>
          <w:sz w:val="32"/>
          <w:szCs w:val="32"/>
        </w:rPr>
        <w:t>3088.56</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城乡</w:t>
      </w:r>
      <w:r>
        <w:rPr>
          <w:rFonts w:ascii="Times New Roman" w:hAnsi="Times New Roman" w:eastAsia="仿宋_GB2312" w:cs="Times New Roman"/>
          <w:sz w:val="32"/>
          <w:szCs w:val="32"/>
        </w:rPr>
        <w:t>居民基本医疗保险区级补助资金、城乡医疗救助</w:t>
      </w:r>
      <w:r>
        <w:rPr>
          <w:rFonts w:hint="eastAsia" w:ascii="Times New Roman" w:hAnsi="Times New Roman" w:eastAsia="仿宋_GB2312" w:cs="Times New Roman"/>
          <w:sz w:val="32"/>
          <w:szCs w:val="32"/>
        </w:rPr>
        <w:t>区级</w:t>
      </w:r>
      <w:r>
        <w:rPr>
          <w:rFonts w:ascii="Times New Roman" w:hAnsi="Times New Roman" w:eastAsia="仿宋_GB2312" w:cs="Times New Roman"/>
          <w:sz w:val="32"/>
          <w:szCs w:val="32"/>
        </w:rPr>
        <w:t>补助资金</w:t>
      </w:r>
      <w:r>
        <w:rPr>
          <w:rFonts w:hint="eastAsia"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2年预算收支安排3638.25万元，较20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1年预算减少1973.22万元，其中：基本支出增加44.01万元，主要为</w:t>
      </w:r>
      <w:r>
        <w:rPr>
          <w:rFonts w:hint="eastAsia" w:ascii="Times New Roman" w:hAnsi="Times New Roman" w:eastAsia="仿宋_GB2312" w:cs="Times New Roman"/>
          <w:sz w:val="32"/>
          <w:szCs w:val="32"/>
        </w:rPr>
        <w:t>工资</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减少2017.23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城乡</w:t>
      </w:r>
      <w:r>
        <w:rPr>
          <w:rFonts w:ascii="Times New Roman" w:hAnsi="Times New Roman" w:eastAsia="仿宋_GB2312" w:cs="Times New Roman"/>
          <w:sz w:val="32"/>
          <w:szCs w:val="32"/>
        </w:rPr>
        <w:t>居民</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医疗保险</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级财政补助资金</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下达。</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41.92</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万元；公务用车购置及运维费4.38万元（其中：公务用车购置费为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kinsoku/>
        <w:wordWrap/>
        <w:overflowPunct/>
        <w:topLinePunct w:val="0"/>
        <w:autoSpaceDE/>
        <w:autoSpaceDN/>
        <w:bidi w:val="0"/>
        <w:adjustRightInd/>
        <w:snapToGrid/>
        <w:spacing w:line="584" w:lineRule="exact"/>
        <w:ind w:firstLine="960" w:firstLineChars="3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960" w:firstLineChars="3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pStyle w:val="19"/>
        <w:keepNext w:val="0"/>
        <w:keepLines w:val="0"/>
        <w:pageBreakBefore w:val="0"/>
        <w:numPr>
          <w:ilvl w:val="0"/>
          <w:numId w:val="1"/>
        </w:numPr>
        <w:kinsoku/>
        <w:wordWrap/>
        <w:overflowPunct/>
        <w:topLinePunct w:val="0"/>
        <w:autoSpaceDE/>
        <w:autoSpaceDN/>
        <w:bidi w:val="0"/>
        <w:adjustRightInd/>
        <w:snapToGrid/>
        <w:spacing w:line="584" w:lineRule="exact"/>
        <w:ind w:firstLineChars="0"/>
        <w:textAlignment w:val="auto"/>
        <w:rPr>
          <w:rFonts w:ascii="楷体_GB2312" w:eastAsia="楷体_GB2312" w:cs="Times New Roman"/>
          <w:b/>
          <w:sz w:val="32"/>
          <w:szCs w:val="32"/>
        </w:rPr>
      </w:pPr>
      <w:r>
        <w:rPr>
          <w:rFonts w:hint="eastAsia" w:ascii="楷体_GB2312" w:eastAsia="楷体_GB2312" w:cs="Times New Roman"/>
          <w:b/>
          <w:sz w:val="32"/>
          <w:szCs w:val="32"/>
        </w:rPr>
        <w:t>总体绩效目标</w:t>
      </w:r>
    </w:p>
    <w:p>
      <w:pPr>
        <w:pStyle w:val="20"/>
        <w:keepNext w:val="0"/>
        <w:keepLines w:val="0"/>
        <w:pageBreakBefore w:val="0"/>
        <w:kinsoku/>
        <w:wordWrap/>
        <w:overflowPunct/>
        <w:topLinePunct w:val="0"/>
        <w:autoSpaceDE/>
        <w:autoSpaceDN/>
        <w:bidi w:val="0"/>
        <w:adjustRightInd/>
        <w:snapToGrid/>
        <w:spacing w:line="584" w:lineRule="exact"/>
        <w:ind w:left="643" w:firstLine="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推动落实全民参保计划。按照市级统筹部署，加强税务、财政、公安、民政、教育等部门</w:t>
      </w:r>
    </w:p>
    <w:p>
      <w:pPr>
        <w:pStyle w:val="20"/>
        <w:keepNext w:val="0"/>
        <w:keepLines w:val="0"/>
        <w:pageBreakBefore w:val="0"/>
        <w:kinsoku/>
        <w:wordWrap/>
        <w:overflowPunct/>
        <w:topLinePunct w:val="0"/>
        <w:autoSpaceDE/>
        <w:autoSpaceDN/>
        <w:bidi w:val="0"/>
        <w:adjustRightInd/>
        <w:snapToGrid/>
        <w:spacing w:line="584" w:lineRule="exact"/>
        <w:ind w:left="0" w:leftChars="0" w:firstLine="0" w:firstLineChars="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协调联动，推进建立全民参保数据库和全民参保计划库，以未参保人群为参保扩面重点群体，通过相关部门数据共享、业务协同、信息比对，强化推动全民参保。扎实开展基本医疗保险、生育保险参保登记工作、做实缴费基数，配合税务部门做好征缴工作、做到应保尽保、应收尽收，实现我区基本医保参保率稳中有升。</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强医保基金监督管理。继续把打击欺诈骗保作为首要政治任务。加强培训力度，进一步提高基金监督人员的业务能力和综合素质；加强日常检查与专项检查相结合的监管模式，全方位监管定点医药机构的服务行为；加强与纪委监委、卫健局、市场监管局等单位的沟通协调，形成监管合力；加强打击欺诈骗保、维护基金安全的宣传力度，提高辖区居民对医保基金使用的</w:t>
      </w:r>
      <w:r>
        <w:rPr>
          <w:rFonts w:hint="eastAsia" w:eastAsia="仿宋_GB2312" w:cs="Times New Roman"/>
          <w:kern w:val="2"/>
          <w:sz w:val="32"/>
          <w:szCs w:val="32"/>
          <w:lang w:val="en-US" w:eastAsia="zh-CN" w:bidi="ar-SA"/>
        </w:rPr>
        <w:t>法治意识</w:t>
      </w:r>
      <w:r>
        <w:rPr>
          <w:rFonts w:ascii="Times New Roman" w:hAnsi="Times New Roman" w:eastAsia="仿宋_GB2312" w:cs="Times New Roman"/>
          <w:kern w:val="2"/>
          <w:sz w:val="32"/>
          <w:szCs w:val="32"/>
          <w:lang w:val="en-US" w:eastAsia="zh-CN" w:bidi="ar-SA"/>
        </w:rPr>
        <w:t>和监管的参与意识，形成齐抓共管的社会环境。</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落实医疗救助工作。积极指导各乡镇、街办处开展城乡居民医疗救助工作，重点保障低保、特困人员医疗救助资金及时拨付，开展支出型困难家庭经济状况核查。</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强执法培训，提升法治水平。推进系统内部法治化建设，抓好本部门的普法工作，组织开展行政执法的法律法规、行政执法制度等方面的学习、培训，加强行政执法队伍建设，强化行政执法人员的法律意识、服务意识和责任意识，切实提高行政执法人员执法水平和依法行政能力。</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全力做好医保业务工作。紧盯任务目标，继续做好医疗保障服务，跟进药品集中采购，推进支付方式改革，全面落实深化医疗保障制度改革实施意见，促进健康广阳建设，使人民群众有更多获得感、幸福感、安全感。</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创新工作思路，争先创优。创新工作思路，拟定于2022年2月份，争创全省医疗保障系统“争创人民满意的公务员集体十佳集体”荣誉称号；把做好招商引资工作作为重大政治任务，切实增强紧迫感、责任感和使命感，全力推动招商引资工作落地见效。</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推动落实全民参保计划。</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绩效目标：扎实开展基本医疗保险、生育保险参保登记工作、做实缴费基数，配合税务部门做好征缴工作、做到应保尽保、应收尽收，实现我区基本医保参保率稳中有升。</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绩效指标：参保率</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加强医保基金监督管理。</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继续把打击欺诈骗保作为首要政治任务。加强培训力度，进一步提高基金监督人员的业务能力和综合素质；加强日常检查与专项检查相结合的监管模式，全方位监管定点医药机构的服务行为；加强与纪委监委、卫健局、市场监管局等单位的沟通协调，形成监管合力；加强打击欺诈骗保、维护基金安全的宣传力度，提高辖区居民对医保基金使用的</w:t>
      </w:r>
      <w:r>
        <w:rPr>
          <w:rFonts w:hint="eastAsia" w:eastAsia="仿宋_GB2312" w:cs="Times New Roman"/>
          <w:kern w:val="2"/>
          <w:sz w:val="32"/>
          <w:szCs w:val="32"/>
          <w:lang w:val="en-US" w:eastAsia="zh-CN" w:bidi="ar-SA"/>
        </w:rPr>
        <w:t>法治意识</w:t>
      </w:r>
      <w:r>
        <w:rPr>
          <w:rFonts w:ascii="Times New Roman" w:hAnsi="Times New Roman" w:eastAsia="仿宋_GB2312" w:cs="Times New Roman"/>
          <w:kern w:val="2"/>
          <w:sz w:val="32"/>
          <w:szCs w:val="32"/>
          <w:lang w:val="en-US" w:eastAsia="zh-CN" w:bidi="ar-SA"/>
        </w:rPr>
        <w:t>和监管的参与意识，形成齐抓共管的社会环境。</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绩效指标：召开培训会、对定点医疗机构开展日常检查与专项检查</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落实医疗救助工作。</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绩效目标：减轻城乡困难居民基本医疗费负担过重的不利影响，减轻救助对象的医疗负担</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绩效指标：救助人次数、医疗费用救助比例</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做好脱贫攻坚后评估工作，</w:t>
      </w:r>
      <w:r>
        <w:rPr>
          <w:rFonts w:hint="eastAsia" w:eastAsia="仿宋_GB2312" w:cs="Times New Roman"/>
          <w:kern w:val="2"/>
          <w:sz w:val="32"/>
          <w:szCs w:val="32"/>
          <w:lang w:val="en-US" w:eastAsia="zh-CN" w:bidi="ar-SA"/>
        </w:rPr>
        <w:t>巩固拓展脱贫攻坚成果</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绩效目标：积极解决贫困人口就医过程中遇到的问题，减轻其医疗负担</w:t>
      </w:r>
    </w:p>
    <w:p>
      <w:pPr>
        <w:pStyle w:val="21"/>
        <w:keepNext w:val="0"/>
        <w:keepLines w:val="0"/>
        <w:pageBreakBefore w:val="0"/>
        <w:kinsoku/>
        <w:wordWrap/>
        <w:overflowPunct/>
        <w:topLinePunct w:val="0"/>
        <w:autoSpaceDE/>
        <w:autoSpaceDN/>
        <w:bidi w:val="0"/>
        <w:adjustRightInd/>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绩效指标：资助人数、报销比例</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规范财务管理，提高财务信息质量。严格按照各项规定，结合实际情况，严格执行单位经费支出制度，规范财务核算，完整披露相关信息。对考核指标进行全面系统的再梳理，建立严格的审批制度，规范资金使用，强化资金管理，提高资金使用效益，突出实效。</w:t>
      </w:r>
    </w:p>
    <w:p>
      <w:pPr>
        <w:pStyle w:val="22"/>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强学习培训，提升绩效管理水平。年初制定学习和培训计划，定期在我局开展新制度、新法规学习、培训，促进财务人员及业务科室人员熟悉和掌握项目所涉及的各种业务和政策，提升参与预算绩效评价管理工作的能力，增强重产出、重结果的绩效管理念。</w:t>
      </w:r>
    </w:p>
    <w:p>
      <w:pPr>
        <w:pStyle w:val="22"/>
        <w:keepNext w:val="0"/>
        <w:keepLines w:val="0"/>
        <w:pageBreakBefore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强预算的约束力，细化预算编制工作。进一步加强全局内部机构各股室的预算管理意识，严格按照预算编制的相关制度和要求，公用经费根据单位的年度工作重点和项目专项工作规划，本着“勤俭节约、保障运转”的原则进行预算的编制。编制范围尽可能的全面，不漏项。严格控制，尽力避免超预算开支的情况发生，进一步提高预算编制的科学性、合理性、严谨性和可控性。</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3"/>
        <w:gridCol w:w="958"/>
        <w:gridCol w:w="1574"/>
        <w:gridCol w:w="2638"/>
        <w:gridCol w:w="1591"/>
        <w:gridCol w:w="506"/>
        <w:gridCol w:w="614"/>
        <w:gridCol w:w="65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1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7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3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5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7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13" w:type="dxa"/>
            <w:vMerge w:val="continue"/>
            <w:tcBorders>
              <w:tl2br w:val="nil"/>
              <w:tr2bl w:val="nil"/>
            </w:tcBorders>
            <w:vAlign w:val="center"/>
          </w:tcPr>
          <w:p/>
        </w:tc>
        <w:tc>
          <w:tcPr>
            <w:tcW w:w="958" w:type="dxa"/>
            <w:vMerge w:val="continue"/>
            <w:tcBorders>
              <w:tl2br w:val="nil"/>
              <w:tr2bl w:val="nil"/>
            </w:tcBorders>
            <w:vAlign w:val="center"/>
          </w:tcPr>
          <w:p/>
        </w:tc>
        <w:tc>
          <w:tcPr>
            <w:tcW w:w="1574" w:type="dxa"/>
            <w:vMerge w:val="continue"/>
            <w:tcBorders>
              <w:tl2br w:val="nil"/>
              <w:tr2bl w:val="nil"/>
            </w:tcBorders>
            <w:vAlign w:val="center"/>
          </w:tcPr>
          <w:p/>
        </w:tc>
        <w:tc>
          <w:tcPr>
            <w:tcW w:w="2638" w:type="dxa"/>
            <w:vMerge w:val="continue"/>
            <w:tcBorders>
              <w:tl2br w:val="nil"/>
              <w:tr2bl w:val="nil"/>
            </w:tcBorders>
            <w:vAlign w:val="center"/>
          </w:tcPr>
          <w:p/>
        </w:tc>
        <w:tc>
          <w:tcPr>
            <w:tcW w:w="1591" w:type="dxa"/>
            <w:vMerge w:val="continue"/>
            <w:tcBorders>
              <w:tl2br w:val="nil"/>
              <w:tr2bl w:val="nil"/>
            </w:tcBorders>
            <w:vAlign w:val="center"/>
          </w:tcPr>
          <w:p/>
        </w:tc>
        <w:tc>
          <w:tcPr>
            <w:tcW w:w="5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1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5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01"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1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开展监督检查次数</w:t>
            </w:r>
          </w:p>
        </w:tc>
        <w:tc>
          <w:tcPr>
            <w:tcW w:w="263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满分20分，达到标准得满分，每减少一次扣分值的10%</w:t>
            </w:r>
          </w:p>
        </w:tc>
        <w:tc>
          <w:tcPr>
            <w:tcW w:w="159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开展监督检查次数</w:t>
            </w:r>
          </w:p>
        </w:tc>
        <w:tc>
          <w:tcPr>
            <w:tcW w:w="50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14"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651"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3" w:type="dxa"/>
            <w:vMerge w:val="continue"/>
            <w:tcBorders>
              <w:tl2br w:val="nil"/>
              <w:tr2bl w:val="nil"/>
            </w:tcBorders>
            <w:vAlign w:val="center"/>
          </w:tcP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5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机关运转率（%）</w:t>
            </w:r>
          </w:p>
        </w:tc>
        <w:tc>
          <w:tcPr>
            <w:tcW w:w="263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满分20分，达到标准得满分，每降低10%扣分值的10%</w:t>
            </w:r>
          </w:p>
        </w:tc>
        <w:tc>
          <w:tcPr>
            <w:tcW w:w="159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机关工作正常运转率</w:t>
            </w:r>
          </w:p>
        </w:tc>
        <w:tc>
          <w:tcPr>
            <w:tcW w:w="50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14"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651"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13" w:type="dxa"/>
            <w:vMerge w:val="continue"/>
            <w:tcBorders>
              <w:tl2br w:val="nil"/>
              <w:tr2bl w:val="nil"/>
            </w:tcBorders>
            <w:vAlign w:val="center"/>
          </w:tcP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5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工作任务完成及时率</w:t>
            </w:r>
          </w:p>
        </w:tc>
        <w:tc>
          <w:tcPr>
            <w:tcW w:w="263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 分，在预算控制范围内得满分，每超出预算1%，扣分值的10%</w:t>
            </w:r>
          </w:p>
        </w:tc>
        <w:tc>
          <w:tcPr>
            <w:tcW w:w="159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工作任务完成及时率</w:t>
            </w:r>
          </w:p>
        </w:tc>
        <w:tc>
          <w:tcPr>
            <w:tcW w:w="50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14"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651"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3" w:type="dxa"/>
            <w:vMerge w:val="continue"/>
            <w:tcBorders>
              <w:tl2br w:val="nil"/>
              <w:tr2bl w:val="nil"/>
            </w:tcBorders>
            <w:vAlign w:val="center"/>
          </w:tcP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5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63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满分20分，达到标准得满分，每降低10%扣分值的10%</w:t>
            </w:r>
          </w:p>
        </w:tc>
        <w:tc>
          <w:tcPr>
            <w:tcW w:w="159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50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14"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651"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预算批复数</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维护基金安全</w:t>
            </w:r>
          </w:p>
        </w:tc>
        <w:tc>
          <w:tcPr>
            <w:tcW w:w="263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满分10分，基金安全运行得满分，否则不得分</w:t>
            </w:r>
          </w:p>
        </w:tc>
        <w:tc>
          <w:tcPr>
            <w:tcW w:w="159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加强监管，维护基金安全</w:t>
            </w:r>
          </w:p>
        </w:tc>
        <w:tc>
          <w:tcPr>
            <w:tcW w:w="50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14"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651"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安全运行</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13" w:type="dxa"/>
            <w:vMerge w:val="continue"/>
            <w:tcBorders>
              <w:tl2br w:val="nil"/>
              <w:tr2bl w:val="nil"/>
            </w:tcBorders>
            <w:vAlign w:val="center"/>
          </w:tcPr>
          <w:p/>
        </w:tc>
        <w:tc>
          <w:tcPr>
            <w:tcW w:w="95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574"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社会公众或服务对象的满意程度</w:t>
            </w:r>
          </w:p>
        </w:tc>
        <w:tc>
          <w:tcPr>
            <w:tcW w:w="2638"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达到标准10分，每减低1%，扣分值的10%</w:t>
            </w:r>
          </w:p>
        </w:tc>
        <w:tc>
          <w:tcPr>
            <w:tcW w:w="1591"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50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14" w:type="dxa"/>
            <w:tcBorders>
              <w:tl2br w:val="nil"/>
              <w:tr2bl w:val="nil"/>
            </w:tcBorders>
            <w:vAlign w:val="center"/>
          </w:tcPr>
          <w:p>
            <w:pPr>
              <w:widowControl/>
              <w:adjustRightInd w:val="0"/>
              <w:snapToGrid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651" w:type="dxa"/>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30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1.城乡居民基本医疗保险补助资金[区级]绩效目标表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1.通过项目的开展，提升城乡居民参保率，保证全区参保人员正常享受医保待遇，减轻经济负担，解决就医困难问题。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城乡居民参保率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已参保人数占应参保人数的百分比</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资金发放合规率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应发放的医疗保险基金占应发放医疗保险基金总额的比例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按月按时发放医疗保险基金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人均补助标准</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按文件要求每人每年补助标准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122元/人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提升参保人员就医保障</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果显著得满分，效果较显著扣分值50%，不显著不得分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减轻就医经济负担</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果显著得满分，效果较显著扣分值50%，不显著不得分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辖区内参保人员满意度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通过调查，满意参保人员占调查总人数的比例　</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2.城乡困难群众医疗救助补助资金[区级]绩效目标表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87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7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项目的开展实现对低保、特困人员及因医疗影响家庭基本生活的辖区城乡困难居民，给予一定医疗费用补助等战略，主要解决城乡困难居民基本医疗费用负担过重的不利影响保障切实减轻医疗费用负担目标的实现。</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02"/>
        <w:gridCol w:w="1511"/>
        <w:gridCol w:w="2891"/>
        <w:gridCol w:w="1276"/>
        <w:gridCol w:w="2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7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7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住院救助人次数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住院救助人次数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≥65人次</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按照2021年度数据测算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门诊救助人次数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门诊救助人次数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≥60人次</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按照2021年度数据测算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住院医疗费用救助比例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自负合规费用年度限额内救助比例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市政府令〔2011〕2号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门诊医疗费用救助比例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自负合规费用年度限额内救助比例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市政府令〔2011〕2号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偏差率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住院救助人均金额实际与计划的偏差率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按照2021年度数据测算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结算及时性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从接收申请到审核拨付完成需要的时间</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≤30工作日</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困难群众医疗费用负担减轻程度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困难群众医疗费用负担减轻程度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Merge w:val="continue"/>
            <w:vAlign w:val="center"/>
          </w:tcPr>
          <w:p>
            <w:pPr>
              <w:rPr>
                <w:rFonts w:hint="eastAsia" w:ascii="仿宋_GB2312" w:hAnsi="仿宋_GB2312" w:eastAsia="仿宋_GB2312" w:cs="仿宋_GB2312"/>
              </w:rPr>
            </w:pP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对健全医疗保障体系的作用</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对健全医疗保障体系的作用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市政府令〔2011〕2号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服务对象满意人数占服务对象总人数的比例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7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3.建档立卡贫困人口基本医疗保险个人缴费补助资金[区级]绩效目标表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1.资助建档立卡贫困人口参加城乡居民基本医疗保险，保障其正常参保，享受医保待遇，减轻就医负担。</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发放享受补助资金人数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扶贫办名单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发放享受资金待遇贫困人口覆盖率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及时结算率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2022年9月底上缴市级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2022年9月底上缴市级</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按预算控制数进行补助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减轻建档立卡贫困人口就医负担</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减轻建档立卡贫困人口就医负担</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有效减轻</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辖区内参保人员满意度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通过调查，满意参保人员占调查总人数的比例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4.建档立卡贫困人口提高待遇资金[区级]绩效目标表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1.通过项目的开展完成城乡居民基本医疗保险、大病保险和医疗救助三重保障线，提高医疗保障救助水平，明显减轻贫困人口就医负担。</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发放享受补助资金人数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扶贫办名单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发放享受资金待遇贫困人口覆盖率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及时结算率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2022年9月底上缴市级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2022年9月底上缴市级</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按预算控制数进行补助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减轻建档立卡贫困人口就医负担</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减轻建档立卡贫困人口就医负担</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有效减轻</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廊人社发【2017】249号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辖区内参保人员满意度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通过调查，满意参保人员占调查总人数的比例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firstLineChars="200"/>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5.医疗服务与保障能力提升补助资金[中央]绩效目标表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9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9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1.国家统一医保信息平台正常运行</w:t>
            </w:r>
          </w:p>
          <w:p>
            <w:pPr>
              <w:pStyle w:val="14"/>
              <w:rPr>
                <w:rFonts w:hint="eastAsia" w:ascii="仿宋_GB2312" w:hAnsi="仿宋_GB2312" w:eastAsia="仿宋_GB2312" w:cs="仿宋_GB2312"/>
              </w:rPr>
            </w:pPr>
            <w:r>
              <w:rPr>
                <w:rFonts w:hint="eastAsia" w:ascii="仿宋_GB2312" w:hAnsi="仿宋_GB2312" w:eastAsia="仿宋_GB2312" w:cs="仿宋_GB2312"/>
              </w:rPr>
              <w:t>2.定点医疗机构监督检查覆盖</w:t>
            </w:r>
          </w:p>
          <w:p>
            <w:pPr>
              <w:pStyle w:val="14"/>
              <w:rPr>
                <w:rFonts w:hint="eastAsia" w:ascii="仿宋_GB2312" w:hAnsi="仿宋_GB2312" w:eastAsia="仿宋_GB2312" w:cs="仿宋_GB2312"/>
              </w:rPr>
            </w:pPr>
            <w:r>
              <w:rPr>
                <w:rFonts w:hint="eastAsia" w:ascii="仿宋_GB2312" w:hAnsi="仿宋_GB2312" w:eastAsia="仿宋_GB2312" w:cs="仿宋_GB2312"/>
              </w:rPr>
              <w:t>3.推行医保支付改革</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121"/>
        <w:gridCol w:w="2909"/>
        <w:gridCol w:w="1157"/>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2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9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5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4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召开医保工作培训会议次数</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组织定点医疗机构相关人员，开展医保工作培训会。</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≥2次</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开展定点医疗机构专项检查</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开展定点医疗机构专项检查次数</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≥2次</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印制宣传资料</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印制宣传资料</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≥500份</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医保信息系统正常运行率</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医保信息系统正常运行率</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定点医药机构监督检查覆盖率</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定点医药机构监督检查覆盖率</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电子医疗凭证运行时间</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电子医疗凭证运行时间</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不晚于12月底</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项目支出总金额</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项目支出总金额</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医保重要政策知晓率</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提升医保重要政策知晓率</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有所提升</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9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辖区内参保居民满意度</w:t>
            </w:r>
          </w:p>
        </w:tc>
        <w:tc>
          <w:tcPr>
            <w:tcW w:w="1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4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政府采购项目来源</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采购物品名称</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政府采购目录序号</w:t>
            </w:r>
          </w:p>
        </w:tc>
        <w:tc>
          <w:tcPr>
            <w:tcW w:w="7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数量</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单价</w:t>
            </w:r>
          </w:p>
        </w:tc>
        <w:tc>
          <w:tcPr>
            <w:tcW w:w="7712" w:type="dxa"/>
            <w:gridSpan w:val="8"/>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政府采购金额（当年部门预算安排资金）</w:t>
            </w:r>
          </w:p>
        </w:tc>
        <w:tc>
          <w:tcPr>
            <w:tcW w:w="96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项目名称</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113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709"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合计</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一般公共预算拨款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基金预算拨款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国有资本经营预算拨款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财政专户核拨</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单位    资金</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财政拨    款结转</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28.03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kern w:val="0"/>
                <w:sz w:val="22"/>
                <w:lang w:val="en-US" w:eastAsia="zh-CN"/>
              </w:rPr>
              <w:t>医疗保障局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使用区</w:t>
            </w:r>
            <w:r>
              <w:rPr>
                <w:rFonts w:ascii="Times New Roman" w:hAnsi="Times New Roman" w:eastAsia="仿宋_GB2312" w:cs="Times New Roman"/>
                <w:sz w:val="22"/>
              </w:rPr>
              <w:t>民政局</w:t>
            </w:r>
            <w:r>
              <w:rPr>
                <w:rFonts w:hint="eastAsia" w:ascii="Times New Roman" w:hAnsi="Times New Roman" w:eastAsia="仿宋_GB2312" w:cs="Times New Roman"/>
                <w:sz w:val="22"/>
              </w:rPr>
              <w:t>办公</w:t>
            </w:r>
            <w:r>
              <w:rPr>
                <w:rFonts w:ascii="Times New Roman" w:hAnsi="Times New Roman" w:eastAsia="仿宋_GB2312" w:cs="Times New Roman"/>
                <w:sz w:val="22"/>
              </w:rPr>
              <w:t>用房</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使用</w:t>
            </w:r>
            <w:r>
              <w:rPr>
                <w:rFonts w:ascii="Times New Roman" w:hAnsi="Times New Roman" w:eastAsia="仿宋_GB2312" w:cs="Times New Roman"/>
                <w:sz w:val="22"/>
              </w:rPr>
              <w:t>区民政局办公用房</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858D7"/>
    <w:multiLevelType w:val="multilevel"/>
    <w:tmpl w:val="452858D7"/>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3489C"/>
    <w:rsid w:val="00050501"/>
    <w:rsid w:val="000958A5"/>
    <w:rsid w:val="000A3C78"/>
    <w:rsid w:val="000F6018"/>
    <w:rsid w:val="0015274D"/>
    <w:rsid w:val="001A65EE"/>
    <w:rsid w:val="001E0117"/>
    <w:rsid w:val="0022398B"/>
    <w:rsid w:val="0025632D"/>
    <w:rsid w:val="002819C0"/>
    <w:rsid w:val="00292902"/>
    <w:rsid w:val="002E0383"/>
    <w:rsid w:val="003059E0"/>
    <w:rsid w:val="00336C57"/>
    <w:rsid w:val="00355C64"/>
    <w:rsid w:val="003F225C"/>
    <w:rsid w:val="003F6303"/>
    <w:rsid w:val="004A54AA"/>
    <w:rsid w:val="005036A2"/>
    <w:rsid w:val="00533D5A"/>
    <w:rsid w:val="005F5168"/>
    <w:rsid w:val="00632A5F"/>
    <w:rsid w:val="006354B8"/>
    <w:rsid w:val="007775A9"/>
    <w:rsid w:val="007A07DA"/>
    <w:rsid w:val="007E5071"/>
    <w:rsid w:val="00856522"/>
    <w:rsid w:val="008842F6"/>
    <w:rsid w:val="00885C7B"/>
    <w:rsid w:val="00922C45"/>
    <w:rsid w:val="009317A6"/>
    <w:rsid w:val="00936D57"/>
    <w:rsid w:val="009376E5"/>
    <w:rsid w:val="00944233"/>
    <w:rsid w:val="00951C5F"/>
    <w:rsid w:val="00A37734"/>
    <w:rsid w:val="00A44925"/>
    <w:rsid w:val="00B40732"/>
    <w:rsid w:val="00B561AD"/>
    <w:rsid w:val="00B80935"/>
    <w:rsid w:val="00BE101F"/>
    <w:rsid w:val="00BF3361"/>
    <w:rsid w:val="00C1324C"/>
    <w:rsid w:val="00CB77B7"/>
    <w:rsid w:val="00CF46E7"/>
    <w:rsid w:val="00D347CC"/>
    <w:rsid w:val="00D67F93"/>
    <w:rsid w:val="00DC113C"/>
    <w:rsid w:val="00DC72B4"/>
    <w:rsid w:val="00F84E4D"/>
    <w:rsid w:val="00F86962"/>
    <w:rsid w:val="051F0B4A"/>
    <w:rsid w:val="0CEC1180"/>
    <w:rsid w:val="1157469D"/>
    <w:rsid w:val="14580EE2"/>
    <w:rsid w:val="151D0A0C"/>
    <w:rsid w:val="19EE4DBB"/>
    <w:rsid w:val="1CAF0B1A"/>
    <w:rsid w:val="4C801D61"/>
    <w:rsid w:val="5F6E7B39"/>
    <w:rsid w:val="707A7ED9"/>
    <w:rsid w:val="73693C55"/>
    <w:rsid w:val="7A5A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qFormat/>
    <w:uiPriority w:val="99"/>
    <w:pPr>
      <w:ind w:firstLine="420" w:firstLineChars="200"/>
    </w:pPr>
  </w:style>
  <w:style w:type="paragraph" w:customStyle="1" w:styleId="2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2">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1361</Words>
  <Characters>7764</Characters>
  <Lines>64</Lines>
  <Paragraphs>18</Paragraphs>
  <TotalTime>0</TotalTime>
  <ScaleCrop>false</ScaleCrop>
  <LinksUpToDate>false</LinksUpToDate>
  <CharactersWithSpaces>9107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2024-05-16T02:31:47Z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D09FC40FE91C4DC4B4D3B0675F918D32</vt:lpwstr>
  </property>
</Properties>
</file>