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广阳区爱民东道街道办</w:t>
      </w:r>
      <w:r>
        <w:rPr>
          <w:rFonts w:hint="eastAsia" w:ascii="Times New Roman" w:hAnsi="Times New Roman" w:eastAsia="方正小标宋简体" w:cs="Times New Roman"/>
          <w:sz w:val="44"/>
          <w:szCs w:val="44"/>
          <w:lang w:eastAsia="zh-CN"/>
        </w:rPr>
        <w:t>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根据《廊坊市广阳区爱民东道街道办事处职能配置、内设机构和人员编制规定》， 廊坊市广阳区爱民东道街道办事处的主要职责是：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党政综合办公室：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二、党建工作办公室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负责乡镇和街道党（工）委自身建设和基层党组织建设，以及其他隶属乡镇和街道党（工）委的党组织建设。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加强党员队伍建设，对党员进行教育、管理、监督和服务，做好经常性的发展党员工作。加强流动党员管理。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依照法定权限，做好本辖区的征兵、民兵、预备役、国防教育、国民经济动员、人民防空、国防交通、国防设施保护等工作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加强本辖区生产经营单位安全生产状况的监督检查、协助上级有关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依法履行安全生产监督管理职责。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负责本辖区的消防工作、开展消防宣传、防火巡查、隐患查改。指导村（居）民委员会开展群众性的消防工作。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依法做好本辖区的突发事件应对工作，制定本级突发事件应急预案，组织开展应急演练。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按照职责分工负责本辖区河湖的水资源保护、水域岸线管理、水污染防治、水环境治理等工作，协助上级人民政府及其有关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做好地下水相关管理和监督工作。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五、综合行政执法队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查处传销行为。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开展法制宣传教育工作、调解各类纠纷。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做好未成年人的保护工作。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六、行政综合服务中心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七、社区建设和物业监督管理办公室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九、退役军人服务站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廊坊市广阳区爱民东道街道办事处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财政拨款</w:t>
            </w:r>
            <w:r>
              <w:rPr>
                <w:rFonts w:hint="eastAsia" w:ascii="Times New Roman" w:hAnsi="Times New Roman" w:eastAsia="仿宋_GB2312" w:cs="Times New Roman"/>
                <w:b/>
                <w:szCs w:val="24"/>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3129.42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3129.42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广阳区爱民东道街道办事处2022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3129.42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2034.74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1807.84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226.9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1094.68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3129.42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283.04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185.91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人员及公用经费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97.13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社区经费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226.9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爱民东道街道办事处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新时代，新征程。2022年，爱民东道街道将抓住新机场兴建的宝贵历史机遇，创新思维方式，汇聚兴街富民力量，实现跨越大发展。力争将爱民东道街道建设成为开放、包容、宜居的生态新区。</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一、加快项目建设，促进经济发展</w:t>
      </w:r>
    </w:p>
    <w:p>
      <w:pPr>
        <w:ind w:firstLine="640" w:firstLineChars="200"/>
        <w:rPr>
          <w:rFonts w:ascii="仿宋_GB2312" w:hAnsi="新宋体" w:eastAsia="仿宋_GB2312"/>
          <w:sz w:val="32"/>
          <w:szCs w:val="32"/>
        </w:rPr>
      </w:pPr>
      <w:r>
        <w:rPr>
          <w:rFonts w:hint="eastAsia" w:ascii="仿宋_GB2312" w:hAnsi="新宋体" w:eastAsia="仿宋_GB2312"/>
          <w:sz w:val="32"/>
          <w:szCs w:val="32"/>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二、推进污染防治，确保质量达标</w:t>
      </w:r>
    </w:p>
    <w:p>
      <w:pPr>
        <w:ind w:firstLine="640" w:firstLineChars="200"/>
        <w:rPr>
          <w:rFonts w:ascii="仿宋_GB2312" w:hAnsi="新宋体" w:eastAsia="仿宋_GB2312"/>
          <w:sz w:val="32"/>
          <w:szCs w:val="32"/>
        </w:rPr>
      </w:pPr>
      <w:r>
        <w:rPr>
          <w:rFonts w:hint="eastAsia" w:ascii="仿宋_GB2312" w:hAnsi="新宋体" w:eastAsia="仿宋_GB2312"/>
          <w:sz w:val="32"/>
          <w:szCs w:val="32"/>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ind w:firstLine="643" w:firstLineChars="200"/>
        <w:rPr>
          <w:rFonts w:ascii="仿宋_GB2312" w:hAnsi="新宋体" w:eastAsia="仿宋_GB2312"/>
          <w:b/>
          <w:sz w:val="32"/>
          <w:szCs w:val="32"/>
        </w:rPr>
      </w:pPr>
      <w:r>
        <w:rPr>
          <w:rFonts w:hint="eastAsia" w:ascii="仿宋_GB2312" w:hAnsi="新宋体" w:eastAsia="仿宋_GB2312"/>
          <w:b/>
          <w:sz w:val="32"/>
          <w:szCs w:val="32"/>
        </w:rPr>
        <w:t>三、提升服务水平，建设幸福街区</w:t>
      </w:r>
    </w:p>
    <w:p>
      <w:pPr>
        <w:spacing w:line="584" w:lineRule="exact"/>
        <w:ind w:firstLine="640" w:firstLineChars="200"/>
        <w:rPr>
          <w:rFonts w:ascii="楷体_GB2312" w:hAnsi="新宋体" w:eastAsia="楷体_GB2312"/>
          <w:sz w:val="32"/>
          <w:szCs w:val="32"/>
        </w:rPr>
      </w:pPr>
      <w:r>
        <w:rPr>
          <w:rFonts w:hint="eastAsia" w:ascii="仿宋_GB2312" w:hAnsi="新宋体" w:eastAsia="仿宋_GB2312"/>
          <w:sz w:val="32"/>
          <w:szCs w:val="32"/>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w:t>
      </w:r>
      <w:r>
        <w:rPr>
          <w:rFonts w:hint="eastAsia" w:ascii="楷体_GB2312" w:hAnsi="新宋体" w:eastAsia="楷体_GB2312"/>
          <w:sz w:val="32"/>
          <w:szCs w:val="32"/>
        </w:rPr>
        <w:t>道。</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602" w:firstLineChars="200"/>
        <w:rPr>
          <w:rFonts w:ascii="仿宋_GB2312" w:eastAsia="仿宋_GB2312"/>
          <w:b/>
          <w:sz w:val="30"/>
          <w:szCs w:val="30"/>
        </w:rPr>
      </w:pPr>
      <w:r>
        <w:rPr>
          <w:rFonts w:hint="eastAsia" w:ascii="仿宋_GB2312" w:eastAsia="仿宋_GB2312"/>
          <w:b/>
          <w:sz w:val="30"/>
          <w:szCs w:val="30"/>
        </w:rPr>
        <w:t>一、发展楼宇经济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楼宇经济是街道城市经济发展的主抓手、主阵地，我们将通过设置楼宇信息员、楼宇企业服务中心等载体，着力引进总部企业、规上服务业、创意设计类等企业，不断优化楼宇企业业态结构，力争培育新的税收增长点，全力打造楼宇经济可持续发展新高地。</w:t>
      </w:r>
    </w:p>
    <w:p>
      <w:pPr>
        <w:ind w:firstLine="602" w:firstLineChars="200"/>
        <w:rPr>
          <w:rFonts w:ascii="仿宋_GB2312" w:eastAsia="仿宋_GB2312"/>
          <w:b/>
          <w:sz w:val="30"/>
          <w:szCs w:val="30"/>
        </w:rPr>
      </w:pPr>
      <w:r>
        <w:rPr>
          <w:rFonts w:hint="eastAsia" w:ascii="仿宋_GB2312" w:eastAsia="仿宋_GB2312"/>
          <w:b/>
          <w:sz w:val="30"/>
          <w:szCs w:val="30"/>
        </w:rPr>
        <w:t>二、常抓疫情防控</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落实冬季疫情防控工作措施，常态化排查登记中高风险地区返雅人员，做好居家医疗观察和核酸检测。强化商场、酒店、学校、农贸市场、餐馆等重点区域的日常消毒和防控措施落实。</w:t>
      </w:r>
    </w:p>
    <w:p>
      <w:pPr>
        <w:ind w:firstLine="602" w:firstLineChars="200"/>
        <w:rPr>
          <w:rFonts w:ascii="仿宋_GB2312" w:eastAsia="仿宋_GB2312"/>
          <w:b/>
          <w:sz w:val="30"/>
          <w:szCs w:val="30"/>
        </w:rPr>
      </w:pPr>
      <w:r>
        <w:rPr>
          <w:rFonts w:hint="eastAsia" w:ascii="仿宋_GB2312" w:eastAsia="仿宋_GB2312"/>
          <w:b/>
          <w:sz w:val="30"/>
          <w:szCs w:val="30"/>
        </w:rPr>
        <w:t>三、持续打好生态保卫战</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加强网格化日常巡查，守牢生态底线。对重点行业、重点企业进行定期和不定期走访，建立巡查台账，对群众反映的环保问题及时调查处理。</w:t>
      </w:r>
    </w:p>
    <w:p>
      <w:pPr>
        <w:ind w:firstLine="602" w:firstLineChars="200"/>
        <w:rPr>
          <w:rFonts w:ascii="仿宋_GB2312" w:eastAsia="仿宋_GB2312"/>
          <w:b/>
          <w:sz w:val="30"/>
          <w:szCs w:val="30"/>
        </w:rPr>
      </w:pPr>
      <w:r>
        <w:rPr>
          <w:rFonts w:hint="eastAsia" w:ascii="仿宋_GB2312" w:eastAsia="仿宋_GB2312"/>
          <w:b/>
          <w:sz w:val="30"/>
          <w:szCs w:val="30"/>
        </w:rPr>
        <w:t>四、维护社会稳定</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持续深化扫黑除恶专项斗争和人民调解，落实安全生产责任制，加强对企业、老旧小区、餐馆等重点区域消防、食品安全督查整治。加强应急救援处置能力建设,提高防灾减灾救灾能力。</w:t>
      </w:r>
    </w:p>
    <w:p>
      <w:pPr>
        <w:ind w:firstLine="602" w:firstLineChars="200"/>
        <w:rPr>
          <w:rFonts w:ascii="仿宋_GB2312" w:eastAsia="仿宋_GB2312"/>
          <w:b/>
          <w:sz w:val="30"/>
          <w:szCs w:val="30"/>
        </w:rPr>
      </w:pPr>
      <w:r>
        <w:rPr>
          <w:rFonts w:hint="eastAsia" w:ascii="仿宋_GB2312" w:eastAsia="仿宋_GB2312"/>
          <w:b/>
          <w:sz w:val="30"/>
          <w:szCs w:val="30"/>
        </w:rPr>
        <w:t>五、提升城市管理水平</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持续开展综合执法，巩固做好文明城市创建工作，重点抓违规占道经营，规范乱停乱放，加大市容环境清理力度，改善背街小巷、卫生死角脏、乱、差等顽固问题。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爱民东道街道在区委、区政府的正确领导下，紧盯目标、狠抓落实，围绕中心、尽职担当，积极应对克服新冠疫情不利影响，统筹做好疫情防控和经济社会发展各项工作，积极完成全年疫情防控、经济发展、机场征迁、民生保障、信访稳定、文明创建等重点工作任务，现将全年工作情况汇报如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、全面取得抗疫胜利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街道所有小区严格落实“十有五做到”，常态化消杀、常态化摸排、常态化宣传。严格管控，充分利用大数据、微信、电话、出入登记、派出所提供信息全面筛查。建立20个临时党支部、16个党员防控疫情宣传队、77个党员先锋岗，充分用好网格员、楼门长、党员志愿者、党员疫情防控服务队和社区巡逻队等工作力量，发挥街道、社区、网格三级网络优势，筑牢群防群控群治的铜墙铁壁。截至目前在各社区、小区悬挂条幅1100余条，发放各类通知通告10万余份，自行制作宣传手册15000册，向辖区企业发放提醒函700份，在小区出入口设置循环广播防疫公告150余处，累计摸排391380人次，外来人员数量8027人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、狠抓文明城市创建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创城工作启动以来，街道党委在市、区两级党委、政府的正确领导和悉心指导下，攻坚克难，以区委创城“十百千万”工作机制为统揽，以探索党建“三评积分”为突破，整合辖区企业、物业各方资源，直面破解老旧小区基础设施薄弱问题，建立领导、目标、机制、队伍、联动五大体系，打好宣传氛围、市容整治、限时整改、全面推进、重点攻坚五大战役，发挥领导垂范、制度管理、五位一体、队伍合作、企业领办五大作用，高质量推进辖区16个社区、120个小区围点攻坚和提升改造工作取得实效。一是强化制度建设，设定工作硬指标。严格按照“创建全国文明城市测评任务清单”逐条对照，吃透精神，逐项建立台账清单，细化分解到社区、到小区、到楼栋，确保各项任务按时保质完成。建立创城提交材料清单和标准模板，确保档案完整和规范。二是创新活动载体，建立文明阵地。对各社区功能室上档升级，配齐各类设施和器材。聚焦“硬件”，整治小区环境、提升背街小巷、维修破损路面、完善四防设施；整合“软件”，配合物业为小区居民提供基本生活服务、安保服务、疫情防控服务等，以智慧化手段打造五分钟服务圈，实现小区“颜值、内涵”双提升。指导各社区通过制作公益广告、发放宣传材料、入户走访、开展活动等形式宣传创城工作。三是调动居民积极性，创建引领新方法。落实区委“三评积分”引领文明创城方法，全面铺开社区十有五坚持、楼栋十有工作。集合各方力量，调动区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、领办企业、社区工作者、楼门长、居民参与创城的积极性。辖区创城国检被查5个点位，省检被查5个点位，未出现一条扣分项，圆满完成迎检任务，为今年廊坊市获得全国文明城市荣誉称号贡献了自己的力量。</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、高质高效完成机构改革</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乡镇和街道机构改革工作要求，爱民东道街道党委高度重视，结合街道实际，精心组织，科学安排，机构改革已初见成效。一是成立组织，制定方案。3月13日，召开党政班子会，成立了由党工委书记任组长，主任任副组长，班子成员、相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负责人为成员的领导小组，确保机关稳定和改革中各项工作顺利推进。领导小组成立后，对改革的有关政策和办法及街道机关人员的实际情况认真研究，反复斟酌，按照上级规定，结合机关的实际情况，研究出机构设置、定岗方法等详细方案。二是加大投入，完备硬件。建设行政服务大厅总面积153平方米。原设有5个办事窗口和一个咨询台，配有独立办公室三个，共有工位8个。窗口开放，环境整洁，配有必备的电脑、打印机、复印件、显示屏等设备，有固定的公开栏和服务标语，有服务指南和办理流程，工位和工作人员标识醒目，有群众休息的场所、咨询台和意见簿。大厅原有工作人员6名，此次机构改革，将设置民生保障、市场准入、涉军事务、卫生健康、城乡建设等窗口。三是公开选拔，竞争上岗。4月30日，召开党政班子会，对32名参加面试人员进行综合测评，配齐街道9个内设机构22个股级岗位。通过公开选拔，一批素质高、能力强的干部脱颖而出，得到了全街工作人员的认可，产生了积极效果。四是明确分工，强化培训。对照《爱民东道方案》中9个内设机构工作职能，逐条缕清工作内容，明确班子成员分工，将所有工作人员调整到9个内设机构。参加执法培训和监督检查人员培训考试报名42人，5月7日在机关四楼会议室对报名人员进行了现场集中培训，参加集中培训37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、加强社区软硬件建设</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质量推进辖区16个社区、120个小区围点攻坚和提升改造工作取得实效。76个无物业小区全部实现道闸落杆，人脸识别系统全部启用，10条背街小巷修整完毕，清理卫生死角1000余处、清理小广告上万条，粉刷楼道十余万平方米，清除违建200余处，增划车位上千个，增加微型消防站60个，悬挂张贴各类公益广告4000余处，使5万人、百万平米的居住环境从根本上实现改观；44个有物业小区全面提高了物业管理水平，提升了小区停车秩序、环境卫生、文明养犬和便民服务工作，配合物业为小区居民提供基本生活服务、安保服务、疫情防控服务等，以智慧化手段打造十五分钟服务圈，实现小区“颜值、内涵”双提升。</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、做好安全生产工作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健全监管责任体系。所辖16个居委会，1000余家在册企业、门店，在年初结合疫情特殊情况及辖区实际，对办事处科股室、社区、企业《安全生产责任书》进行了全面修订，制定了三级责任体系，街道与居委会签订安全生产责任书，居委会与辖区企业门店签订安全生产责任书。主要领导、分管领导带队检查近12余次，各包片领导分别带队检查各12余次，安排调度安全生产工作会议12次。二是全面落实整改到位。我办事处《安全生产风险管控与隐患排查治理工作》台账中共17家企业，无风险等级为重大、较大的企业，风险等级为一般的有6家企业，风险等级为低的企业有11家。自查出隐患共32处，均已整改完毕。成立联合检查组对辖区所有涉及领域的企业进行安全生产大检查，共检查300余家，发现一般隐患20余条，并对社区排查的隐患进行再复查，现均已整改完毕。开展安全生产三年行动专项整治，进行集中排查近6次，共出动30余人次，检查企业120余家，发现隐患20处，均已责令整改完毕。三是丰富培训教育知识。制定可行的宣传手段和教育工作方法，把安全生产宣传、教育、培训落到实处，组织辖区企业进行安全生产、消防安全培训，辖区11家企业自行组织消防演练。在“安全生产月宣”传活动，发放相关材料1000余份，企业、居委会等悬挂安全生产条幅30余幅。</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、完成大气治理工作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严格管控涉气企业。针对辖区内现存涉气企业共8家其中6家印刷企业，2家汽修企业。自从自然资源和生态环境办公室六月份成立以来共出动280余次、400余人次每日针对辖区内涉气企业的VOCs设备开启情况，危废物品是否及时收纳危废间及危废台账等进行检查，发现问题现场督导整改。二是加大工地巡查。对北凤道南侧的雨污分流工程、银河领域三期等工地，每日至少巡查1次至2次，确保辖区内施工工地严格按照“6个百分百”进行施工作业，每次巡查过程中认真填写巡查日志，发现违规施工现象立即责令停工整改，整改完毕并通过验收后，才准许复工。三是加强散乱污治理。原有的散乱污企业共17家，现已取缔13家。我街道制定巡查记录表不定期对账内17家企业进行检查，查看是否存在复工复产、偷排漏排等迹象，确保无违规生产情况发生。认真检查平房区内每处角落，确保辖区内平房无散煤无劈柴，切实做到洁净取暖。四是重点管控餐饮油烟。我辖区共有餐饮企业221家。对在监控点一公里范围内餐饮企业共38家每日进行巡查，设立巡查台账，确保油烟净化器清洗记录在有效期内。对其余83家，根据网格员分管划分，每日对2公里以内涉油烟企业，如有发现油烟净化器清洗记录过期，或油烟净化器未开启，现场督导整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、做好综合执法工作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行政执法队成立以来认真贯彻执行上级关于综合行政执法工作的一系列文件精神，积极探索行政执法工作的新思路，努力创新工作机制，不断优化执法环境，拓宽行政执法领域，切实提高了行政执法的针对性和实效性。一是认真学习理论知识。6月5日，按照区司法局《关于组织乡镇和街道行政执法事项专题培训的通知》参加首次培训。9月11日，按照区司法局参加《关于召开行政执法案卷和三项制度培训会的通知》培训，会后执法队积极组织认真学习52项职能、行政执法案卷和三项制度并做好学习笔记。二是与多</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联合执法、学习实践经验。按照《廊坊市广阳区推进乡镇和街道综合行政执法改革过渡期工作方案》要求，将2020年7月27日至2020年9月30日设置为改革过渡期。主持并参与了统建楼市场整治、农兴里居民投诉、峰尚写字楼商户传销等案件，通过与多</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联合执法，实践探索，推进综合行政执法改革，提升了学习执法效率、实现执法全覆盖、树立了执法新品牌，一些经验做法非常值得总结和提炼。三是做好司法相关工作。积极开展学法、用法普法宣传活动，同时做好人民调解、社区矫正、法律援助和刑释解教工作。爱民东道司法所被评为河北省“七五”普法中期先进集体。</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、做好退役军人服务工作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实现软硬件标准化配置。街道本级以及16个社区退役军人服务站统一按照上级要求对人员配置，街道服务站配置有站长1名，工作人员3名，各社区服务站配置有站长1名（由社区书记兼任），1名工作人员（由两委兼任）。档案健全，制度完善。二是完成信息采集以及优待证发放审验工作。本辖区自统退役军人1409人，优待证发放3049人，悬挂光荣牌2720户，包联人数共计179人。完成600多位转制军人采集信息工作。从2020年10月我服务站开始为进行审验，由于我辖区内单位较多，人员较为分散，服务站工作人员积极与各辖区单位负责人联系，完成2400位退役军人以及其他优抚对象优待证审验。三是落实优抚政策。2020年12月我街道退役军人服务站为荣立三等功的退役士官送喜报一次。两次为辖区每位重点优抚对象发放慰问金500元和慰问信，并为辖区内退役军人及现役军人家属发放慰问信1500余份，为49位义务兵家属发放优待金共计1487775元，为119名退役军人建立“五包一”台账。完成认证核查重点优抚对象114人、60岁农村籍士兵13人，为136位优抚对象进行体检。并为重点优抚对象申请医疗救助共计5人次。帮助一位符合条件的低保退役军人申请关爱基金5000元。协助6位退役军人登记了公益性岗位申请。</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、强化社会综合治理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学习《中国共产党政法工作条例》。把学习《中国共产党政法工作条例》作为日常工作的一项重要组成部分，今年上半年以来我街道先后组织班子成员、街道股级干部和社区书记、全体机关人员系统学习条例内容，并通过社区搞活动把学习人员扩大到社区居民，目前取得了一定的效果。二是排查纠纷，做好稳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元旦、春节前后、“两会”、“暑期”等重点期间，组织开展了集中矛盾纠纷排查调处活动，有效化解了大量矛盾纠纷。稳控好8023涉核人员、金吉通重点人员、卓达非法集资人员、退伍兵安置人员、参加自卫反击战人员，未发生一起串联上访和群体访事件。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4.25、5.13、7.22”敏感节点各社区一是深入开展反邪教宣传活动，通过发放资料、悬挂标语来宣传，使辖区群众增强反邪教意识和反邪教自觉性。做好铁路安全保卫工作，在全国“两会”我街道派专人在京沪铁路71.4-72公里处进行24小时巡护，确保了会议的顺利召开。三是用好“群众说事、干部解题”平台。街道全力推进“群众说事、干部解题”工作机制，成立了领导小组和相关的制度、职责，此工作平台分为线上，线下两个渠道同时运行，群众随时反应遇到的大小问题，平台交办督办，</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协同联动，解决群众的各类问题。线下做好台账管理，各社区成立了“说事室”（16个），并在辖区内设立了“说事厅”（16个）“说事箱”（16个）；线上利用“群众说事、干部解题”平台网格员随时处理各类纠纷问题，截至目前线上共处理58件、线下共处理 55 件。</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numPr>
          <w:ilvl w:val="0"/>
          <w:numId w:val="1"/>
        </w:numPr>
        <w:overflowPunct w:val="0"/>
        <w:adjustRightInd w:val="0"/>
        <w:snapToGrid w:val="0"/>
        <w:spacing w:afterLines="50" w:line="580" w:lineRule="exact"/>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46"/>
        <w:gridCol w:w="1134"/>
        <w:gridCol w:w="1418"/>
        <w:gridCol w:w="1842"/>
        <w:gridCol w:w="2201"/>
        <w:gridCol w:w="776"/>
        <w:gridCol w:w="567"/>
        <w:gridCol w:w="992"/>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33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68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46" w:type="dxa"/>
            <w:vMerge w:val="continue"/>
            <w:tcBorders>
              <w:tl2br w:val="nil"/>
              <w:tr2bl w:val="nil"/>
            </w:tcBorders>
            <w:vAlign w:val="center"/>
          </w:tcPr>
          <w:p/>
        </w:tc>
        <w:tc>
          <w:tcPr>
            <w:tcW w:w="1134" w:type="dxa"/>
            <w:vMerge w:val="continue"/>
            <w:tcBorders>
              <w:tl2br w:val="nil"/>
              <w:tr2bl w:val="nil"/>
            </w:tcBorders>
            <w:vAlign w:val="center"/>
          </w:tcPr>
          <w:p/>
        </w:tc>
        <w:tc>
          <w:tcPr>
            <w:tcW w:w="1418" w:type="dxa"/>
            <w:vMerge w:val="continue"/>
            <w:tcBorders>
              <w:tl2br w:val="nil"/>
              <w:tr2bl w:val="nil"/>
            </w:tcBorders>
            <w:vAlign w:val="center"/>
          </w:tcPr>
          <w:p/>
        </w:tc>
        <w:tc>
          <w:tcPr>
            <w:tcW w:w="1842" w:type="dxa"/>
            <w:vMerge w:val="continue"/>
            <w:tcBorders>
              <w:tl2br w:val="nil"/>
              <w:tr2bl w:val="nil"/>
            </w:tcBorders>
            <w:vAlign w:val="center"/>
          </w:tcPr>
          <w:p/>
        </w:tc>
        <w:tc>
          <w:tcPr>
            <w:tcW w:w="2201" w:type="dxa"/>
            <w:vMerge w:val="continue"/>
            <w:tcBorders>
              <w:tl2br w:val="nil"/>
              <w:tr2bl w:val="nil"/>
            </w:tcBorders>
            <w:vAlign w:val="center"/>
          </w:tcPr>
          <w:p/>
        </w:tc>
        <w:tc>
          <w:tcPr>
            <w:tcW w:w="77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68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46" w:type="dxa"/>
            <w:vMerge w:val="restart"/>
            <w:tcBorders>
              <w:tl2br w:val="nil"/>
              <w:tr2bl w:val="nil"/>
            </w:tcBorders>
            <w:vAlign w:val="center"/>
          </w:tcPr>
          <w:p>
            <w:pPr>
              <w:rPr>
                <w:rFonts w:cs="Calibri"/>
                <w:color w:val="000000"/>
                <w:sz w:val="22"/>
              </w:rPr>
            </w:pPr>
            <w:r>
              <w:rPr>
                <w:rFonts w:hint="eastAsia" w:cs="Calibri"/>
                <w:color w:val="000000"/>
                <w:sz w:val="22"/>
                <w:lang w:eastAsia="zh-CN"/>
              </w:rPr>
              <w:t>单位</w:t>
            </w:r>
            <w:r>
              <w:rPr>
                <w:rFonts w:cs="Calibri"/>
                <w:color w:val="000000"/>
                <w:sz w:val="22"/>
              </w:rPr>
              <w:t>产出</w:t>
            </w:r>
          </w:p>
        </w:tc>
        <w:tc>
          <w:tcPr>
            <w:tcW w:w="1134" w:type="dxa"/>
            <w:tcBorders>
              <w:tl2br w:val="nil"/>
              <w:tr2bl w:val="nil"/>
            </w:tcBorders>
            <w:vAlign w:val="center"/>
          </w:tcPr>
          <w:p>
            <w:pPr>
              <w:rPr>
                <w:rFonts w:cs="Calibri"/>
                <w:color w:val="000000"/>
                <w:sz w:val="22"/>
              </w:rPr>
            </w:pPr>
            <w:r>
              <w:rPr>
                <w:rFonts w:cs="Calibri"/>
                <w:color w:val="000000"/>
                <w:sz w:val="22"/>
              </w:rPr>
              <w:t>数量</w:t>
            </w:r>
          </w:p>
        </w:tc>
        <w:tc>
          <w:tcPr>
            <w:tcW w:w="1418"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考核人数</w:t>
            </w:r>
          </w:p>
          <w:p>
            <w:pPr>
              <w:rPr>
                <w:rFonts w:hint="eastAsia" w:ascii="仿宋_GB2312" w:hAnsi="仿宋_GB2312" w:eastAsia="仿宋_GB2312" w:cs="仿宋_GB2312"/>
                <w:color w:val="000000"/>
                <w:sz w:val="21"/>
                <w:szCs w:val="21"/>
              </w:rPr>
            </w:pPr>
          </w:p>
        </w:tc>
        <w:tc>
          <w:tcPr>
            <w:tcW w:w="184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此项20分，每少1人扣1分</w:t>
            </w:r>
          </w:p>
        </w:tc>
        <w:tc>
          <w:tcPr>
            <w:tcW w:w="2201"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按计划应参加年终考核人数</w:t>
            </w:r>
          </w:p>
        </w:tc>
        <w:tc>
          <w:tcPr>
            <w:tcW w:w="77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6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w:t>
            </w:r>
          </w:p>
        </w:tc>
        <w:tc>
          <w:tcPr>
            <w:tcW w:w="99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考核合格率</w:t>
            </w:r>
          </w:p>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cs="Calibri"/>
                <w:color w:val="000000"/>
                <w:sz w:val="22"/>
              </w:rPr>
            </w:pPr>
          </w:p>
        </w:tc>
        <w:tc>
          <w:tcPr>
            <w:tcW w:w="1134" w:type="dxa"/>
            <w:tcBorders>
              <w:tl2br w:val="nil"/>
              <w:tr2bl w:val="nil"/>
            </w:tcBorders>
            <w:vAlign w:val="center"/>
          </w:tcPr>
          <w:p>
            <w:pPr>
              <w:rPr>
                <w:rFonts w:cs="Calibri"/>
                <w:color w:val="000000"/>
                <w:sz w:val="22"/>
              </w:rPr>
            </w:pPr>
            <w:r>
              <w:rPr>
                <w:rFonts w:cs="Calibri"/>
                <w:color w:val="000000"/>
                <w:sz w:val="22"/>
              </w:rPr>
              <w:t>质量</w:t>
            </w:r>
          </w:p>
        </w:tc>
        <w:tc>
          <w:tcPr>
            <w:tcW w:w="1418"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到位率</w:t>
            </w:r>
          </w:p>
          <w:p>
            <w:pPr>
              <w:rPr>
                <w:rFonts w:hint="eastAsia" w:ascii="仿宋_GB2312" w:hAnsi="仿宋_GB2312" w:eastAsia="仿宋_GB2312" w:cs="仿宋_GB2312"/>
                <w:color w:val="000000"/>
                <w:sz w:val="21"/>
                <w:szCs w:val="21"/>
              </w:rPr>
            </w:pPr>
          </w:p>
        </w:tc>
        <w:tc>
          <w:tcPr>
            <w:tcW w:w="184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此项20分，每少1%扣0.20</w:t>
            </w:r>
          </w:p>
        </w:tc>
        <w:tc>
          <w:tcPr>
            <w:tcW w:w="2201"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社会保险补贴资金实际发放资金/应发放资金总额</w:t>
            </w:r>
          </w:p>
        </w:tc>
        <w:tc>
          <w:tcPr>
            <w:tcW w:w="77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6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9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资产发放情况</w:t>
            </w:r>
          </w:p>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46" w:type="dxa"/>
            <w:vMerge w:val="continue"/>
            <w:tcBorders>
              <w:tl2br w:val="nil"/>
              <w:tr2bl w:val="nil"/>
            </w:tcBorders>
            <w:vAlign w:val="center"/>
          </w:tcPr>
          <w:p>
            <w:pPr>
              <w:rPr>
                <w:rFonts w:cs="Calibri"/>
                <w:color w:val="000000"/>
                <w:sz w:val="22"/>
              </w:rPr>
            </w:pPr>
          </w:p>
        </w:tc>
        <w:tc>
          <w:tcPr>
            <w:tcW w:w="1134" w:type="dxa"/>
            <w:tcBorders>
              <w:tl2br w:val="nil"/>
              <w:tr2bl w:val="nil"/>
            </w:tcBorders>
            <w:vAlign w:val="center"/>
          </w:tcPr>
          <w:p>
            <w:pPr>
              <w:rPr>
                <w:rFonts w:cs="Calibri"/>
                <w:color w:val="000000"/>
                <w:sz w:val="22"/>
              </w:rPr>
            </w:pPr>
            <w:r>
              <w:rPr>
                <w:rFonts w:cs="Calibri"/>
                <w:color w:val="000000"/>
                <w:sz w:val="22"/>
              </w:rPr>
              <w:t>时效</w:t>
            </w:r>
          </w:p>
        </w:tc>
        <w:tc>
          <w:tcPr>
            <w:tcW w:w="1418"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经费保障率</w:t>
            </w:r>
          </w:p>
          <w:p>
            <w:pPr>
              <w:rPr>
                <w:rFonts w:hint="eastAsia" w:ascii="仿宋_GB2312" w:hAnsi="仿宋_GB2312" w:eastAsia="仿宋_GB2312" w:cs="仿宋_GB2312"/>
                <w:color w:val="000000"/>
                <w:sz w:val="21"/>
                <w:szCs w:val="21"/>
              </w:rPr>
            </w:pPr>
          </w:p>
        </w:tc>
        <w:tc>
          <w:tcPr>
            <w:tcW w:w="184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此项20分，没延时一次扣1分</w:t>
            </w:r>
          </w:p>
        </w:tc>
        <w:tc>
          <w:tcPr>
            <w:tcW w:w="2201"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社会保险补贴资金按要求实施进度支付</w:t>
            </w:r>
          </w:p>
        </w:tc>
        <w:tc>
          <w:tcPr>
            <w:tcW w:w="77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描述</w:t>
            </w:r>
          </w:p>
        </w:tc>
        <w:tc>
          <w:tcPr>
            <w:tcW w:w="56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9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按时发放</w:t>
            </w: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补贴按时发放</w:t>
            </w:r>
          </w:p>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continue"/>
            <w:tcBorders>
              <w:tl2br w:val="nil"/>
              <w:tr2bl w:val="nil"/>
            </w:tcBorders>
            <w:vAlign w:val="center"/>
          </w:tcPr>
          <w:p>
            <w:pPr>
              <w:rPr>
                <w:rFonts w:cs="Calibri"/>
                <w:color w:val="000000"/>
                <w:sz w:val="22"/>
              </w:rPr>
            </w:pPr>
          </w:p>
        </w:tc>
        <w:tc>
          <w:tcPr>
            <w:tcW w:w="1134" w:type="dxa"/>
            <w:tcBorders>
              <w:tl2br w:val="nil"/>
              <w:tr2bl w:val="nil"/>
            </w:tcBorders>
            <w:vAlign w:val="center"/>
          </w:tcPr>
          <w:p>
            <w:pPr>
              <w:rPr>
                <w:rFonts w:cs="Calibri"/>
                <w:color w:val="000000"/>
                <w:sz w:val="22"/>
              </w:rPr>
            </w:pPr>
            <w:r>
              <w:rPr>
                <w:rFonts w:cs="Calibri"/>
                <w:color w:val="000000"/>
                <w:sz w:val="22"/>
              </w:rPr>
              <w:t>成本</w:t>
            </w:r>
          </w:p>
        </w:tc>
        <w:tc>
          <w:tcPr>
            <w:tcW w:w="1418"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资金成本</w:t>
            </w:r>
          </w:p>
          <w:p>
            <w:pPr>
              <w:rPr>
                <w:rFonts w:hint="eastAsia" w:ascii="仿宋_GB2312" w:hAnsi="仿宋_GB2312" w:eastAsia="仿宋_GB2312" w:cs="仿宋_GB2312"/>
                <w:color w:val="000000"/>
                <w:sz w:val="21"/>
                <w:szCs w:val="21"/>
              </w:rPr>
            </w:pPr>
          </w:p>
        </w:tc>
        <w:tc>
          <w:tcPr>
            <w:tcW w:w="184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此项20分，每超出预算额的1%扣1分</w:t>
            </w:r>
          </w:p>
          <w:p>
            <w:pPr>
              <w:rPr>
                <w:rFonts w:hint="eastAsia" w:ascii="仿宋_GB2312" w:hAnsi="仿宋_GB2312" w:eastAsia="仿宋_GB2312" w:cs="仿宋_GB2312"/>
                <w:color w:val="000000"/>
                <w:sz w:val="21"/>
                <w:szCs w:val="21"/>
              </w:rPr>
            </w:pPr>
          </w:p>
        </w:tc>
        <w:tc>
          <w:tcPr>
            <w:tcW w:w="2201"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各个专项支出额度小于等于预算额度</w:t>
            </w:r>
          </w:p>
        </w:tc>
        <w:tc>
          <w:tcPr>
            <w:tcW w:w="776" w:type="dxa"/>
            <w:tcBorders>
              <w:tl2br w:val="nil"/>
              <w:tr2bl w:val="nil"/>
            </w:tcBorders>
            <w:vAlign w:val="center"/>
          </w:tcPr>
          <w:p>
            <w:pPr>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p>
            <w:pPr>
              <w:widowControl/>
              <w:adjustRightInd w:val="0"/>
              <w:snapToGrid w:val="0"/>
              <w:jc w:val="center"/>
              <w:rPr>
                <w:rFonts w:hint="eastAsia" w:ascii="仿宋_GB2312" w:hAnsi="仿宋_GB2312" w:eastAsia="仿宋_GB2312" w:cs="仿宋_GB2312"/>
                <w:sz w:val="21"/>
                <w:szCs w:val="21"/>
              </w:rPr>
            </w:pPr>
          </w:p>
        </w:tc>
        <w:tc>
          <w:tcPr>
            <w:tcW w:w="56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99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预算额度</w:t>
            </w:r>
          </w:p>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46" w:type="dxa"/>
            <w:vMerge w:val="restart"/>
            <w:tcBorders>
              <w:tl2br w:val="nil"/>
              <w:tr2bl w:val="nil"/>
            </w:tcBorders>
            <w:vAlign w:val="center"/>
          </w:tcPr>
          <w:p>
            <w:pPr>
              <w:rPr>
                <w:rFonts w:cs="Calibri"/>
                <w:color w:val="000000"/>
                <w:sz w:val="22"/>
              </w:rPr>
            </w:pPr>
            <w:r>
              <w:rPr>
                <w:rFonts w:hint="eastAsia" w:cs="Calibri"/>
                <w:color w:val="000000"/>
                <w:sz w:val="22"/>
                <w:lang w:eastAsia="zh-CN"/>
              </w:rPr>
              <w:t>单位</w:t>
            </w:r>
            <w:r>
              <w:rPr>
                <w:rFonts w:hint="eastAsia" w:cs="Calibri"/>
                <w:color w:val="000000"/>
                <w:sz w:val="22"/>
              </w:rPr>
              <w:t>效果</w:t>
            </w:r>
          </w:p>
        </w:tc>
        <w:tc>
          <w:tcPr>
            <w:tcW w:w="1134" w:type="dxa"/>
            <w:tcBorders>
              <w:tl2br w:val="nil"/>
              <w:tr2bl w:val="nil"/>
            </w:tcBorders>
            <w:vAlign w:val="center"/>
          </w:tcPr>
          <w:p>
            <w:pPr>
              <w:rPr>
                <w:rFonts w:cs="Calibri"/>
                <w:color w:val="000000"/>
                <w:sz w:val="22"/>
              </w:rPr>
            </w:pPr>
            <w:r>
              <w:rPr>
                <w:rFonts w:cs="Calibri"/>
                <w:color w:val="000000"/>
                <w:sz w:val="22"/>
              </w:rPr>
              <w:t>社会</w:t>
            </w:r>
          </w:p>
          <w:p>
            <w:pPr>
              <w:rPr>
                <w:rFonts w:cs="Calibri"/>
                <w:color w:val="000000"/>
                <w:sz w:val="22"/>
              </w:rPr>
            </w:pPr>
            <w:r>
              <w:rPr>
                <w:rFonts w:cs="Calibri"/>
                <w:color w:val="000000"/>
                <w:sz w:val="22"/>
              </w:rPr>
              <w:t>效益</w:t>
            </w:r>
          </w:p>
        </w:tc>
        <w:tc>
          <w:tcPr>
            <w:tcW w:w="1418"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思想政治工作稳步提高</w:t>
            </w:r>
          </w:p>
          <w:p>
            <w:pPr>
              <w:rPr>
                <w:rFonts w:hint="eastAsia" w:ascii="仿宋_GB2312" w:hAnsi="仿宋_GB2312" w:eastAsia="仿宋_GB2312" w:cs="仿宋_GB2312"/>
                <w:color w:val="000000"/>
                <w:sz w:val="21"/>
                <w:szCs w:val="21"/>
              </w:rPr>
            </w:pPr>
          </w:p>
        </w:tc>
        <w:tc>
          <w:tcPr>
            <w:tcW w:w="184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此项10分 基本实现目标80%-100%，部分实现目标60%-80%，实现目标较低不得分</w:t>
            </w:r>
          </w:p>
        </w:tc>
        <w:tc>
          <w:tcPr>
            <w:tcW w:w="2201"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抓工作实效，创新突破</w:t>
            </w:r>
          </w:p>
          <w:p>
            <w:pPr>
              <w:widowControl/>
              <w:adjustRightInd w:val="0"/>
              <w:snapToGrid w:val="0"/>
              <w:rPr>
                <w:rFonts w:hint="eastAsia" w:ascii="仿宋_GB2312" w:hAnsi="仿宋_GB2312" w:eastAsia="仿宋_GB2312" w:cs="仿宋_GB2312"/>
                <w:sz w:val="21"/>
                <w:szCs w:val="21"/>
              </w:rPr>
            </w:pPr>
          </w:p>
        </w:tc>
        <w:tc>
          <w:tcPr>
            <w:tcW w:w="776"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文字</w:t>
            </w:r>
          </w:p>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描述</w:t>
            </w:r>
          </w:p>
        </w:tc>
        <w:tc>
          <w:tcPr>
            <w:tcW w:w="567"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p>
        </w:tc>
        <w:tc>
          <w:tcPr>
            <w:tcW w:w="992" w:type="dxa"/>
            <w:tcBorders>
              <w:tl2br w:val="nil"/>
              <w:tr2bl w:val="nil"/>
            </w:tcBorders>
            <w:vAlign w:val="center"/>
          </w:tcPr>
          <w:p>
            <w:pPr>
              <w:widowControl/>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稳步提高</w:t>
            </w: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街区干部思想政治稳步提升</w:t>
            </w:r>
          </w:p>
          <w:p>
            <w:pPr>
              <w:widowControl/>
              <w:adjustRightInd w:val="0"/>
              <w:snapToGrid w:val="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46" w:type="dxa"/>
            <w:vMerge w:val="continue"/>
            <w:tcBorders>
              <w:tl2br w:val="nil"/>
              <w:tr2bl w:val="nil"/>
            </w:tcBorders>
            <w:vAlign w:val="center"/>
          </w:tcPr>
          <w:p>
            <w:pPr>
              <w:rPr>
                <w:rFonts w:cs="Calibri"/>
                <w:color w:val="000000"/>
                <w:sz w:val="22"/>
              </w:rPr>
            </w:pPr>
          </w:p>
        </w:tc>
        <w:tc>
          <w:tcPr>
            <w:tcW w:w="1134" w:type="dxa"/>
            <w:tcBorders>
              <w:tl2br w:val="nil"/>
              <w:tr2bl w:val="nil"/>
            </w:tcBorders>
            <w:vAlign w:val="center"/>
          </w:tcPr>
          <w:p>
            <w:pPr>
              <w:rPr>
                <w:rFonts w:cs="Calibri"/>
                <w:color w:val="000000"/>
                <w:sz w:val="22"/>
              </w:rPr>
            </w:pPr>
            <w:r>
              <w:rPr>
                <w:rFonts w:hint="eastAsia" w:cs="Calibri"/>
                <w:color w:val="000000"/>
                <w:sz w:val="22"/>
              </w:rPr>
              <w:t>满意度</w:t>
            </w:r>
          </w:p>
        </w:tc>
        <w:tc>
          <w:tcPr>
            <w:tcW w:w="1418" w:type="dxa"/>
            <w:tcBorders>
              <w:tl2br w:val="nil"/>
              <w:tr2bl w:val="nil"/>
            </w:tcBorders>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职工满意度</w:t>
            </w:r>
          </w:p>
          <w:p>
            <w:pPr>
              <w:rPr>
                <w:rFonts w:hint="eastAsia" w:ascii="仿宋_GB2312" w:hAnsi="仿宋_GB2312" w:eastAsia="仿宋_GB2312" w:cs="仿宋_GB2312"/>
                <w:color w:val="000000"/>
                <w:sz w:val="21"/>
                <w:szCs w:val="21"/>
              </w:rPr>
            </w:pPr>
          </w:p>
        </w:tc>
        <w:tc>
          <w:tcPr>
            <w:tcW w:w="1842" w:type="dxa"/>
            <w:tcBorders>
              <w:tl2br w:val="nil"/>
              <w:tr2bl w:val="nil"/>
            </w:tcBorders>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此项10分，每少1%扣0.2分</w:t>
            </w:r>
          </w:p>
        </w:tc>
        <w:tc>
          <w:tcPr>
            <w:tcW w:w="2201" w:type="dxa"/>
            <w:tcBorders>
              <w:tl2br w:val="nil"/>
              <w:tr2bl w:val="nil"/>
            </w:tcBorders>
            <w:noWrap/>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机关工作人员对办公条件满意度</w:t>
            </w:r>
          </w:p>
        </w:tc>
        <w:tc>
          <w:tcPr>
            <w:tcW w:w="776" w:type="dxa"/>
            <w:tcBorders>
              <w:tl2br w:val="nil"/>
              <w:tr2bl w:val="nil"/>
            </w:tcBorders>
            <w:vAlign w:val="center"/>
          </w:tcPr>
          <w:tbl>
            <w:tblPr>
              <w:tblStyle w:val="8"/>
              <w:tblW w:w="6880" w:type="dxa"/>
              <w:tblInd w:w="0" w:type="dxa"/>
              <w:tblLayout w:type="fixed"/>
              <w:tblCellMar>
                <w:top w:w="0" w:type="dxa"/>
                <w:left w:w="108" w:type="dxa"/>
                <w:bottom w:w="0" w:type="dxa"/>
                <w:right w:w="108" w:type="dxa"/>
              </w:tblCellMar>
            </w:tblPr>
            <w:tblGrid>
              <w:gridCol w:w="1720"/>
              <w:gridCol w:w="1040"/>
              <w:gridCol w:w="2060"/>
              <w:gridCol w:w="2060"/>
            </w:tblGrid>
            <w:tr>
              <w:tblPrEx>
                <w:tblCellMar>
                  <w:top w:w="0" w:type="dxa"/>
                  <w:left w:w="108" w:type="dxa"/>
                  <w:bottom w:w="0" w:type="dxa"/>
                  <w:right w:w="108" w:type="dxa"/>
                </w:tblCellMar>
              </w:tblPrEx>
              <w:trPr>
                <w:trHeight w:val="330" w:hRule="atLeast"/>
              </w:trPr>
              <w:tc>
                <w:tcPr>
                  <w:tcW w:w="1720" w:type="dxa"/>
                  <w:tcBorders>
                    <w:top w:val="nil"/>
                    <w:left w:val="nil"/>
                    <w:bottom w:val="nil"/>
                    <w:right w:val="nil"/>
                  </w:tcBorders>
                  <w:shd w:val="clear" w:color="auto" w:fill="auto"/>
                  <w:noWrap/>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1040" w:type="dxa"/>
                  <w:tcBorders>
                    <w:top w:val="nil"/>
                    <w:left w:val="nil"/>
                    <w:bottom w:val="nil"/>
                    <w:right w:val="nil"/>
                  </w:tcBorders>
                  <w:shd w:val="clear" w:color="auto" w:fill="auto"/>
                  <w:noWrap/>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90</w:t>
                  </w:r>
                </w:p>
              </w:tc>
              <w:tc>
                <w:tcPr>
                  <w:tcW w:w="2060" w:type="dxa"/>
                  <w:tcBorders>
                    <w:top w:val="nil"/>
                    <w:left w:val="nil"/>
                    <w:bottom w:val="nil"/>
                    <w:right w:val="nil"/>
                  </w:tcBorders>
                  <w:shd w:val="clear" w:color="auto" w:fill="auto"/>
                  <w:noWrap/>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2060" w:type="dxa"/>
                  <w:tcBorders>
                    <w:top w:val="nil"/>
                    <w:left w:val="nil"/>
                    <w:bottom w:val="nil"/>
                    <w:right w:val="nil"/>
                  </w:tcBorders>
                  <w:shd w:val="clear" w:color="auto" w:fill="auto"/>
                  <w:noWrap/>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机关工作人员满意</w:t>
                  </w:r>
                </w:p>
              </w:tc>
            </w:tr>
          </w:tbl>
          <w:p>
            <w:pPr>
              <w:widowControl/>
              <w:adjustRightInd w:val="0"/>
              <w:snapToGrid w:val="0"/>
              <w:rPr>
                <w:rFonts w:hint="eastAsia" w:ascii="仿宋_GB2312" w:hAnsi="仿宋_GB2312" w:eastAsia="仿宋_GB2312" w:cs="仿宋_GB2312"/>
                <w:sz w:val="21"/>
                <w:szCs w:val="21"/>
              </w:rPr>
            </w:pPr>
          </w:p>
        </w:tc>
        <w:tc>
          <w:tcPr>
            <w:tcW w:w="56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90</w:t>
            </w:r>
          </w:p>
          <w:p>
            <w:pPr>
              <w:widowControl/>
              <w:adjustRightInd w:val="0"/>
              <w:snapToGrid w:val="0"/>
              <w:rPr>
                <w:rFonts w:hint="eastAsia" w:ascii="仿宋_GB2312" w:hAnsi="仿宋_GB2312" w:eastAsia="仿宋_GB2312" w:cs="仿宋_GB2312"/>
                <w:sz w:val="21"/>
                <w:szCs w:val="21"/>
              </w:rPr>
            </w:pPr>
          </w:p>
        </w:tc>
        <w:tc>
          <w:tcPr>
            <w:tcW w:w="992"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p>
            <w:pPr>
              <w:widowControl/>
              <w:adjustRightInd w:val="0"/>
              <w:snapToGrid w:val="0"/>
              <w:rPr>
                <w:rFonts w:hint="eastAsia" w:ascii="仿宋_GB2312" w:hAnsi="仿宋_GB2312" w:eastAsia="仿宋_GB2312" w:cs="仿宋_GB2312"/>
                <w:sz w:val="21"/>
                <w:szCs w:val="21"/>
              </w:rPr>
            </w:pPr>
          </w:p>
        </w:tc>
        <w:tc>
          <w:tcPr>
            <w:tcW w:w="2687" w:type="dxa"/>
            <w:tcBorders>
              <w:tl2br w:val="nil"/>
              <w:tr2bl w:val="nil"/>
            </w:tcBorders>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机关工作人员满意</w:t>
            </w:r>
          </w:p>
          <w:p>
            <w:pPr>
              <w:widowControl/>
              <w:adjustRightInd w:val="0"/>
              <w:snapToGrid w:val="0"/>
              <w:rPr>
                <w:rFonts w:hint="eastAsia" w:ascii="仿宋_GB2312" w:hAnsi="仿宋_GB2312" w:eastAsia="仿宋_GB2312" w:cs="仿宋_GB2312"/>
                <w:sz w:val="21"/>
                <w:szCs w:val="21"/>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1.机关事务管理经费绩效目标表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1.""保证街道的日常工作的正常运转，取暖、慰问的办公经费。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保障办公人数</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保障办公人数</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≥112人</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反映保障办公人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反映各项日常工作保障率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经费保障及时性</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经费保障及时性</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及时</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反映及时保障各项日常办公需要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日常公用支出</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日常公用支出</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≤60万</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反映办公费及其他公用经费的开支标准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保障日常办公需要，维持单位正常运转</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保障单位正常运转</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维持单位正常运转</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反映保障日常办公需要，维持单位正常运转。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日常办公保障满意度</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机关工作人员对日常办公保障满意度</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问询</w:t>
            </w:r>
          </w:p>
        </w:tc>
      </w:tr>
    </w:tbl>
    <w:p>
      <w:pPr>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 xml:space="preserve"> 社区党组织服务群众专项经费[区级]</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400" w:lineRule="exact"/>
              <w:rPr>
                <w:rFonts w:hint="eastAsia" w:ascii="仿宋_GB2312" w:hAnsi="仿宋_GB2312" w:eastAsia="仿宋_GB2312" w:cs="仿宋_GB2312"/>
                <w:b/>
              </w:rPr>
            </w:pPr>
            <w:r>
              <w:rPr>
                <w:rFonts w:hint="eastAsia" w:ascii="仿宋_GB2312" w:hAnsi="仿宋_GB2312" w:eastAsia="仿宋_GB2312" w:cs="仿宋_GB2312"/>
              </w:rPr>
              <w:t>1."提社区级组织服务群众能力，加强社区综合服务站日常运转，加强公共设施维护。"</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社区数量</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需要经费予以保障的村街数</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16社区</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反映各项服务群众工作保障情况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经费保障及时率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反映及时保障各项服务群众办公需要情况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资金成本</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反映社区组织服务群众经费单位成本</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15万元/年/社区</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社区正常运转</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反映社区正常运转情况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进一步提高</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辖区社区居民满意度</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调查中对社区服务群众活动满意和较满意社区数占调查总人数的比率</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问卷调查</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3.</w:t>
      </w:r>
      <w:r>
        <w:rPr>
          <w:rFonts w:hint="eastAsia" w:ascii="仿宋_GB2312" w:hAnsi="仿宋_GB2312" w:eastAsia="仿宋_GB2312" w:cs="仿宋_GB2312"/>
          <w:color w:val="000000"/>
          <w:sz w:val="28"/>
        </w:rPr>
        <w:t xml:space="preserve"> 社区工作经费[区级]</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1."维持社区组织正常运转，提升社区组织服务群众能力，提高社区组织办事效率。"</w:t>
            </w:r>
          </w:p>
          <w:p>
            <w:pPr>
              <w:spacing w:line="400" w:lineRule="exact"/>
              <w:rPr>
                <w:rFonts w:hint="eastAsia" w:ascii="仿宋_GB2312" w:hAnsi="仿宋_GB2312" w:eastAsia="仿宋_GB2312" w:cs="仿宋_GB2312"/>
                <w:b/>
              </w:rPr>
            </w:pPr>
            <w:r>
              <w:rPr>
                <w:rFonts w:hint="eastAsia" w:ascii="仿宋_GB2312" w:hAnsi="仿宋_GB2312" w:eastAsia="仿宋_GB2312" w:cs="仿宋_GB2312"/>
              </w:rPr>
              <w:t>2.保障社区组织办公正常运转，按时按季度发放社区组织办公经费。</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社区数量</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需要经费予以保障的社区数</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16社区</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反映各项日常工作保障情况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经费保障及时率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反映及时保障各项日常办公需要情况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单位成本</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反映村级组织办公经费单位成本</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10万元/年/社区</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社区服务水平提高</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反映社区正常运转情况</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进一步提高</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辖区社区居民满意度</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调查中对社区办公活动满意和较满意社区数占调查总人数的比率</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4.</w:t>
      </w:r>
      <w:r>
        <w:rPr>
          <w:rFonts w:hint="eastAsia" w:ascii="仿宋_GB2312" w:hAnsi="仿宋_GB2312" w:eastAsia="仿宋_GB2312" w:cs="仿宋_GB2312"/>
          <w:color w:val="000000"/>
          <w:sz w:val="28"/>
        </w:rPr>
        <w:t>社区楼门长工作经费</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612"/>
        <w:gridCol w:w="23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spacing w:line="380" w:lineRule="exact"/>
              <w:rPr>
                <w:rFonts w:hint="eastAsia" w:ascii="仿宋_GB2312" w:hAnsi="仿宋_GB2312" w:eastAsia="仿宋_GB2312" w:cs="仿宋_GB2312"/>
              </w:rPr>
            </w:pPr>
            <w:r>
              <w:rPr>
                <w:rFonts w:hint="eastAsia" w:ascii="仿宋_GB2312" w:hAnsi="仿宋_GB2312" w:eastAsia="仿宋_GB2312" w:cs="仿宋_GB2312"/>
              </w:rPr>
              <w:t>1."通过发放楼门长补贴，实现群众参与社区管理，提高社会管理服务效能，进一步完善社区治理体系，提升基层党组织建设和管理服务水平。"</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spacing w:line="380" w:lineRule="exact"/>
              <w:rPr>
                <w:rFonts w:hint="eastAsia" w:ascii="仿宋_GB2312" w:hAnsi="仿宋_GB2312" w:eastAsia="仿宋_GB2312" w:cs="仿宋_GB2312"/>
                <w:lang w:eastAsia="zh-CN"/>
              </w:rPr>
            </w:pPr>
            <w:r>
              <w:rPr>
                <w:rFonts w:hint="eastAsia" w:ascii="仿宋_GB2312" w:hAnsi="仿宋_GB2312" w:eastAsia="仿宋_GB2312" w:cs="仿宋_GB2312"/>
              </w:rPr>
              <w:t>2.通过发放楼门长补贴，达到积极引导广大居民群众主动参与基层社会治理，切实发挥居民小区楼门长作用。</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612"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386"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jc w:val="center"/>
        </w:trPr>
        <w:tc>
          <w:tcPr>
            <w:tcW w:w="2409"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补贴保障人数</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享受此项待遇人员数</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＝760人</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发放覆盖率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反映资金发放覆盖情况</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补贴发放及时率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反应补贴发放及时情况</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有物业小区楼门长补贴标准</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有物业小区单元长补贴标准</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50元/月/人</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无物业小区楼门长补贴标准</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无物业小区楼门长补贴标准</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200元/月/人</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无物业小区单元长、有物业小区楼门长补贴标准</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无物业小区单元长、有物业小区楼门长补贴标准</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100元/月/人</w:t>
            </w:r>
          </w:p>
        </w:tc>
        <w:tc>
          <w:tcPr>
            <w:tcW w:w="2386" w:type="dxa"/>
            <w:shd w:val="clear" w:color="auto" w:fill="auto"/>
            <w:vAlign w:val="center"/>
          </w:tcPr>
          <w:p>
            <w:pP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提高楼门长工作积极性</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反应提高楼门长工作积极性程度</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进一步提高</w:t>
            </w:r>
          </w:p>
        </w:tc>
        <w:tc>
          <w:tcPr>
            <w:tcW w:w="2386"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受补贴人员满意度</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满意人员与总人数的比率</w:t>
            </w:r>
          </w:p>
        </w:tc>
        <w:tc>
          <w:tcPr>
            <w:tcW w:w="161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386"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ind w:firstLine="560" w:firstLineChars="200"/>
        <w:jc w:val="left"/>
        <w:outlineLvl w:val="1"/>
        <w:rPr>
          <w:rFonts w:hint="eastAsia" w:ascii="仿宋_GB2312" w:hAnsi="仿宋_GB2312" w:eastAsia="仿宋_GB2312" w:cs="仿宋_GB2312"/>
          <w:color w:val="000000"/>
          <w:sz w:val="28"/>
        </w:rPr>
      </w:pPr>
    </w:p>
    <w:p>
      <w:pPr>
        <w:ind w:firstLine="560" w:firstLineChars="200"/>
        <w:jc w:val="left"/>
        <w:outlineLvl w:val="1"/>
        <w:rPr>
          <w:rFonts w:hint="eastAsia" w:ascii="仿宋_GB2312" w:hAnsi="仿宋_GB2312" w:eastAsia="仿宋_GB2312" w:cs="仿宋_GB2312"/>
          <w:color w:val="000000"/>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color w:val="000000"/>
          <w:sz w:val="28"/>
        </w:rPr>
        <w:t>5.社区招聘人员经费[区级]</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2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5"/>
        <w:gridCol w:w="1753"/>
        <w:gridCol w:w="2892"/>
        <w:gridCol w:w="2855"/>
        <w:gridCol w:w="2187"/>
        <w:gridCol w:w="3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7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852"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1."维持社区组织正常运转，提升社区组织服务群众能力，提高社区组织办事效率。"</w:t>
            </w:r>
          </w:p>
          <w:p>
            <w:pPr>
              <w:pStyle w:val="14"/>
              <w:spacing w:line="380" w:lineRule="exact"/>
              <w:rPr>
                <w:rFonts w:hint="eastAsia" w:ascii="仿宋_GB2312" w:hAnsi="仿宋_GB2312" w:eastAsia="仿宋_GB2312" w:cs="仿宋_GB2312"/>
                <w:lang w:eastAsia="zh-CN"/>
              </w:rPr>
            </w:pPr>
            <w:r>
              <w:rPr>
                <w:rFonts w:hint="eastAsia" w:ascii="仿宋_GB2312" w:hAnsi="仿宋_GB2312" w:eastAsia="仿宋_GB2312" w:cs="仿宋_GB2312"/>
              </w:rPr>
              <w:t>2.按时按标准发放工资福利等，进一步增强干部职工得归属感，保持干部队伍相对稳定，保障办公正常运转，及时缴纳社会保险，确保人员稳定。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7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753"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892"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855"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2187"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3165" w:type="dxa"/>
            <w:shd w:val="clear" w:color="auto" w:fill="auto"/>
            <w:vAlign w:val="center"/>
          </w:tcPr>
          <w:p>
            <w:pPr>
              <w:spacing w:line="38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375"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保障人数</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保障人数</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112人</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vMerge w:val="continue"/>
            <w:shd w:val="clear" w:color="auto" w:fill="auto"/>
            <w:vAlign w:val="center"/>
          </w:tcPr>
          <w:p>
            <w:pPr>
              <w:rPr>
                <w:rFonts w:hint="eastAsia" w:ascii="仿宋_GB2312" w:hAnsi="仿宋_GB2312" w:eastAsia="仿宋_GB2312" w:cs="仿宋_GB2312"/>
                <w:color w:val="000000"/>
                <w:sz w:val="22"/>
              </w:rPr>
            </w:pP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工资的足额发放率</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足额发放人数与总人数比率</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vMerge w:val="continue"/>
            <w:shd w:val="clear" w:color="auto" w:fill="auto"/>
            <w:vAlign w:val="center"/>
          </w:tcPr>
          <w:p>
            <w:pPr>
              <w:rPr>
                <w:rFonts w:hint="eastAsia" w:ascii="仿宋_GB2312" w:hAnsi="仿宋_GB2312" w:eastAsia="仿宋_GB2312" w:cs="仿宋_GB2312"/>
                <w:color w:val="000000"/>
                <w:sz w:val="22"/>
              </w:rPr>
            </w:pP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社会保险的申报率</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保险申报人数与总人数比率</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vMerge w:val="continue"/>
            <w:shd w:val="clear" w:color="auto" w:fill="auto"/>
            <w:vAlign w:val="center"/>
          </w:tcPr>
          <w:p>
            <w:pPr>
              <w:rPr>
                <w:rFonts w:hint="eastAsia" w:ascii="仿宋_GB2312" w:hAnsi="仿宋_GB2312" w:eastAsia="仿宋_GB2312" w:cs="仿宋_GB2312"/>
                <w:color w:val="000000"/>
                <w:sz w:val="22"/>
              </w:rPr>
            </w:pP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工资及时发放率</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工资发放的时效情况</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vMerge w:val="continue"/>
            <w:shd w:val="clear" w:color="auto" w:fill="auto"/>
            <w:vAlign w:val="center"/>
          </w:tcPr>
          <w:p>
            <w:pPr>
              <w:rPr>
                <w:rFonts w:hint="eastAsia" w:ascii="仿宋_GB2312" w:hAnsi="仿宋_GB2312" w:eastAsia="仿宋_GB2312" w:cs="仿宋_GB2312"/>
                <w:color w:val="000000"/>
                <w:sz w:val="22"/>
              </w:rPr>
            </w:pP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社会保险及时缴纳率</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社会保险缴纳的时效情况</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vMerge w:val="continue"/>
            <w:shd w:val="clear" w:color="auto" w:fill="auto"/>
            <w:vAlign w:val="center"/>
          </w:tcPr>
          <w:p>
            <w:pPr>
              <w:rPr>
                <w:rFonts w:hint="eastAsia" w:ascii="仿宋_GB2312" w:hAnsi="仿宋_GB2312" w:eastAsia="仿宋_GB2312" w:cs="仿宋_GB2312"/>
                <w:color w:val="000000"/>
                <w:sz w:val="22"/>
              </w:rPr>
            </w:pP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人均工资及保险成本</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每人每年工资及保险平均数</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≤8.16万元/年/人</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冀组字【2021】17号                  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社区工作水平有所提高</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通过按时按标准发放工资福利等，进一步增强干部职工得归属感，保持干部队伍相对稳定，保障办公正常运转，社区工作水平有所提高</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进一步提高</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175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289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社区聘用人员满意度</w:t>
            </w:r>
          </w:p>
        </w:tc>
        <w:tc>
          <w:tcPr>
            <w:tcW w:w="28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满意人员与总人数的比率</w:t>
            </w:r>
          </w:p>
        </w:tc>
        <w:tc>
          <w:tcPr>
            <w:tcW w:w="2187"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316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color w:val="000000"/>
          <w:sz w:val="28"/>
        </w:rPr>
        <w:t>6.疫情防控无物业小区卡口人员经费</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1.有效防止疫情输入，实现0病例，守护辖区居民的生命安全。</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spacing w:line="400" w:lineRule="exac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产出指标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数量指标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卡口数量</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卡口数量</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62个</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无物业小区名册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疫情卡口覆盖率</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覆盖率</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值守记录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时效指标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补贴按时发放</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按时发放</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按时</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付款回单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color w:val="000000"/>
                <w:sz w:val="22"/>
              </w:rPr>
            </w:pP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成本指标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补贴标准</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补贴标准</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每人每天400元（24小时）</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廊广爱政字【2021】40号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效果指标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社会效益指标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做好疫情防控工作，维护社会平安稳定</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平安稳定，实现0病例</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平安稳定</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本辖区疫情情况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满意度指标</w:t>
            </w:r>
          </w:p>
        </w:tc>
        <w:tc>
          <w:tcPr>
            <w:tcW w:w="2268"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服务对象满意度指标</w:t>
            </w:r>
          </w:p>
        </w:tc>
        <w:tc>
          <w:tcPr>
            <w:tcW w:w="198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辖区居民满意度</w:t>
            </w:r>
          </w:p>
        </w:tc>
        <w:tc>
          <w:tcPr>
            <w:tcW w:w="3402"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居民满意度</w:t>
            </w:r>
          </w:p>
        </w:tc>
        <w:tc>
          <w:tcPr>
            <w:tcW w:w="1843"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2155" w:type="dxa"/>
            <w:shd w:val="clear" w:color="auto" w:fill="auto"/>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t>***廊坊市</w:t>
      </w:r>
      <w:r>
        <w:rPr>
          <w:rFonts w:hint="eastAsia"/>
        </w:rPr>
        <w:t>广阳区*</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广阳区爱民东道街道办事处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1613.24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w:t>
            </w:r>
            <w:r>
              <w:rPr>
                <w:rFonts w:hint="eastAsia" w:ascii="Times New Roman" w:hAnsi="Times New Roman" w:eastAsia="仿宋_GB2312" w:cs="Times New Roman"/>
                <w:kern w:val="0"/>
                <w:sz w:val="22"/>
                <w:lang w:val="en-US" w:eastAsia="zh-CN"/>
              </w:rPr>
              <w:t>爱民东道街道办事处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1613.24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4546.33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4546.33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1202.33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243.57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D7320D-5012-455F-9744-704D6EF973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C87AEE24-3F16-45A5-903C-226015550CE7}"/>
  </w:font>
  <w:font w:name="仿宋_GB2312">
    <w:panose1 w:val="02010609030101010101"/>
    <w:charset w:val="86"/>
    <w:family w:val="modern"/>
    <w:pitch w:val="default"/>
    <w:sig w:usb0="00000001" w:usb1="080E0000" w:usb2="00000000" w:usb3="00000000" w:csb0="00040000" w:csb1="00000000"/>
    <w:embedRegular r:id="rId3" w:fontKey="{C6334F0F-E856-4C03-BA15-17A69E322138}"/>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29</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DE34E"/>
    <w:multiLevelType w:val="singleLevel"/>
    <w:tmpl w:val="26ADE3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6520B"/>
    <w:rsid w:val="000F6018"/>
    <w:rsid w:val="00237305"/>
    <w:rsid w:val="002452DA"/>
    <w:rsid w:val="0025632D"/>
    <w:rsid w:val="002F0956"/>
    <w:rsid w:val="003059E0"/>
    <w:rsid w:val="003B1851"/>
    <w:rsid w:val="003B1D20"/>
    <w:rsid w:val="003F14D3"/>
    <w:rsid w:val="004A54AA"/>
    <w:rsid w:val="00512A8C"/>
    <w:rsid w:val="005C16CB"/>
    <w:rsid w:val="006701E0"/>
    <w:rsid w:val="007079A7"/>
    <w:rsid w:val="007F0384"/>
    <w:rsid w:val="00902488"/>
    <w:rsid w:val="00944233"/>
    <w:rsid w:val="009B179B"/>
    <w:rsid w:val="00B40732"/>
    <w:rsid w:val="00B80935"/>
    <w:rsid w:val="00C75935"/>
    <w:rsid w:val="00C85C76"/>
    <w:rsid w:val="00D347CC"/>
    <w:rsid w:val="00D3507B"/>
    <w:rsid w:val="00DB20AE"/>
    <w:rsid w:val="00DC72B4"/>
    <w:rsid w:val="00ED1ECE"/>
    <w:rsid w:val="071D227B"/>
    <w:rsid w:val="0CEC1180"/>
    <w:rsid w:val="0DC44B39"/>
    <w:rsid w:val="16181CAA"/>
    <w:rsid w:val="23266DCC"/>
    <w:rsid w:val="23A32E03"/>
    <w:rsid w:val="34E07BF6"/>
    <w:rsid w:val="44E529A6"/>
    <w:rsid w:val="6B29789A"/>
    <w:rsid w:val="73693C55"/>
    <w:rsid w:val="7AA816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2172</Words>
  <Characters>12383</Characters>
  <Lines>103</Lines>
  <Paragraphs>29</Paragraphs>
  <TotalTime>9009</TotalTime>
  <ScaleCrop>false</ScaleCrop>
  <LinksUpToDate>false</LinksUpToDate>
  <CharactersWithSpaces>14526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2023-08-02T02:16:12Z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EBD381EE7DC948BFA2B2B07A0FC38519</vt:lpwstr>
  </property>
</Properties>
</file>