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广阳区北旺镇大枣林中心小学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广阳区北旺镇大枣林中心小学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广阳区北旺镇大枣林中心小学实施小学义务教育，促进基础教育发展，完成小学学历教育。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广阳区北旺镇大枣林中心小学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60"/>
        <w:rPr>
          <w:rFonts w:ascii="Times New Roman" w:hAnsi="Times New Roman" w:eastAsia="方正小标宋简体"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广阳区北旺镇大枣林中心小学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广阳区北旺镇大枣林中心小学2022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较2021年预算增加28.68万元，其中：项目支出增加13.35万元，主要为2022年比2021年增加了城乡义务教育生均公用经费、教育经费、幼儿园生均经费3个项目。</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推进义务教育均衡发展，建立中小学校舍安全保障机制，改善薄弱学校办学条件，提高素质教育水平，开展丰富多彩的教学活动。促进公共教育资源向农村和经济欠发达地区倾斜。</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 xml:space="preserve">、发展农村义务教育  </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免除农村中小学生学杂费，提高公用经费保障水平，为贫困中小学生免费提供教科书，改善农村中小学办学条件。保障中小学公用经费水平逐年提高。保障小学入学率。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、改善学校办学条件</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障义务教育阶段学校基本教学条件，改善学校生活设施，保障后勤社会化服务，解决学校大班额问题。开展学生社会实践活动，建立学生实践教育基地，推进学校教育信息化。使义务教育学校教学设施和生活设施满足基本教学需要，保障后勤社会化服务资金充足，使学校能够正常运转，超大班额现象消除，教师数量、素质、结构基本适应教学需要。</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、提升特殊教育保障水平</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保证教学设备设施配备齐全，保障学生校园安全，支持贫困学生和爱心家园学生完成学业。改善办学条件，配置基础教育资源</w:t>
      </w:r>
      <w:r>
        <w:rPr>
          <w:rFonts w:hint="eastAsia" w:eastAsia="仿宋_GB2312"/>
          <w:kern w:val="2"/>
          <w:sz w:val="32"/>
          <w:szCs w:val="32"/>
          <w:lang w:eastAsia="zh-CN"/>
        </w:rPr>
        <w:t>。</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、开展教师教研及学生德育活动</w:t>
      </w:r>
    </w:p>
    <w:p>
      <w:pPr>
        <w:pStyle w:val="13"/>
        <w:keepNext w:val="0"/>
        <w:keepLines w:val="0"/>
        <w:pageBreakBefore w:val="0"/>
        <w:kinsoku/>
        <w:wordWrap/>
        <w:overflowPunct/>
        <w:topLinePunct w:val="0"/>
        <w:autoSpaceDE/>
        <w:autoSpaceDN/>
        <w:bidi w:val="0"/>
        <w:adjustRightInd/>
        <w:snapToGrid/>
        <w:spacing w:line="584" w:lineRule="exact"/>
        <w:textAlignment w:val="auto"/>
        <w:rPr>
          <w:rFonts w:hint="eastAsia" w:eastAsia="仿宋_GB2312"/>
          <w:kern w:val="2"/>
          <w:sz w:val="32"/>
          <w:szCs w:val="32"/>
          <w:lang w:eastAsia="zh-CN"/>
        </w:rPr>
      </w:pPr>
      <w:r>
        <w:rPr>
          <w:rFonts w:hint="eastAsia" w:eastAsia="仿宋_GB2312"/>
          <w:kern w:val="2"/>
          <w:sz w:val="32"/>
          <w:szCs w:val="32"/>
          <w:lang w:eastAsia="zh-CN"/>
        </w:rPr>
        <w:t>开展各类课题研究、校本研究，加强教师培训和教学交流，加强德育培训与研究，举办各类教育教学活动。提高教师教学水平，调动教师积极性，培养专家型教师人才，提高学生的综合素质。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1、成立以校长为组长的学校教学经费保障领导小组，加强对教学经费保障的领导工作，确保教学经费使用占学校总开支的20%以上。</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2、建立日请月结、学期公布的财务制度。增加财物工作的透明、公开度。</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3、设立意见箱和回音栏，对教师提出的建议和意见及制给予回答并落实。</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4、定期召开教学经费保障专题会议。集思广益，使学校经费为教学开绿灯。</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5、成立教学经费保障监督小组，实行民主理财，集体决策。</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6、设立教师外出培训、外出学习交流专项资金。确保教师培训、外出学习交流</w:t>
      </w:r>
      <w:r>
        <w:rPr>
          <w:rFonts w:hint="eastAsia" w:eastAsia="仿宋_GB2312"/>
          <w:kern w:val="2"/>
          <w:sz w:val="32"/>
          <w:szCs w:val="32"/>
          <w:lang w:eastAsia="zh-CN"/>
        </w:rPr>
        <w:t>落到实处</w:t>
      </w:r>
      <w:r>
        <w:rPr>
          <w:rFonts w:eastAsia="仿宋_GB2312"/>
          <w:kern w:val="2"/>
          <w:sz w:val="32"/>
          <w:szCs w:val="32"/>
          <w:lang w:eastAsia="zh-CN"/>
        </w:rPr>
        <w:t>。</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0"/>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义务教育在校生（人）</w:t>
            </w: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在校生人数</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270</w:t>
            </w:r>
          </w:p>
        </w:tc>
        <w:tc>
          <w:tcPr>
            <w:tcW w:w="632"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人</w:t>
            </w:r>
          </w:p>
        </w:tc>
        <w:tc>
          <w:tcPr>
            <w:tcW w:w="1821"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购置</w:t>
            </w:r>
            <w:r>
              <w:rPr>
                <w:rFonts w:hint="eastAsia" w:ascii="仿宋_GB2312" w:hAnsi="仿宋_GB2312" w:eastAsia="仿宋_GB2312" w:cs="仿宋_GB2312"/>
              </w:rPr>
              <w:t>物资合格率</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20分全部合格得满分，否则不得分。</w:t>
            </w:r>
          </w:p>
          <w:p>
            <w:pPr>
              <w:rPr>
                <w:rFonts w:hint="eastAsia" w:ascii="仿宋_GB2312" w:hAnsi="仿宋_GB2312" w:eastAsia="仿宋_GB2312" w:cs="仿宋_GB2312"/>
              </w:rPr>
            </w:pP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20分及时完成得满分，否则不得分</w:t>
            </w:r>
          </w:p>
          <w:p>
            <w:pPr>
              <w:widowControl/>
              <w:adjustRightInd w:val="0"/>
              <w:snapToGrid w:val="0"/>
              <w:rPr>
                <w:rFonts w:hint="eastAsia" w:ascii="仿宋_GB2312" w:hAnsi="仿宋_GB2312" w:eastAsia="仿宋_GB2312" w:cs="仿宋_GB2312"/>
              </w:rPr>
            </w:pP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资金成本</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10分不超过预算总额得满分，否则不得分</w:t>
            </w:r>
          </w:p>
          <w:p>
            <w:pP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78" w:type="dxa"/>
            <w:noWrap w:val="0"/>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284200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pStyle w:val="20"/>
              <w:rPr>
                <w:rFonts w:hint="eastAsia" w:ascii="仿宋_GB2312" w:hAnsi="仿宋_GB2312" w:eastAsia="仿宋_GB2312" w:cs="仿宋_GB2312"/>
              </w:rPr>
            </w:pP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10分及时完成得满分，否则不得分</w:t>
            </w:r>
          </w:p>
        </w:tc>
        <w:tc>
          <w:tcPr>
            <w:tcW w:w="1717"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pStyle w:val="20"/>
              <w:rPr>
                <w:rFonts w:hint="eastAsia" w:ascii="仿宋_GB2312" w:hAnsi="仿宋_GB2312" w:eastAsia="仿宋_GB2312" w:cs="仿宋_GB2312"/>
              </w:rPr>
            </w:pP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p>
            <w:pPr>
              <w:widowControl/>
              <w:adjustRightInd w:val="0"/>
              <w:snapToGrid w:val="0"/>
              <w:rPr>
                <w:rFonts w:hint="eastAsia" w:ascii="仿宋_GB2312" w:hAnsi="仿宋_GB2312" w:eastAsia="仿宋_GB2312" w:cs="仿宋_GB2312"/>
              </w:rPr>
            </w:pPr>
          </w:p>
        </w:tc>
        <w:tc>
          <w:tcPr>
            <w:tcW w:w="452" w:type="dxa"/>
            <w:noWrap w:val="0"/>
            <w:vAlign w:val="center"/>
          </w:tcPr>
          <w:p>
            <w:pPr>
              <w:widowControl/>
              <w:adjustRightInd w:val="0"/>
              <w:snapToGrid w:val="0"/>
              <w:jc w:val="center"/>
              <w:rPr>
                <w:rFonts w:hint="eastAsia" w:ascii="仿宋_GB2312" w:hAnsi="仿宋_GB2312" w:eastAsia="仿宋_GB2312" w:cs="仿宋_GB2312"/>
              </w:rPr>
            </w:pPr>
          </w:p>
        </w:tc>
        <w:tc>
          <w:tcPr>
            <w:tcW w:w="632" w:type="dxa"/>
            <w:noWrap w:val="0"/>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w:t>
            </w:r>
          </w:p>
          <w:p>
            <w:pPr>
              <w:widowControl/>
              <w:adjustRightInd w:val="0"/>
              <w:snapToGrid w:val="0"/>
              <w:jc w:val="center"/>
              <w:rPr>
                <w:rFonts w:hint="eastAsia" w:ascii="仿宋_GB2312" w:hAnsi="仿宋_GB2312" w:eastAsia="仿宋_GB2312" w:cs="仿宋_GB2312"/>
              </w:rPr>
            </w:pPr>
          </w:p>
        </w:tc>
        <w:tc>
          <w:tcPr>
            <w:tcW w:w="1821"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10分在校师生及家长的满意度达到95%得满分，每降低1%扣1分，扣完为止。</w:t>
            </w:r>
          </w:p>
          <w:p>
            <w:pPr>
              <w:rPr>
                <w:rFonts w:hint="eastAsia" w:ascii="仿宋_GB2312" w:hAnsi="仿宋_GB2312" w:eastAsia="仿宋_GB2312" w:cs="仿宋_GB2312"/>
              </w:rPr>
            </w:pPr>
          </w:p>
        </w:tc>
        <w:tc>
          <w:tcPr>
            <w:tcW w:w="1717"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在校师生的满意程度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rPr>
            </w:pPr>
          </w:p>
        </w:tc>
        <w:tc>
          <w:tcPr>
            <w:tcW w:w="632"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rPr>
              <w:t>10分在校师生及家长的满意度达到95%得满分，每降低1%扣1分，扣完为止。</w:t>
            </w:r>
          </w:p>
        </w:tc>
        <w:tc>
          <w:tcPr>
            <w:tcW w:w="1717"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家长</w:t>
            </w:r>
            <w:r>
              <w:rPr>
                <w:rFonts w:hint="eastAsia" w:ascii="仿宋_GB2312" w:hAnsi="仿宋_GB2312" w:eastAsia="仿宋_GB2312" w:cs="仿宋_GB2312"/>
                <w:color w:val="000000"/>
                <w:sz w:val="22"/>
              </w:rPr>
              <w:t>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kern w:val="2"/>
                <w:sz w:val="21"/>
                <w:szCs w:val="22"/>
                <w:lang w:val="en-US" w:eastAsia="zh-CN" w:bidi="ar-SA"/>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kern w:val="2"/>
                <w:sz w:val="21"/>
                <w:szCs w:val="22"/>
                <w:lang w:val="en-US" w:eastAsia="zh-CN" w:bidi="ar-SA"/>
              </w:rPr>
            </w:pPr>
          </w:p>
        </w:tc>
        <w:tc>
          <w:tcPr>
            <w:tcW w:w="632"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rPr>
          <w:rFonts w:hint="eastAsia" w:ascii="仿宋_GB2312" w:hAnsi="仿宋_GB2312" w:eastAsia="仿宋_GB2312" w:cs="仿宋_GB2312"/>
          <w:color w:val="000000"/>
          <w:sz w:val="28"/>
          <w:szCs w:val="28"/>
        </w:rPr>
      </w:pPr>
      <w:bookmarkStart w:id="0" w:name="_Toc_4_4_0000000004"/>
      <w:r>
        <w:rPr>
          <w:rFonts w:hint="eastAsia" w:ascii="仿宋_GB2312" w:hAnsi="仿宋_GB2312" w:eastAsia="仿宋_GB2312" w:cs="仿宋_GB2312"/>
          <w:color w:val="000000"/>
          <w:sz w:val="28"/>
          <w:szCs w:val="28"/>
        </w:rPr>
        <w:t>1.城乡义务教育生均公用经费[区级]绩效目标表</w:t>
      </w:r>
      <w:bookmarkEnd w:id="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1.廊坊市广阳区北旺镇大枣林中心小学对2022年在校学生</w:t>
            </w:r>
            <w:r>
              <w:rPr>
                <w:rFonts w:hint="eastAsia" w:ascii="仿宋_GB2312" w:hAnsi="仿宋_GB2312" w:eastAsia="仿宋_GB2312" w:cs="仿宋_GB2312"/>
                <w:lang w:eastAsia="zh-CN"/>
              </w:rPr>
              <w:t>270</w:t>
            </w:r>
            <w:r>
              <w:rPr>
                <w:rFonts w:hint="eastAsia" w:ascii="仿宋_GB2312" w:hAnsi="仿宋_GB2312" w:eastAsia="仿宋_GB2312" w:cs="仿宋_GB2312"/>
              </w:rPr>
              <w:t>人，按照义务教育生均公用经费标准申请财政预算金，通过合理、合规使用资金达到保证学校正常运转。</w:t>
            </w:r>
          </w:p>
          <w:p>
            <w:pPr>
              <w:pStyle w:val="20"/>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20"/>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046"/>
        <w:gridCol w:w="2344"/>
        <w:gridCol w:w="3412"/>
        <w:gridCol w:w="1140"/>
        <w:gridCol w:w="3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73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84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22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9"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1223"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270</w:t>
            </w:r>
            <w:r>
              <w:rPr>
                <w:rFonts w:hint="eastAsia" w:ascii="仿宋_GB2312" w:hAnsi="仿宋_GB2312" w:eastAsia="仿宋_GB2312" w:cs="仿宋_GB2312"/>
              </w:rPr>
              <w:t>人</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735元</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支持</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1" w:name="_Toc_4_4_0000000005"/>
      <w:r>
        <w:rPr>
          <w:rFonts w:hint="eastAsia" w:ascii="仿宋_GB2312" w:hAnsi="仿宋_GB2312" w:eastAsia="仿宋_GB2312" w:cs="仿宋_GB2312"/>
          <w:color w:val="000000"/>
          <w:sz w:val="28"/>
          <w:szCs w:val="28"/>
        </w:rPr>
        <w:t>2.城乡义务教育生均公用经费[市级]绩效目标表</w:t>
      </w:r>
      <w:bookmarkEnd w:id="1"/>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1.廊坊市广阳区北旺镇大枣林中心小学对2022年在校学生</w:t>
            </w:r>
            <w:r>
              <w:rPr>
                <w:rFonts w:hint="eastAsia" w:ascii="仿宋_GB2312" w:hAnsi="仿宋_GB2312" w:eastAsia="仿宋_GB2312" w:cs="仿宋_GB2312"/>
                <w:lang w:eastAsia="zh-CN"/>
              </w:rPr>
              <w:t>270</w:t>
            </w:r>
            <w:r>
              <w:rPr>
                <w:rFonts w:hint="eastAsia" w:ascii="仿宋_GB2312" w:hAnsi="仿宋_GB2312" w:eastAsia="仿宋_GB2312" w:cs="仿宋_GB2312"/>
              </w:rPr>
              <w:t>人，按照义务教育生均公用经费标准申请财政预算金，通过合理、合规使用资金达到保证学校正常运转。</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07"/>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12"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815"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270</w:t>
            </w:r>
            <w:r>
              <w:rPr>
                <w:rFonts w:hint="eastAsia" w:ascii="仿宋_GB2312" w:hAnsi="仿宋_GB2312" w:eastAsia="仿宋_GB2312" w:cs="仿宋_GB2312"/>
              </w:rPr>
              <w:t>人</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735元</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支持</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rPr>
          <w:rFonts w:hint="eastAsia" w:ascii="仿宋_GB2312" w:hAnsi="仿宋_GB2312" w:eastAsia="仿宋_GB2312" w:cs="仿宋_GB2312"/>
          <w:color w:val="000000"/>
          <w:sz w:val="28"/>
          <w:szCs w:val="28"/>
        </w:rPr>
      </w:pPr>
      <w:bookmarkStart w:id="2" w:name="_Toc_4_4_0000000006"/>
      <w:r>
        <w:rPr>
          <w:rFonts w:hint="eastAsia" w:ascii="仿宋_GB2312" w:hAnsi="仿宋_GB2312" w:eastAsia="仿宋_GB2312" w:cs="仿宋_GB2312"/>
          <w:color w:val="000000"/>
          <w:sz w:val="28"/>
          <w:szCs w:val="28"/>
        </w:rPr>
        <w:t>3.教育经费绩效目标表</w:t>
      </w:r>
      <w:bookmarkEnd w:id="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20"/>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20"/>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20"/>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6.12</w:t>
            </w:r>
            <w:r>
              <w:rPr>
                <w:rFonts w:hint="eastAsia" w:ascii="仿宋_GB2312" w:hAnsi="仿宋_GB2312" w:eastAsia="仿宋_GB2312" w:cs="仿宋_GB2312"/>
              </w:rPr>
              <w:t>万元</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rPr>
          <w:rFonts w:hint="eastAsia" w:ascii="仿宋_GB2312" w:hAnsi="仿宋_GB2312" w:eastAsia="仿宋_GB2312" w:cs="仿宋_GB2312"/>
          <w:color w:val="000000"/>
          <w:sz w:val="28"/>
          <w:szCs w:val="28"/>
        </w:rPr>
      </w:pPr>
      <w:bookmarkStart w:id="3" w:name="_Toc_4_4_0000000007"/>
      <w:r>
        <w:rPr>
          <w:rFonts w:hint="eastAsia" w:ascii="仿宋_GB2312" w:hAnsi="仿宋_GB2312" w:eastAsia="仿宋_GB2312" w:cs="仿宋_GB2312"/>
          <w:color w:val="000000"/>
          <w:sz w:val="28"/>
          <w:szCs w:val="28"/>
        </w:rPr>
        <w:t>4.幼儿园生均经费绩效目标表</w:t>
      </w:r>
      <w:bookmarkEnd w:id="3"/>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5"/>
        <w:gridCol w:w="128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57"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54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2"/>
        <w:gridCol w:w="1459"/>
        <w:gridCol w:w="2159"/>
        <w:gridCol w:w="2881"/>
        <w:gridCol w:w="1156"/>
        <w:gridCol w:w="5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56"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15"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62"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17"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8"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41"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restar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lang w:eastAsia="zh-CN"/>
              </w:rPr>
              <w:t>68</w:t>
            </w:r>
            <w:r>
              <w:rPr>
                <w:rFonts w:hint="eastAsia" w:ascii="仿宋_GB2312" w:hAnsi="仿宋_GB2312" w:eastAsia="仿宋_GB2312" w:cs="仿宋_GB2312"/>
              </w:rPr>
              <w:t>人</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jc w:val="left"/>
        <w:outlineLvl w:val="1"/>
        <w:rPr>
          <w:rFonts w:ascii="方正小标宋_GBK" w:eastAsia="方正小标宋_GBK" w:cs="Times New Roman"/>
          <w:sz w:val="32"/>
        </w:rPr>
      </w:pPr>
      <w:r>
        <w:rPr>
          <w:rFonts w:hint="eastAsia"/>
        </w:rPr>
        <w:t>廊坊市广阳区北旺镇大枣林中心小学</w:t>
      </w:r>
      <w:r>
        <w:t xml:space="preserve">                                                                                        单位：万元</w:t>
      </w:r>
    </w:p>
    <w:tbl>
      <w:tblPr>
        <w:tblStyle w:val="10"/>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8"/>
              <w:spacing w:line="500" w:lineRule="exact"/>
            </w:pPr>
            <w:r>
              <w:t>政府采购项目来源</w:t>
            </w:r>
          </w:p>
        </w:tc>
        <w:tc>
          <w:tcPr>
            <w:tcW w:w="1134" w:type="dxa"/>
            <w:vMerge w:val="restart"/>
            <w:noWrap w:val="0"/>
            <w:vAlign w:val="center"/>
          </w:tcPr>
          <w:p>
            <w:pPr>
              <w:pStyle w:val="18"/>
              <w:spacing w:line="500" w:lineRule="exact"/>
            </w:pPr>
            <w:r>
              <w:t>采购物品名称</w:t>
            </w:r>
          </w:p>
        </w:tc>
        <w:tc>
          <w:tcPr>
            <w:tcW w:w="1134" w:type="dxa"/>
            <w:vMerge w:val="restart"/>
            <w:noWrap w:val="0"/>
            <w:vAlign w:val="center"/>
          </w:tcPr>
          <w:p>
            <w:pPr>
              <w:pStyle w:val="18"/>
              <w:spacing w:line="500" w:lineRule="exact"/>
            </w:pPr>
            <w:r>
              <w:t>政府采购目录序号</w:t>
            </w:r>
          </w:p>
        </w:tc>
        <w:tc>
          <w:tcPr>
            <w:tcW w:w="709" w:type="dxa"/>
            <w:vMerge w:val="restart"/>
            <w:noWrap w:val="0"/>
            <w:vAlign w:val="center"/>
          </w:tcPr>
          <w:p>
            <w:pPr>
              <w:pStyle w:val="18"/>
              <w:spacing w:line="500" w:lineRule="exact"/>
            </w:pPr>
            <w:r>
              <w:t>计量  单位</w:t>
            </w:r>
          </w:p>
        </w:tc>
        <w:tc>
          <w:tcPr>
            <w:tcW w:w="850" w:type="dxa"/>
            <w:vMerge w:val="restart"/>
            <w:noWrap w:val="0"/>
            <w:vAlign w:val="center"/>
          </w:tcPr>
          <w:p>
            <w:pPr>
              <w:pStyle w:val="18"/>
              <w:spacing w:line="500" w:lineRule="exact"/>
            </w:pPr>
            <w:r>
              <w:t>数量</w:t>
            </w:r>
          </w:p>
        </w:tc>
        <w:tc>
          <w:tcPr>
            <w:tcW w:w="850" w:type="dxa"/>
            <w:vMerge w:val="restart"/>
            <w:noWrap w:val="0"/>
            <w:vAlign w:val="center"/>
          </w:tcPr>
          <w:p>
            <w:pPr>
              <w:pStyle w:val="18"/>
              <w:spacing w:line="500" w:lineRule="exact"/>
            </w:pPr>
            <w:r>
              <w:t>单价</w:t>
            </w:r>
          </w:p>
        </w:tc>
        <w:tc>
          <w:tcPr>
            <w:tcW w:w="7712" w:type="dxa"/>
            <w:gridSpan w:val="8"/>
            <w:noWrap w:val="0"/>
            <w:vAlign w:val="center"/>
          </w:tcPr>
          <w:p>
            <w:pPr>
              <w:pStyle w:val="18"/>
              <w:spacing w:line="500" w:lineRule="exact"/>
            </w:pPr>
            <w:r>
              <w:t>政府采购金额（当年</w:t>
            </w:r>
            <w:r>
              <w:rPr>
                <w:rFonts w:hint="eastAsia"/>
                <w:lang w:eastAsia="zh-CN"/>
              </w:rPr>
              <w:t>单位</w:t>
            </w:r>
            <w:r>
              <w:t>预算安排资金）</w:t>
            </w:r>
          </w:p>
        </w:tc>
        <w:tc>
          <w:tcPr>
            <w:tcW w:w="964" w:type="dxa"/>
            <w:vMerge w:val="restart"/>
            <w:noWrap w:val="0"/>
            <w:vAlign w:val="center"/>
          </w:tcPr>
          <w:p>
            <w:pPr>
              <w:pStyle w:val="18"/>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noWrap w:val="0"/>
            <w:vAlign w:val="center"/>
          </w:tcPr>
          <w:p>
            <w:pPr>
              <w:pStyle w:val="18"/>
              <w:spacing w:line="500" w:lineRule="exact"/>
            </w:pPr>
            <w:r>
              <w:t>项目名称</w:t>
            </w:r>
          </w:p>
        </w:tc>
        <w:tc>
          <w:tcPr>
            <w:tcW w:w="964" w:type="dxa"/>
            <w:noWrap w:val="0"/>
            <w:vAlign w:val="center"/>
          </w:tcPr>
          <w:p>
            <w:pPr>
              <w:pStyle w:val="18"/>
              <w:spacing w:line="500" w:lineRule="exact"/>
            </w:pPr>
            <w:r>
              <w:t>预算    资金</w:t>
            </w:r>
          </w:p>
        </w:tc>
        <w:tc>
          <w:tcPr>
            <w:tcW w:w="1134" w:type="dxa"/>
            <w:vMerge w:val="continue"/>
            <w:noWrap w:val="0"/>
            <w:vAlign w:val="top"/>
          </w:tcPr>
          <w:p>
            <w:pPr>
              <w:spacing w:line="500" w:lineRule="exact"/>
            </w:pPr>
          </w:p>
        </w:tc>
        <w:tc>
          <w:tcPr>
            <w:tcW w:w="1134" w:type="dxa"/>
            <w:vMerge w:val="continue"/>
            <w:noWrap w:val="0"/>
            <w:vAlign w:val="top"/>
          </w:tcPr>
          <w:p>
            <w:pPr>
              <w:spacing w:line="500" w:lineRule="exact"/>
            </w:pPr>
          </w:p>
        </w:tc>
        <w:tc>
          <w:tcPr>
            <w:tcW w:w="709" w:type="dxa"/>
            <w:vMerge w:val="continue"/>
            <w:noWrap w:val="0"/>
            <w:vAlign w:val="top"/>
          </w:tcPr>
          <w:p>
            <w:pPr>
              <w:spacing w:line="500" w:lineRule="exact"/>
            </w:pPr>
          </w:p>
        </w:tc>
        <w:tc>
          <w:tcPr>
            <w:tcW w:w="850" w:type="dxa"/>
            <w:vMerge w:val="continue"/>
            <w:noWrap w:val="0"/>
            <w:vAlign w:val="top"/>
          </w:tcPr>
          <w:p>
            <w:pPr>
              <w:spacing w:line="500" w:lineRule="exact"/>
            </w:pPr>
          </w:p>
        </w:tc>
        <w:tc>
          <w:tcPr>
            <w:tcW w:w="850" w:type="dxa"/>
            <w:vMerge w:val="continue"/>
            <w:noWrap w:val="0"/>
            <w:vAlign w:val="top"/>
          </w:tcPr>
          <w:p>
            <w:pPr>
              <w:spacing w:line="500" w:lineRule="exact"/>
            </w:pPr>
          </w:p>
        </w:tc>
        <w:tc>
          <w:tcPr>
            <w:tcW w:w="964" w:type="dxa"/>
            <w:noWrap w:val="0"/>
            <w:vAlign w:val="center"/>
          </w:tcPr>
          <w:p>
            <w:pPr>
              <w:pStyle w:val="18"/>
              <w:spacing w:line="500" w:lineRule="exact"/>
            </w:pPr>
            <w:r>
              <w:t>合计</w:t>
            </w:r>
          </w:p>
        </w:tc>
        <w:tc>
          <w:tcPr>
            <w:tcW w:w="964" w:type="dxa"/>
            <w:noWrap w:val="0"/>
            <w:vAlign w:val="center"/>
          </w:tcPr>
          <w:p>
            <w:pPr>
              <w:pStyle w:val="18"/>
              <w:spacing w:line="500" w:lineRule="exact"/>
            </w:pPr>
            <w:r>
              <w:t>一般公共预算拨款</w:t>
            </w:r>
          </w:p>
        </w:tc>
        <w:tc>
          <w:tcPr>
            <w:tcW w:w="964" w:type="dxa"/>
            <w:noWrap w:val="0"/>
            <w:vAlign w:val="center"/>
          </w:tcPr>
          <w:p>
            <w:pPr>
              <w:pStyle w:val="18"/>
              <w:spacing w:line="500" w:lineRule="exact"/>
            </w:pPr>
            <w:r>
              <w:t>基金预算拨款</w:t>
            </w:r>
          </w:p>
        </w:tc>
        <w:tc>
          <w:tcPr>
            <w:tcW w:w="964" w:type="dxa"/>
            <w:noWrap w:val="0"/>
            <w:vAlign w:val="center"/>
          </w:tcPr>
          <w:p>
            <w:pPr>
              <w:pStyle w:val="18"/>
              <w:spacing w:line="500" w:lineRule="exact"/>
            </w:pPr>
            <w:r>
              <w:t>国有资本经营预算拨款</w:t>
            </w:r>
          </w:p>
        </w:tc>
        <w:tc>
          <w:tcPr>
            <w:tcW w:w="964" w:type="dxa"/>
            <w:noWrap w:val="0"/>
            <w:vAlign w:val="center"/>
          </w:tcPr>
          <w:p>
            <w:pPr>
              <w:pStyle w:val="18"/>
              <w:spacing w:line="500" w:lineRule="exact"/>
            </w:pPr>
            <w:r>
              <w:t>财政专户核拨</w:t>
            </w:r>
          </w:p>
        </w:tc>
        <w:tc>
          <w:tcPr>
            <w:tcW w:w="964" w:type="dxa"/>
            <w:noWrap w:val="0"/>
            <w:vAlign w:val="center"/>
          </w:tcPr>
          <w:p>
            <w:pPr>
              <w:pStyle w:val="18"/>
              <w:spacing w:line="500" w:lineRule="exact"/>
            </w:pPr>
            <w:r>
              <w:t>单位    资金</w:t>
            </w:r>
          </w:p>
        </w:tc>
        <w:tc>
          <w:tcPr>
            <w:tcW w:w="964" w:type="dxa"/>
            <w:noWrap w:val="0"/>
            <w:vAlign w:val="center"/>
          </w:tcPr>
          <w:p>
            <w:pPr>
              <w:pStyle w:val="18"/>
              <w:spacing w:line="500" w:lineRule="exact"/>
            </w:pPr>
            <w:r>
              <w:t>财政拨    款结转</w:t>
            </w:r>
          </w:p>
        </w:tc>
        <w:tc>
          <w:tcPr>
            <w:tcW w:w="964" w:type="dxa"/>
            <w:noWrap w:val="0"/>
            <w:vAlign w:val="center"/>
          </w:tcPr>
          <w:p>
            <w:pPr>
              <w:pStyle w:val="18"/>
              <w:spacing w:line="500" w:lineRule="exact"/>
            </w:pPr>
            <w:r>
              <w:t>非财政    拨款结    转结余</w:t>
            </w:r>
          </w:p>
        </w:tc>
        <w:tc>
          <w:tcPr>
            <w:tcW w:w="964" w:type="dxa"/>
            <w:vMerge w:val="continue"/>
            <w:noWrap w:val="0"/>
            <w:vAlign w:val="top"/>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22"/>
              <w:spacing w:line="500" w:lineRule="exact"/>
            </w:pPr>
            <w:r>
              <w:t>合  计</w:t>
            </w:r>
          </w:p>
        </w:tc>
        <w:tc>
          <w:tcPr>
            <w:tcW w:w="964" w:type="dxa"/>
            <w:noWrap w:val="0"/>
            <w:vAlign w:val="center"/>
          </w:tcPr>
          <w:p>
            <w:pPr>
              <w:pStyle w:val="19"/>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709" w:type="dxa"/>
            <w:noWrap w:val="0"/>
            <w:vAlign w:val="center"/>
          </w:tcPr>
          <w:p>
            <w:pPr>
              <w:pStyle w:val="22"/>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noWrap w:val="0"/>
            <w:vAlign w:val="center"/>
          </w:tcPr>
          <w:p>
            <w:pPr>
              <w:pStyle w:val="22"/>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709" w:type="dxa"/>
            <w:noWrap w:val="0"/>
            <w:vAlign w:val="center"/>
          </w:tcPr>
          <w:p>
            <w:pPr>
              <w:pStyle w:val="22"/>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highlight w:val="none"/>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广阳区北旺镇大枣林中心小学</w:t>
      </w:r>
      <w:r>
        <w:rPr>
          <w:rFonts w:ascii="Times New Roman" w:hAnsi="Times New Roman" w:eastAsia="仿宋_GB2312" w:cs="Times New Roman"/>
          <w:sz w:val="32"/>
          <w:szCs w:val="32"/>
          <w:highlight w:val="none"/>
        </w:rPr>
        <w:t>上年末固定资产金额为</w:t>
      </w:r>
      <w:r>
        <w:rPr>
          <w:rFonts w:hint="eastAsia" w:ascii="Times New Roman" w:hAnsi="Times New Roman" w:eastAsia="仿宋_GB2312" w:cs="Times New Roman"/>
          <w:sz w:val="32"/>
          <w:szCs w:val="32"/>
          <w:highlight w:val="none"/>
        </w:rPr>
        <w:t>95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拟购置固定资产</w:t>
      </w:r>
      <w:r>
        <w:rPr>
          <w:rFonts w:hint="eastAsia" w:ascii="Times New Roman" w:hAnsi="Times New Roman" w:eastAsia="仿宋_GB2312" w:cs="Times New Roman"/>
          <w:sz w:val="32"/>
          <w:szCs w:val="32"/>
          <w:highlight w:val="none"/>
        </w:rPr>
        <w:t>总额为0万元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highlight w:val="none"/>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rPr>
              <w:t>广阳区区</w:t>
            </w:r>
            <w:r>
              <w:rPr>
                <w:rFonts w:ascii="Times New Roman" w:hAnsi="Times New Roman" w:eastAsia="仿宋_GB2312" w:cs="Times New Roman"/>
                <w:b/>
                <w:bCs/>
                <w:kern w:val="0"/>
                <w:sz w:val="32"/>
                <w:szCs w:val="32"/>
                <w:highlight w:val="none"/>
              </w:rPr>
              <w:t>直</w:t>
            </w:r>
            <w:r>
              <w:rPr>
                <w:rFonts w:hint="eastAsia" w:ascii="Times New Roman" w:hAnsi="Times New Roman" w:eastAsia="仿宋_GB2312" w:cs="Times New Roman"/>
                <w:b/>
                <w:bCs/>
                <w:kern w:val="0"/>
                <w:sz w:val="32"/>
                <w:szCs w:val="32"/>
                <w:highlight w:val="none"/>
                <w:lang w:eastAsia="zh-CN"/>
              </w:rPr>
              <w:t>单位</w:t>
            </w:r>
            <w:r>
              <w:rPr>
                <w:rFonts w:ascii="Times New Roman" w:hAnsi="Times New Roman" w:eastAsia="仿宋_GB2312" w:cs="Times New Roman"/>
                <w:b/>
                <w:bCs/>
                <w:kern w:val="0"/>
                <w:sz w:val="32"/>
                <w:szCs w:val="32"/>
                <w:highlight w:val="none"/>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编制</w:t>
            </w:r>
            <w:r>
              <w:rPr>
                <w:rFonts w:hint="eastAsia" w:ascii="Times New Roman" w:hAnsi="Times New Roman" w:eastAsia="仿宋_GB2312" w:cs="Times New Roman"/>
                <w:kern w:val="0"/>
                <w:sz w:val="22"/>
                <w:highlight w:val="none"/>
                <w:lang w:eastAsia="zh-CN"/>
              </w:rPr>
              <w:t>单位</w:t>
            </w:r>
            <w:r>
              <w:rPr>
                <w:rFonts w:ascii="Times New Roman" w:hAnsi="Times New Roman" w:eastAsia="仿宋_GB2312" w:cs="Times New Roman"/>
                <w:kern w:val="0"/>
                <w:sz w:val="22"/>
                <w:highlight w:val="none"/>
              </w:rPr>
              <w:t>：廊坊市</w:t>
            </w:r>
            <w:r>
              <w:rPr>
                <w:rFonts w:hint="eastAsia" w:ascii="Times New Roman" w:hAnsi="Times New Roman" w:eastAsia="仿宋_GB2312" w:cs="Times New Roman"/>
                <w:kern w:val="0"/>
                <w:sz w:val="22"/>
                <w:highlight w:val="none"/>
              </w:rPr>
              <w:t>广阳区北旺镇大枣林中心小学</w:t>
            </w:r>
          </w:p>
          <w:p>
            <w:pPr>
              <w:widowControl/>
              <w:spacing w:line="584" w:lineRule="exact"/>
              <w:jc w:val="left"/>
              <w:rPr>
                <w:rFonts w:ascii="Times New Roman" w:hAnsi="Times New Roman" w:eastAsia="仿宋_GB2312" w:cs="Times New Roman"/>
                <w:kern w:val="0"/>
                <w:sz w:val="22"/>
                <w:highlight w:val="none"/>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1458</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55.2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图书7672册等</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82562"/>
    <w:rsid w:val="000A01D6"/>
    <w:rsid w:val="000F6018"/>
    <w:rsid w:val="00222A9F"/>
    <w:rsid w:val="0025632D"/>
    <w:rsid w:val="002E7C46"/>
    <w:rsid w:val="003044A3"/>
    <w:rsid w:val="003059E0"/>
    <w:rsid w:val="004A54AA"/>
    <w:rsid w:val="004D70A0"/>
    <w:rsid w:val="0055580E"/>
    <w:rsid w:val="0061224B"/>
    <w:rsid w:val="00626BE1"/>
    <w:rsid w:val="007B68CD"/>
    <w:rsid w:val="0089116A"/>
    <w:rsid w:val="00944233"/>
    <w:rsid w:val="0096300F"/>
    <w:rsid w:val="00B04E1D"/>
    <w:rsid w:val="00B40732"/>
    <w:rsid w:val="00B80935"/>
    <w:rsid w:val="00D347CC"/>
    <w:rsid w:val="00D34FE9"/>
    <w:rsid w:val="00D61210"/>
    <w:rsid w:val="00D93A98"/>
    <w:rsid w:val="00DA539A"/>
    <w:rsid w:val="00DC72B4"/>
    <w:rsid w:val="00DE60A5"/>
    <w:rsid w:val="00E82B1F"/>
    <w:rsid w:val="00EF0628"/>
    <w:rsid w:val="00EF14C3"/>
    <w:rsid w:val="00EF4718"/>
    <w:rsid w:val="00F0758A"/>
    <w:rsid w:val="00F170FC"/>
    <w:rsid w:val="00F217D6"/>
    <w:rsid w:val="0CDF2EC6"/>
    <w:rsid w:val="0CEC1180"/>
    <w:rsid w:val="179A2F8B"/>
    <w:rsid w:val="1C25308C"/>
    <w:rsid w:val="342E0FE7"/>
    <w:rsid w:val="3B475E80"/>
    <w:rsid w:val="62DB5B9F"/>
    <w:rsid w:val="6928561F"/>
    <w:rsid w:val="73693C55"/>
    <w:rsid w:val="7F8001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916</Words>
  <Characters>5223</Characters>
  <Lines>43</Lines>
  <Paragraphs>12</Paragraphs>
  <TotalTime>1</TotalTime>
  <ScaleCrop>false</ScaleCrop>
  <LinksUpToDate>false</LinksUpToDate>
  <CharactersWithSpaces>6127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111</cp:lastModifiedBy>
  <cp:lastPrinted>2018-01-30T06:12:00Z</cp:lastPrinted>
  <dcterms:modified xsi:type="dcterms:W3CDTF">2024-05-16T06:50:57Z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00D64CD6A25C42E2A723868488B7BD3A</vt:lpwstr>
  </property>
</Properties>
</file>