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8" w:name="_GoBack"/>
      <w:bookmarkEnd w:id="8"/>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第二十三小学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廊坊市第二十三小学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0"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正确贯彻执行党和国家的教育方针、政策、法规，维护学校的教学秩序，为学生创造良好的学习环境，积极稳妥地推进教育改革，按教育规律办事，不断提高教育质量，建立健全各项规章制度和岗位责任制。坚持教书育人，服务育人，环境育人方针，加强对学生的思想品德教育，使学生的德智体全面发展。抓好教师队伍建设，使每个教师都热心于教育事业，做好安全防范，保证学生的</w:t>
      </w:r>
      <w:r>
        <w:rPr>
          <w:rFonts w:hint="eastAsia" w:ascii="Times New Roman" w:hAnsi="Times New Roman" w:eastAsia="仿宋_GB2312" w:cs="Times New Roman"/>
          <w:sz w:val="32"/>
          <w:szCs w:val="32"/>
          <w:lang w:eastAsia="zh-CN"/>
        </w:rPr>
        <w:t>人身安全</w:t>
      </w:r>
      <w:r>
        <w:rPr>
          <w:rFonts w:hint="eastAsia" w:ascii="Times New Roman" w:hAnsi="Times New Roman" w:eastAsia="仿宋_GB2312" w:cs="Times New Roman"/>
          <w:sz w:val="32"/>
          <w:szCs w:val="32"/>
        </w:rPr>
        <w:t>。</w:t>
      </w:r>
    </w:p>
    <w:p>
      <w:pPr>
        <w:spacing w:line="584" w:lineRule="exact"/>
        <w:ind w:firstLine="660"/>
        <w:rPr>
          <w:rFonts w:ascii="Times New Roman" w:hAnsi="Times New Roman" w:eastAsia="仿宋_GB2312" w:cs="Times New Roman"/>
          <w:color w:val="FF0000"/>
          <w:sz w:val="32"/>
          <w:szCs w:val="32"/>
        </w:rPr>
      </w:pPr>
    </w:p>
    <w:p>
      <w:pPr>
        <w:spacing w:line="584" w:lineRule="exact"/>
        <w:ind w:firstLine="660"/>
        <w:rPr>
          <w:rFonts w:ascii="Times New Roman" w:hAnsi="Times New Roman" w:eastAsia="仿宋_GB2312" w:cs="Times New Roman"/>
          <w:color w:val="FF0000"/>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27"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112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4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39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439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廊坊市第二十三小学</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事业单位</w:t>
            </w:r>
          </w:p>
        </w:tc>
        <w:tc>
          <w:tcPr>
            <w:tcW w:w="1276" w:type="dxa"/>
            <w:shd w:val="clear" w:color="auto" w:fill="auto"/>
            <w:vAlign w:val="center"/>
          </w:tcPr>
          <w:p>
            <w:pPr>
              <w:spacing w:line="584" w:lineRule="exact"/>
              <w:jc w:val="center"/>
              <w:rPr>
                <w:rFonts w:ascii="Times New Roman" w:hAnsi="Times New Roman" w:eastAsia="仿宋_GB2312" w:cs="Times New Roman"/>
                <w:b/>
              </w:rPr>
            </w:pPr>
          </w:p>
        </w:tc>
        <w:tc>
          <w:tcPr>
            <w:tcW w:w="439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预算的编制实行综合预算制度，即全部收入和支出都反映在预算中。廊坊市第</w:t>
      </w:r>
      <w:r>
        <w:rPr>
          <w:rFonts w:hint="eastAsia" w:ascii="Times New Roman" w:hAnsi="Times New Roman" w:eastAsia="仿宋_GB2312" w:cs="Times New Roman"/>
          <w:sz w:val="32"/>
          <w:szCs w:val="32"/>
        </w:rPr>
        <w:t>二十三小</w:t>
      </w:r>
      <w:r>
        <w:rPr>
          <w:rFonts w:ascii="Times New Roman" w:hAnsi="Times New Roman" w:eastAsia="仿宋_GB2312" w:cs="Times New Roman"/>
          <w:sz w:val="32"/>
          <w:szCs w:val="32"/>
        </w:rPr>
        <w:t>学的收支包含在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2年预算收入1161.59万元，其中：一般公共预算收入1161.59万元，基金预算收入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第二十三小学202</w:t>
      </w:r>
      <w:r>
        <w:rPr>
          <w:rFonts w:ascii="Times New Roman" w:hAnsi="Times New Roman" w:eastAsia="仿宋_GB2312" w:cs="Times New Roman"/>
          <w:sz w:val="32"/>
          <w:szCs w:val="32"/>
        </w:rPr>
        <w:t>2年度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2年支出预算1161.59万元，其中基本支出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万元；运转类其他及特定目标类项目支出1161.59万元。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2年预算收支安排1161.59万元，较20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1年预算增加</w:t>
      </w:r>
      <w:r>
        <w:rPr>
          <w:rFonts w:ascii="Times New Roman" w:hAnsi="Times New Roman" w:eastAsia="仿宋_GB2312" w:cs="Times New Roman"/>
          <w:color w:val="000000" w:themeColor="text1"/>
          <w:sz w:val="32"/>
          <w:szCs w:val="32"/>
          <w14:textFill>
            <w14:solidFill>
              <w14:schemeClr w14:val="tx1"/>
            </w14:solidFill>
          </w14:textFill>
        </w:rPr>
        <w:t>946.07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增加946.07</w:t>
      </w:r>
      <w:r>
        <w:rPr>
          <w:rFonts w:ascii="Times New Roman" w:hAnsi="Times New Roman" w:eastAsia="仿宋_GB2312" w:cs="Times New Roman"/>
          <w:sz w:val="32"/>
          <w:szCs w:val="32"/>
        </w:rPr>
        <w:t>万元，主要项目支出增加</w:t>
      </w:r>
      <w:r>
        <w:rPr>
          <w:rFonts w:ascii="Times New Roman" w:hAnsi="Times New Roman" w:eastAsia="仿宋_GB2312" w:cs="Times New Roman"/>
          <w:color w:val="000000" w:themeColor="text1"/>
          <w:sz w:val="32"/>
          <w:szCs w:val="32"/>
          <w14:textFill>
            <w14:solidFill>
              <w14:schemeClr w14:val="tx1"/>
            </w14:solidFill>
          </w14:textFill>
        </w:rPr>
        <w:t>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合同制教师人员经费</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2年，我单位关运行经费共计安排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947" w:firstLineChars="296"/>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推进义务教育均衡发展，建立中小学校舍安全保障机制，改善薄弱学校办学条件，提高素质教育水平，开展丰富多彩的教学活动。促进公共教育资源向农村和经济欠发达地区倾斜。</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提高义务教育公用经费保障水平，改善办学条件，均衡配置基础教育资源，缩小城乡、区域、校际之间办学差距，推进标准化学校建设，实施数字化校园建设，加强学校文化建设，落实学生资助政策。</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 xml:space="preserve">1、发展城市义务教育  </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免除城市区中小学生学杂费，提高公用经费保障水平，为贫困中小学生免费提供教科书，</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对接收进城务工农民工子女的学校进行补助。</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改善城区中小学办学条件。</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保障中小学公用经费水平逐年提高，解决大班额问题及入学难问题。</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保障小学入学率。</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2、改善学校办学条件</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保障义务教育阶段学校基本教学条件，改善学校生活设施，保障后勤社会化服务，解决学校大班额问题。</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开展学生社会实践活动，建立学生实践教育基地，推进学校教育信息化。</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使义务教育学校教学设施和生活设施满足基本教学需要，保障后勤社会化服务资金充足，使学校能够正常运转，超大班额现象消除，教师数量、素质、结构基本适应教学需要。</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3、提升特殊教育保障水平</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保证教学设备设施配备齐全，保障学生校园安全，支持贫困学生和爱心家园学生完成学业。</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改善办学条件，配置基础教育资源。</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4、开展教师教研及学生德育活动</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开展各类课题研究、校本研究，加强教师培训和教学交流，加强德育培训与研究，举办各类教育教学活动。</w:t>
      </w:r>
    </w:p>
    <w:p>
      <w:pPr>
        <w:spacing w:line="584"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提高教师教学水平，调动教师积极性，培养专家型教师人才，提高学生的综合素质。</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提高义务教育公用经费保障水平，改善办学条件，均衡配置基础教育资源，推进标准化学校建设，实施数字化校园建设，加强学校文化建设，落实学生资助政策。促进义务教育均衡发展，建立中小学校舍安全保障机制，提高素质教育水平，开展丰富多彩的教学活动。促进社会文化素质提高。</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1、提高义务教育水平，免除城市区中小学生学杂费，提供免费教科书，解决大班额问题及入学难问题。对贫困中小学生进行补助。</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2、按质按量完成教育教学方面的各项任务，稳步提升学校的教育教学质量，学生综合素质评价优秀率达到85%,合格率达到100%。</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3、中小学公用经费水平逐年提高，改善学校办学条件，保障义务教育阶段学校基本教学条件，使义务教育学校教学设施和生活设施满足基本教学需要，保障后勤社会化服务资金充足，使学校能够正常运转，超大班额现象消除，教师数量、素质、结构基本适应教学需要。</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4、提升学校基础设施设备的整体水平。加强学校基础设施设备的维护,确保校园安全,落实校园防火及其他安全隐患的预防工作。确保校园各设施设备的正常运行。</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5、开展各类课题研究、校本研究，加强教师培训和教学交流，提高教师教学水平，调动教师积极性，培养专家型教师人才，加强德育培训与研究，举办各类教育教学、学生社会实践活动，建立学生实践教育基地活动。提高学生的综合素质。</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6、学校的文化宣传整体布局,建成学校校史馆,完成各班级、各科室及教师办公室的文化宣传布置。加大学校办学理念、目标的宣传,形成具有特色的校园文化氛围。</w:t>
      </w:r>
    </w:p>
    <w:p>
      <w:pPr>
        <w:spacing w:line="584" w:lineRule="exact"/>
        <w:ind w:firstLine="640" w:firstLineChars="200"/>
        <w:rPr>
          <w:rFonts w:ascii="仿宋_GB2312" w:hAnsi="仿宋" w:eastAsia="仿宋_GB2312" w:cs="宋体"/>
          <w:sz w:val="32"/>
          <w:szCs w:val="32"/>
        </w:rPr>
      </w:pPr>
      <w:r>
        <w:rPr>
          <w:rFonts w:hint="eastAsia" w:ascii="仿宋_GB2312" w:hAnsi="仿宋" w:eastAsia="仿宋_GB2312" w:cs="宋体"/>
          <w:sz w:val="32"/>
          <w:szCs w:val="32"/>
        </w:rPr>
        <w:t>7、办人民满意的学校,教师、学生、家长整体满意度达到90%以上。</w:t>
      </w:r>
    </w:p>
    <w:p>
      <w:pPr>
        <w:spacing w:line="584" w:lineRule="exact"/>
        <w:ind w:firstLine="640"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0" w:lineRule="exact"/>
        <w:ind w:firstLine="630"/>
        <w:rPr>
          <w:rFonts w:eastAsia="仿宋_GB2312"/>
          <w:sz w:val="32"/>
          <w:szCs w:val="32"/>
        </w:rPr>
      </w:pPr>
      <w:r>
        <w:rPr>
          <w:rFonts w:hint="eastAsia" w:eastAsia="仿宋_GB2312"/>
          <w:sz w:val="32"/>
          <w:szCs w:val="32"/>
        </w:rPr>
        <w:t>1、成立学校监督小组，监督学校工作，强化工作落实。</w:t>
      </w:r>
    </w:p>
    <w:p>
      <w:pPr>
        <w:spacing w:line="580" w:lineRule="exact"/>
        <w:ind w:firstLine="630"/>
        <w:rPr>
          <w:rFonts w:eastAsia="仿宋_GB2312"/>
          <w:sz w:val="32"/>
          <w:szCs w:val="32"/>
        </w:rPr>
      </w:pPr>
      <w:r>
        <w:rPr>
          <w:rFonts w:hint="eastAsia" w:eastAsia="仿宋_GB2312"/>
          <w:sz w:val="32"/>
          <w:szCs w:val="32"/>
        </w:rPr>
        <w:t>2、做好工会工作。贯彻落实中央和省、市、区委关于重大节日开展对离退休干部进行走访慰问的指示精神，做好困难党员、群众、老教师、优抚对象、劳动模范的关心帮扶工作，充分体现党和政府对教育工作者的关怀。</w:t>
      </w:r>
    </w:p>
    <w:p>
      <w:pPr>
        <w:spacing w:line="580" w:lineRule="exact"/>
        <w:ind w:firstLine="630"/>
        <w:rPr>
          <w:rFonts w:eastAsia="仿宋_GB2312"/>
          <w:sz w:val="32"/>
          <w:szCs w:val="32"/>
        </w:rPr>
      </w:pPr>
      <w:r>
        <w:rPr>
          <w:rFonts w:hint="eastAsia" w:eastAsia="仿宋_GB2312"/>
          <w:sz w:val="32"/>
          <w:szCs w:val="32"/>
        </w:rP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spacing w:line="580" w:lineRule="exact"/>
        <w:ind w:firstLine="630"/>
        <w:rPr>
          <w:rFonts w:eastAsia="仿宋_GB2312"/>
          <w:sz w:val="32"/>
          <w:szCs w:val="32"/>
        </w:rPr>
      </w:pPr>
      <w:r>
        <w:rPr>
          <w:rFonts w:hint="eastAsia" w:eastAsia="仿宋_GB2312"/>
          <w:sz w:val="32"/>
          <w:szCs w:val="32"/>
        </w:rPr>
        <w:t>4、学校体育、卫生工作。按照《学校体育工作条例》和《关于强化学校体育促进学生身心健康全面发展的意见》“定期举办综合性学生运动会，开展学校体育竞赛活动”的要求，发展特色体育项目，积极参加省、市、区举办中小学竞赛项目；根据《关于加快推进全国青少年冰雪运动进校园的指导意见》要求，通过举办冰雪运动会、冰雪知识竞赛等活动方式，加快发展我区青少年冰雪运动，提升青少年学生体质健康水平；根据《中小学生健康体检管理办法》要求，对在校学生每年进行1次常规健康体检。</w:t>
      </w:r>
    </w:p>
    <w:p>
      <w:pPr>
        <w:spacing w:line="580" w:lineRule="exact"/>
        <w:ind w:firstLine="630"/>
        <w:rPr>
          <w:rFonts w:eastAsia="仿宋_GB2312"/>
          <w:sz w:val="32"/>
          <w:szCs w:val="32"/>
        </w:rPr>
      </w:pPr>
      <w:r>
        <w:rPr>
          <w:rFonts w:hint="eastAsia" w:eastAsia="仿宋_GB2312"/>
          <w:sz w:val="32"/>
          <w:szCs w:val="32"/>
        </w:rPr>
        <w:t>5、完善拓展德育队伍建设，树立全员育人观念，并取得一定成绩，形成学校、家庭、社会三位一体的教育格局。完善强化德育评比体制。如班主任绩效考核、学生综合素质评定等，做好各级各类优秀集体和个人的评选工作。完善心理咨询室的建设，寓心理健康教育于教育教学工作中，开展好理论学习和个案分析。</w:t>
      </w:r>
    </w:p>
    <w:p>
      <w:pPr>
        <w:spacing w:line="580" w:lineRule="exact"/>
        <w:ind w:firstLine="630"/>
        <w:rPr>
          <w:rFonts w:eastAsia="仿宋_GB2312"/>
          <w:sz w:val="32"/>
          <w:szCs w:val="32"/>
        </w:rPr>
      </w:pPr>
      <w:r>
        <w:rPr>
          <w:rFonts w:hint="eastAsia" w:eastAsia="仿宋_GB2312"/>
          <w:sz w:val="32"/>
          <w:szCs w:val="32"/>
        </w:rPr>
        <w:t>6、加强政治理论学习，强化党风廉政建设。做好师德传承活动，落实老中青传帮带。弘扬办学精神。加强师德宣传与学习活动。开展形式多样、扎实有效的师德教育活动。</w:t>
      </w:r>
    </w:p>
    <w:p>
      <w:pPr>
        <w:spacing w:line="580" w:lineRule="exact"/>
        <w:ind w:firstLine="630"/>
        <w:rPr>
          <w:rFonts w:hint="eastAsia" w:eastAsia="仿宋_GB2312"/>
          <w:sz w:val="32"/>
          <w:szCs w:val="32"/>
        </w:rPr>
      </w:pPr>
      <w:r>
        <w:rPr>
          <w:rFonts w:hint="eastAsia" w:eastAsia="仿宋_GB2312"/>
          <w:sz w:val="32"/>
          <w:szCs w:val="32"/>
        </w:rPr>
        <w:t>逐步制订、完善相关制度，规范教师师德。加强校本培训和继续教育工作，提升教师能力。落实教师评价工作，完善考核机制。搭建教师发展平台。</w:t>
      </w: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spacing w:line="580" w:lineRule="exact"/>
        <w:ind w:firstLine="630"/>
        <w:rPr>
          <w:rFonts w:hint="eastAsia" w:eastAsia="仿宋_GB2312"/>
          <w:sz w:val="32"/>
          <w:szCs w:val="32"/>
        </w:rPr>
      </w:pPr>
    </w:p>
    <w:p>
      <w:pPr>
        <w:numPr>
          <w:ilvl w:val="0"/>
          <w:numId w:val="1"/>
        </w:numPr>
        <w:overflowPunct w:val="0"/>
        <w:adjustRightInd w:val="0"/>
        <w:snapToGrid w:val="0"/>
        <w:spacing w:after="156" w:afterLines="50" w:line="580" w:lineRule="exact"/>
        <w:ind w:firstLine="627" w:firstLineChars="196"/>
        <w:jc w:val="left"/>
        <w:rPr>
          <w:rFonts w:eastAsia="仿宋_GB2312"/>
          <w:color w:val="000000"/>
          <w:kern w:val="0"/>
          <w:sz w:val="30"/>
          <w:szCs w:val="30"/>
        </w:rPr>
      </w:pP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1352"/>
        <w:gridCol w:w="1322"/>
        <w:gridCol w:w="1762"/>
        <w:gridCol w:w="3523"/>
        <w:gridCol w:w="706"/>
        <w:gridCol w:w="937"/>
        <w:gridCol w:w="1317"/>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5000" w:type="pct"/>
            <w:gridSpan w:val="9"/>
            <w:shd w:val="clear" w:color="auto" w:fill="auto"/>
            <w:vAlign w:val="center"/>
          </w:tcPr>
          <w:p>
            <w:pPr>
              <w:widowControl/>
              <w:jc w:val="center"/>
              <w:textAlignment w:val="center"/>
              <w:rPr>
                <w:rFonts w:ascii="normal" w:hAnsi="normal" w:eastAsia="normal" w:cs="normal"/>
                <w:b/>
                <w:bCs/>
                <w:color w:val="000000"/>
                <w:sz w:val="33"/>
                <w:szCs w:val="33"/>
              </w:rPr>
            </w:pPr>
            <w:r>
              <w:rPr>
                <w:rFonts w:hint="eastAsia" w:ascii="normal" w:hAnsi="normal" w:cs="normal"/>
                <w:b/>
                <w:bCs/>
                <w:color w:val="000000"/>
                <w:kern w:val="0"/>
                <w:sz w:val="33"/>
                <w:szCs w:val="33"/>
                <w:lang w:eastAsia="zh-CN" w:bidi="ar"/>
              </w:rPr>
              <w:t>单位</w:t>
            </w:r>
            <w:r>
              <w:rPr>
                <w:rFonts w:ascii="normal" w:hAnsi="normal" w:eastAsia="normal" w:cs="normal"/>
                <w:b/>
                <w:bCs/>
                <w:color w:val="000000"/>
                <w:kern w:val="0"/>
                <w:sz w:val="33"/>
                <w:szCs w:val="33"/>
                <w:lang w:bidi="ar"/>
              </w:rPr>
              <w:t>整体支出绩效指标情况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514"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一级指标</w:t>
            </w:r>
          </w:p>
        </w:tc>
        <w:tc>
          <w:tcPr>
            <w:tcW w:w="516"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二级指标</w:t>
            </w:r>
          </w:p>
        </w:tc>
        <w:tc>
          <w:tcPr>
            <w:tcW w:w="505"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三级指标</w:t>
            </w:r>
          </w:p>
        </w:tc>
        <w:tc>
          <w:tcPr>
            <w:tcW w:w="673"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绩效指标描述</w:t>
            </w:r>
          </w:p>
        </w:tc>
        <w:tc>
          <w:tcPr>
            <w:tcW w:w="1345"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评（扣）分标准</w:t>
            </w:r>
          </w:p>
        </w:tc>
        <w:tc>
          <w:tcPr>
            <w:tcW w:w="1130" w:type="pct"/>
            <w:gridSpan w:val="3"/>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w:t>
            </w:r>
          </w:p>
        </w:tc>
        <w:tc>
          <w:tcPr>
            <w:tcW w:w="314" w:type="pct"/>
            <w:vMerge w:val="restar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14" w:type="pct"/>
            <w:vMerge w:val="continue"/>
            <w:shd w:val="clear" w:color="auto" w:fill="auto"/>
            <w:vAlign w:val="center"/>
          </w:tcPr>
          <w:p>
            <w:pPr>
              <w:jc w:val="center"/>
              <w:rPr>
                <w:rFonts w:ascii="宋体" w:hAnsi="宋体" w:cs="宋体"/>
                <w:color w:val="000000"/>
                <w:sz w:val="22"/>
              </w:rPr>
            </w:pPr>
          </w:p>
        </w:tc>
        <w:tc>
          <w:tcPr>
            <w:tcW w:w="516" w:type="pct"/>
            <w:vMerge w:val="continue"/>
            <w:shd w:val="clear" w:color="auto" w:fill="auto"/>
            <w:vAlign w:val="center"/>
          </w:tcPr>
          <w:p>
            <w:pPr>
              <w:jc w:val="center"/>
              <w:rPr>
                <w:rFonts w:ascii="宋体" w:hAnsi="宋体" w:cs="宋体"/>
                <w:color w:val="000000"/>
                <w:sz w:val="22"/>
              </w:rPr>
            </w:pPr>
          </w:p>
        </w:tc>
        <w:tc>
          <w:tcPr>
            <w:tcW w:w="505" w:type="pct"/>
            <w:vMerge w:val="continue"/>
            <w:shd w:val="clear" w:color="auto" w:fill="auto"/>
            <w:vAlign w:val="center"/>
          </w:tcPr>
          <w:p>
            <w:pPr>
              <w:jc w:val="center"/>
              <w:rPr>
                <w:rFonts w:ascii="宋体" w:hAnsi="宋体" w:cs="宋体"/>
                <w:color w:val="000000"/>
                <w:sz w:val="22"/>
              </w:rPr>
            </w:pPr>
          </w:p>
        </w:tc>
        <w:tc>
          <w:tcPr>
            <w:tcW w:w="673" w:type="pct"/>
            <w:vMerge w:val="continue"/>
            <w:shd w:val="clear" w:color="auto" w:fill="auto"/>
            <w:vAlign w:val="center"/>
          </w:tcPr>
          <w:p>
            <w:pPr>
              <w:jc w:val="center"/>
              <w:rPr>
                <w:rFonts w:ascii="宋体" w:hAnsi="宋体" w:cs="宋体"/>
                <w:color w:val="000000"/>
                <w:sz w:val="22"/>
              </w:rPr>
            </w:pPr>
          </w:p>
        </w:tc>
        <w:tc>
          <w:tcPr>
            <w:tcW w:w="1345" w:type="pct"/>
            <w:vMerge w:val="continue"/>
            <w:shd w:val="clear" w:color="auto" w:fill="auto"/>
            <w:vAlign w:val="center"/>
          </w:tcPr>
          <w:p>
            <w:pPr>
              <w:jc w:val="center"/>
              <w:rPr>
                <w:rFonts w:ascii="宋体" w:hAnsi="宋体" w:cs="宋体"/>
                <w:color w:val="000000"/>
                <w:sz w:val="22"/>
              </w:rPr>
            </w:pPr>
          </w:p>
        </w:tc>
        <w:tc>
          <w:tcPr>
            <w:tcW w:w="269"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符号</w:t>
            </w:r>
          </w:p>
        </w:tc>
        <w:tc>
          <w:tcPr>
            <w:tcW w:w="357"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值</w:t>
            </w:r>
          </w:p>
        </w:tc>
        <w:tc>
          <w:tcPr>
            <w:tcW w:w="503" w:type="pct"/>
            <w:shd w:val="clear" w:color="auto" w:fill="auto"/>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lang w:bidi="ar"/>
              </w:rPr>
              <w:t>单位（文字描述）</w:t>
            </w:r>
          </w:p>
        </w:tc>
        <w:tc>
          <w:tcPr>
            <w:tcW w:w="314" w:type="pct"/>
            <w:vMerge w:val="continue"/>
            <w:shd w:val="clear" w:color="auto" w:fill="auto"/>
            <w:vAlign w:val="center"/>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产出指标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小学生毕业生合格率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20分毕业生合格率100%得满分，否则不得分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数量指标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重点工作实际完成率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10分不低于95%得满分，否则不得分5每减少1%扣1分，扣完为止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质量指标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采购物资、建设工程合格率</w:t>
            </w:r>
          </w:p>
        </w:tc>
        <w:tc>
          <w:tcPr>
            <w:tcW w:w="1345" w:type="pct"/>
            <w:shd w:val="clear" w:color="auto" w:fill="auto"/>
            <w:noWrap/>
          </w:tcPr>
          <w:p>
            <w:pPr>
              <w:widowControl/>
              <w:tabs>
                <w:tab w:val="left" w:pos="7560"/>
                <w:tab w:val="left" w:pos="8820"/>
              </w:tabs>
              <w:ind w:left="420" w:leftChars="200"/>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20分合格率100%得满分，否则不得分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100</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时效指标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学校的各项工作任务及时完成情况</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10分及时完成得满分，否则不得分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357" w:type="pct"/>
            <w:shd w:val="clear" w:color="auto" w:fill="auto"/>
            <w:noWrap/>
          </w:tcPr>
          <w:p>
            <w:pPr>
              <w:jc w:val="left"/>
              <w:rPr>
                <w:rFonts w:hint="eastAsia" w:ascii="仿宋_GB2312" w:hAnsi="仿宋_GB2312" w:eastAsia="仿宋_GB2312" w:cs="仿宋_GB2312"/>
                <w:color w:val="000000"/>
                <w:sz w:val="22"/>
              </w:rPr>
            </w:pP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及时</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年初工作计划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成本指标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教育经费使用控制率</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支出的公用经费总额与预算安排的比率</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10分教育经费决算数不大于调整预算数得满分，否则不得分</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文字描述</w:t>
            </w:r>
          </w:p>
        </w:tc>
        <w:tc>
          <w:tcPr>
            <w:tcW w:w="357" w:type="pct"/>
            <w:shd w:val="clear" w:color="auto" w:fill="auto"/>
            <w:noWrap/>
          </w:tcPr>
          <w:p>
            <w:pPr>
              <w:jc w:val="left"/>
              <w:rPr>
                <w:rFonts w:hint="eastAsia" w:ascii="仿宋_GB2312" w:hAnsi="仿宋_GB2312" w:eastAsia="仿宋_GB2312" w:cs="仿宋_GB2312"/>
                <w:color w:val="000000"/>
                <w:sz w:val="22"/>
              </w:rPr>
            </w:pP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教育经费决算数不大于调整预算数</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shd w:val="clear" w:color="auto" w:fill="auto"/>
            <w:noWrap/>
          </w:tcPr>
          <w:p>
            <w:pPr>
              <w:widowControl/>
              <w:jc w:val="left"/>
              <w:textAlignment w:val="top"/>
              <w:rPr>
                <w:rFonts w:cs="Calibri"/>
                <w:color w:val="000000"/>
                <w:sz w:val="22"/>
              </w:rPr>
            </w:pPr>
            <w:r>
              <w:rPr>
                <w:rFonts w:cs="Calibri"/>
                <w:color w:val="000000"/>
                <w:kern w:val="0"/>
                <w:sz w:val="22"/>
                <w:lang w:bidi="ar"/>
              </w:rPr>
              <w:t>效益指标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社会效益指标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义务教育高质量发展</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推动义务教育从数量扩张向质量提高转变</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10分学生、家长、社会对学校整体满意度达到95%得满分，每降低1%扣1分，扣完为止。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eastAsia="zh-CN" w:bidi="ar"/>
              </w:rPr>
              <w:t>单位</w:t>
            </w:r>
            <w:r>
              <w:rPr>
                <w:rFonts w:hint="eastAsia" w:ascii="仿宋_GB2312" w:hAnsi="仿宋_GB2312" w:eastAsia="仿宋_GB2312" w:cs="仿宋_GB2312"/>
                <w:color w:val="000000"/>
                <w:kern w:val="0"/>
                <w:sz w:val="22"/>
                <w:lang w:bidi="ar"/>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restart"/>
            <w:shd w:val="clear" w:color="auto" w:fill="auto"/>
            <w:noWrap/>
          </w:tcPr>
          <w:p>
            <w:pPr>
              <w:widowControl/>
              <w:jc w:val="left"/>
              <w:textAlignment w:val="top"/>
              <w:rPr>
                <w:rFonts w:cs="Calibri"/>
                <w:color w:val="000000"/>
                <w:sz w:val="22"/>
              </w:rPr>
            </w:pPr>
            <w:r>
              <w:rPr>
                <w:rFonts w:cs="Calibri"/>
                <w:color w:val="000000"/>
                <w:kern w:val="0"/>
                <w:sz w:val="22"/>
                <w:lang w:bidi="ar"/>
              </w:rPr>
              <w:t>满意度指标</w:t>
            </w: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在校师生的满意程度</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10分在校师生的满意度达到95%得满分，每降低1%扣1分，扣完为止。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514" w:type="pct"/>
            <w:vMerge w:val="continue"/>
            <w:shd w:val="clear" w:color="auto" w:fill="auto"/>
            <w:noWrap/>
          </w:tcPr>
          <w:p>
            <w:pPr>
              <w:jc w:val="left"/>
              <w:rPr>
                <w:rFonts w:cs="Calibri"/>
                <w:color w:val="000000"/>
                <w:sz w:val="22"/>
              </w:rPr>
            </w:pPr>
          </w:p>
        </w:tc>
        <w:tc>
          <w:tcPr>
            <w:tcW w:w="516" w:type="pct"/>
            <w:shd w:val="clear" w:color="auto" w:fill="auto"/>
            <w:noWrap/>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lang w:bidi="ar"/>
              </w:rPr>
              <w:t>服务对象满意度指标</w:t>
            </w:r>
          </w:p>
        </w:tc>
        <w:tc>
          <w:tcPr>
            <w:tcW w:w="50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67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家长的满意程度</w:t>
            </w:r>
          </w:p>
        </w:tc>
        <w:tc>
          <w:tcPr>
            <w:tcW w:w="1345"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10分家长的满意度达到95%得满分，每降低1%扣1分，扣完为止。</w:t>
            </w:r>
          </w:p>
        </w:tc>
        <w:tc>
          <w:tcPr>
            <w:tcW w:w="269"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57"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95</w:t>
            </w:r>
          </w:p>
        </w:tc>
        <w:tc>
          <w:tcPr>
            <w:tcW w:w="503"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w:t>
            </w:r>
          </w:p>
        </w:tc>
        <w:tc>
          <w:tcPr>
            <w:tcW w:w="314" w:type="pct"/>
            <w:shd w:val="clear" w:color="auto" w:fill="auto"/>
            <w:noWrap/>
          </w:tcPr>
          <w:p>
            <w:pPr>
              <w:widowControl/>
              <w:jc w:val="left"/>
              <w:textAlignment w:val="top"/>
              <w:rPr>
                <w:rFonts w:hint="eastAsia"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调查问卷</w:t>
            </w:r>
          </w:p>
        </w:tc>
      </w:tr>
    </w:tbl>
    <w:p>
      <w:pPr>
        <w:widowControl/>
        <w:spacing w:line="584" w:lineRule="exact"/>
        <w:jc w:val="left"/>
        <w:rPr>
          <w:rFonts w:eastAsia="仿宋_GB2312"/>
          <w:color w:val="000000"/>
          <w:kern w:val="0"/>
          <w:sz w:val="30"/>
          <w:szCs w:val="30"/>
        </w:rPr>
        <w:sectPr>
          <w:footerReference r:id="rId3" w:type="default"/>
          <w:footerReference r:id="rId4" w:type="even"/>
          <w:pgSz w:w="16840" w:h="11907" w:orient="landscape"/>
          <w:pgMar w:top="1134" w:right="1985" w:bottom="567" w:left="1985" w:header="851" w:footer="1418" w:gutter="0"/>
          <w:pgNumType w:fmt="numberInDash"/>
          <w:cols w:space="720" w:num="1"/>
          <w:docGrid w:type="linesAndChars" w:linePitch="312" w:charSpace="0"/>
        </w:sect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1.城乡义务教育生均公用经费[区级]绩效目标表</w:t>
      </w:r>
      <w:bookmarkEnd w:id="0"/>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1.按照义务教育生均公用经费标准申请财政预算资金，通过合理、合规使用资金达到保证学校正常运转。</w:t>
            </w:r>
          </w:p>
          <w:p>
            <w:pPr>
              <w:pStyle w:val="15"/>
              <w:rPr>
                <w:rFonts w:hint="eastAsia" w:ascii="仿宋_GB2312" w:hAnsi="仿宋_GB2312" w:eastAsia="仿宋_GB2312" w:cs="仿宋_GB2312"/>
              </w:rPr>
            </w:pPr>
            <w:r>
              <w:rPr>
                <w:rFonts w:hint="eastAsia" w:ascii="仿宋_GB2312" w:hAnsi="仿宋_GB2312" w:eastAsia="仿宋_GB2312" w:cs="仿宋_GB2312"/>
              </w:rPr>
              <w:t>2.改善办学条件，促进义务教育发展。</w:t>
            </w:r>
          </w:p>
          <w:p>
            <w:pPr>
              <w:pStyle w:val="15"/>
              <w:rPr>
                <w:rFonts w:hint="eastAsia" w:ascii="仿宋_GB2312" w:hAnsi="仿宋_GB2312" w:eastAsia="仿宋_GB2312" w:cs="仿宋_GB2312"/>
              </w:rPr>
            </w:pPr>
            <w:r>
              <w:rPr>
                <w:rFonts w:hint="eastAsia" w:ascii="仿宋_GB2312" w:hAnsi="仿宋_GB2312" w:eastAsia="仿宋_GB2312" w:cs="仿宋_GB2312"/>
              </w:rPr>
              <w:t>3.开展培训活动，提高教师和学生的综合素质。</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75"/>
        <w:gridCol w:w="2354"/>
        <w:gridCol w:w="2317"/>
        <w:gridCol w:w="3087"/>
        <w:gridCol w:w="997"/>
        <w:gridCol w:w="26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0"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899"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8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179"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8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101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2627人</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Merge w:val="continue"/>
            <w:vAlign w:val="center"/>
          </w:tcPr>
          <w:p>
            <w:pPr>
              <w:rPr>
                <w:rFonts w:hint="eastAsia" w:ascii="仿宋_GB2312" w:hAnsi="仿宋_GB2312" w:eastAsia="仿宋_GB2312" w:cs="仿宋_GB2312"/>
              </w:rPr>
            </w:pP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735元/人</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义务教育/学前教育高质量发展</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该资金用于学校正常运转，改善办学条件，促进义务教育/学前教育均衡发展及学生素质提高</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支持</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0"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9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8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179"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8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01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outlineLvl w:val="3"/>
        <w:rPr>
          <w:rFonts w:hint="eastAsia" w:ascii="仿宋_GB2312" w:hAnsi="仿宋_GB2312" w:eastAsia="仿宋_GB2312" w:cs="仿宋_GB2312"/>
          <w:color w:val="000000"/>
          <w:sz w:val="28"/>
        </w:rPr>
      </w:pPr>
      <w:bookmarkStart w:id="1" w:name="_Toc_4_4_0000000005"/>
    </w:p>
    <w:p>
      <w:pPr>
        <w:ind w:firstLine="560"/>
        <w:outlineLvl w:val="3"/>
        <w:rPr>
          <w:rFonts w:hint="eastAsia" w:ascii="仿宋_GB2312" w:hAnsi="仿宋_GB2312" w:eastAsia="仿宋_GB2312" w:cs="仿宋_GB2312"/>
        </w:rPr>
      </w:pPr>
      <w:r>
        <w:rPr>
          <w:rFonts w:hint="eastAsia" w:ascii="仿宋_GB2312" w:hAnsi="仿宋_GB2312" w:eastAsia="仿宋_GB2312" w:cs="仿宋_GB2312"/>
          <w:color w:val="000000"/>
          <w:sz w:val="28"/>
        </w:rPr>
        <w:t>2.城乡义务教育生均公用经费[中央]绩效目标表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1.廊坊市第二十三小学2022年在校学生2627人，按照义务教育生均公用经费标准申请财政预算资金，通过合理、合规使用资金达到保证学校正常运转，改善办学条件，促进义务教育发展。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2113"/>
        <w:gridCol w:w="2194"/>
        <w:gridCol w:w="3574"/>
        <w:gridCol w:w="890"/>
        <w:gridCol w:w="26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807"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38"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36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340"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100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2627人</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735元</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廊坊市财政局廊坊市教育局关于提前下达2022年城乡义务教育中央补助经费预算（直达资金）的通知（廊财教[2021]62号）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义务教育教育高质量发展</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该资金用于学校正常运转，改善办学条件，促进义务教育均衡发展及学生素质提高</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支持</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廊财教[2021]62号文件</w:t>
            </w:r>
          </w:p>
          <w:p>
            <w:pPr>
              <w:pStyle w:val="15"/>
              <w:rPr>
                <w:rFonts w:hint="eastAsia" w:ascii="仿宋_GB2312" w:hAnsi="仿宋_GB2312" w:eastAsia="仿宋_GB2312" w:cs="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38"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36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340"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≥90%</w:t>
            </w:r>
          </w:p>
        </w:tc>
        <w:tc>
          <w:tcPr>
            <w:tcW w:w="100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3.合同制教师人员经费绩效目标表</w:t>
      </w:r>
      <w:bookmarkEnd w:id="2"/>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1.缓解教师短缺，保障教育教学正常的进行</w:t>
            </w:r>
          </w:p>
          <w:p>
            <w:pPr>
              <w:pStyle w:val="15"/>
              <w:rPr>
                <w:rFonts w:hint="eastAsia" w:ascii="仿宋_GB2312" w:hAnsi="仿宋_GB2312" w:eastAsia="仿宋_GB2312" w:cs="仿宋_GB2312"/>
              </w:rPr>
            </w:pPr>
            <w:r>
              <w:rPr>
                <w:rFonts w:hint="eastAsia" w:ascii="仿宋_GB2312" w:hAnsi="仿宋_GB2312" w:eastAsia="仿宋_GB2312" w:cs="仿宋_GB2312"/>
              </w:rPr>
              <w:t>2.保障教学质量，提升教育水平</w:t>
            </w:r>
          </w:p>
          <w:p>
            <w:pPr>
              <w:pStyle w:val="15"/>
              <w:rPr>
                <w:rFonts w:hint="eastAsia" w:ascii="仿宋_GB2312" w:hAnsi="仿宋_GB2312" w:eastAsia="仿宋_GB2312" w:cs="仿宋_GB2312"/>
              </w:rPr>
            </w:pPr>
            <w:r>
              <w:rPr>
                <w:rFonts w:hint="eastAsia" w:ascii="仿宋_GB2312" w:hAnsi="仿宋_GB2312" w:eastAsia="仿宋_GB2312" w:cs="仿宋_GB2312"/>
              </w:rPr>
              <w:t>3.学生、学校、家长对合同制教师的满意度达到95%以上</w:t>
            </w:r>
          </w:p>
          <w:p>
            <w:pPr>
              <w:pStyle w:val="15"/>
              <w:rPr>
                <w:rFonts w:hint="eastAsia" w:ascii="仿宋_GB2312" w:hAnsi="仿宋_GB2312" w:eastAsia="仿宋_GB2312" w:cs="仿宋_GB2312"/>
              </w:rPr>
            </w:pPr>
            <w:r>
              <w:rPr>
                <w:rFonts w:hint="eastAsia" w:ascii="仿宋_GB2312" w:hAnsi="仿宋_GB2312" w:eastAsia="仿宋_GB2312" w:cs="仿宋_GB2312"/>
              </w:rPr>
              <w:t>4.保障合同制教师工资福利待遇，并及时发放。</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69"/>
        <w:gridCol w:w="1870"/>
        <w:gridCol w:w="2160"/>
        <w:gridCol w:w="3043"/>
        <w:gridCol w:w="2113"/>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82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162"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807"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775"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合同制教师在校人数</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保障2022合同制教师 91人工资福利</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91人</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合同制教师完成岗位目标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不同学科合同制教师岗位目标明确，并得以执行</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完成岗位目标职责</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区在职教师考核办法文件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合同制教师的考核合格率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合格率达到100%</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≥98%</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区考核办法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资金支出率（%）</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按月支付合同制教师工资及缴纳社会保障及住房公积金</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保障项目正常运行</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合同制教师薪酬测算标准</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根据廊广传【2021】19号文件合同制教师与在职教师同工同酬</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廊广传【2021】19号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缓解师资供需矛盾</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缓解教师短缺，保障教育教学正常的进行</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缓解</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学生满意度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所教班级学生满意度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学校满意度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在校教师满意度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pPr>
              <w:rPr>
                <w:rFonts w:hint="eastAsia" w:ascii="仿宋_GB2312" w:hAnsi="仿宋_GB2312" w:eastAsia="仿宋_GB2312" w:cs="仿宋_GB2312"/>
              </w:rPr>
            </w:pPr>
          </w:p>
        </w:tc>
        <w:tc>
          <w:tcPr>
            <w:tcW w:w="71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2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家长满意度</w:t>
            </w:r>
          </w:p>
        </w:tc>
        <w:tc>
          <w:tcPr>
            <w:tcW w:w="1162"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所教班级家长满意度</w:t>
            </w:r>
          </w:p>
        </w:tc>
        <w:tc>
          <w:tcPr>
            <w:tcW w:w="807"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775"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4.教育经费绩效目标表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15"/>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15"/>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15"/>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≤28.05万元</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rPr>
                <w:rFonts w:hint="eastAsia" w:ascii="仿宋_GB2312" w:hAnsi="仿宋_GB2312" w:eastAsia="仿宋_GB2312" w:cs="仿宋_GB2312"/>
              </w:rPr>
            </w:pP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4"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4" w:name="_Toc_4_4_0000000008"/>
      <w:r>
        <w:rPr>
          <w:rFonts w:hint="eastAsia" w:ascii="仿宋_GB2312" w:hAnsi="仿宋_GB2312" w:eastAsia="仿宋_GB2312" w:cs="仿宋_GB2312"/>
          <w:color w:val="000000"/>
          <w:sz w:val="28"/>
        </w:rPr>
        <w:t>5.特殊教育资金[省级]绩效目标表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p>
        </w:tc>
      </w:tr>
    </w:tbl>
    <w:p>
      <w:pPr>
        <w:spacing w:before="240"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spacing w:before="240"/>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2个</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12月底</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项目成本</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项目成本</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2000元</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廊财教[2021]68号文件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44" w:type="pct"/>
            <w:vMerge w:val="restar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持续</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before="240"/>
              <w:rPr>
                <w:rFonts w:hint="eastAsia" w:ascii="仿宋_GB2312" w:hAnsi="仿宋_GB2312" w:eastAsia="仿宋_GB2312" w:cs="仿宋_GB2312"/>
              </w:rPr>
            </w:pP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spacing w:before="240"/>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146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644"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spacing w:before="24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spacing w:line="300" w:lineRule="exact"/>
        <w:jc w:val="left"/>
        <w:rPr>
          <w:rFonts w:hint="eastAsia" w:ascii="仿宋_GB2312" w:hAnsi="仿宋_GB2312" w:eastAsia="仿宋_GB2312" w:cs="仿宋_GB2312"/>
        </w:rPr>
      </w:pPr>
    </w:p>
    <w:p>
      <w:pPr>
        <w:ind w:firstLine="560"/>
        <w:outlineLvl w:val="3"/>
        <w:rPr>
          <w:rFonts w:hint="eastAsia" w:ascii="仿宋_GB2312" w:hAnsi="仿宋_GB2312" w:eastAsia="仿宋_GB2312" w:cs="仿宋_GB2312"/>
        </w:rPr>
      </w:pPr>
      <w:bookmarkStart w:id="5" w:name="_Toc_4_4_0000000009"/>
      <w:r>
        <w:rPr>
          <w:rFonts w:hint="eastAsia" w:ascii="仿宋_GB2312" w:hAnsi="仿宋_GB2312" w:eastAsia="仿宋_GB2312" w:cs="仿宋_GB2312"/>
          <w:color w:val="000000"/>
          <w:sz w:val="28"/>
        </w:rPr>
        <w:t>6.特殊教育资金[中央]绩效目标表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5"/>
        <w:gridCol w:w="1139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6"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1.方便特殊学生日常生活学习，提升整体教学质量</w:t>
            </w:r>
          </w:p>
        </w:tc>
      </w:tr>
    </w:tbl>
    <w:p>
      <w:pPr>
        <w:spacing w:line="440"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86"/>
        <w:gridCol w:w="1686"/>
        <w:gridCol w:w="1762"/>
        <w:gridCol w:w="3825"/>
        <w:gridCol w:w="1686"/>
        <w:gridCol w:w="24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vAlign w:val="center"/>
          </w:tcPr>
          <w:p>
            <w:pPr>
              <w:pStyle w:val="16"/>
              <w:spacing w:line="44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特殊教育资金使用合格率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特殊教育资金管理办法规定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申请特殊教育学生人数</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2个</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依据在校生实际情况统计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保证项目完工的及时性</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12月底</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项目成本</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项目成本</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10000元</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廊财教[2021]9号文件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保障安全设施的持续使用</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持续</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pPr>
              <w:spacing w:line="440" w:lineRule="exact"/>
              <w:rPr>
                <w:rFonts w:hint="eastAsia" w:ascii="仿宋_GB2312" w:hAnsi="仿宋_GB2312" w:eastAsia="仿宋_GB2312" w:cs="仿宋_GB2312"/>
              </w:rPr>
            </w:pP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提高身体情况特殊学生在校安全性</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lang w:eastAsia="zh-CN"/>
              </w:rPr>
              <w:t>单位</w:t>
            </w:r>
            <w:r>
              <w:rPr>
                <w:rFonts w:hint="eastAsia" w:ascii="仿宋_GB2312" w:hAnsi="仿宋_GB2312" w:eastAsia="仿宋_GB2312" w:cs="仿宋_GB2312"/>
              </w:rP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7"/>
              <w:spacing w:line="44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接受义务教育特殊学生家长满意度</w:t>
            </w:r>
          </w:p>
        </w:tc>
        <w:tc>
          <w:tcPr>
            <w:tcW w:w="146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满意家长数量/总数</w:t>
            </w:r>
          </w:p>
        </w:tc>
        <w:tc>
          <w:tcPr>
            <w:tcW w:w="644"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vAlign w:val="center"/>
          </w:tcPr>
          <w:p>
            <w:pPr>
              <w:pStyle w:val="15"/>
              <w:spacing w:line="44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spacing w:line="300" w:lineRule="exact"/>
        <w:jc w:val="left"/>
        <w:sectPr>
          <w:pgSz w:w="16839" w:h="11907" w:orient="landscape"/>
          <w:pgMar w:top="1134" w:right="1984" w:bottom="567" w:left="1984" w:header="851" w:footer="992" w:gutter="0"/>
          <w:cols w:space="425" w:num="1"/>
          <w:docGrid w:type="lines" w:linePitch="312" w:charSpace="0"/>
        </w:sectPr>
      </w:pPr>
    </w:p>
    <w:p>
      <w:pPr>
        <w:ind w:firstLine="560" w:firstLineChars="200"/>
        <w:jc w:val="left"/>
        <w:outlineLvl w:val="1"/>
        <w:rPr>
          <w:rFonts w:ascii="Times New Roman" w:hAnsi="Times New Roman" w:eastAsia="黑体" w:cs="Times New Roman"/>
          <w:sz w:val="32"/>
          <w:szCs w:val="32"/>
        </w:rPr>
      </w:pPr>
      <w:r>
        <w:rPr>
          <w:rFonts w:ascii="Times New Roman" w:hAnsi="Times New Roman" w:eastAsia="仿宋_GB2312" w:cs="Times New Roman"/>
          <w:vanish/>
          <w:sz w:val="28"/>
        </w:rPr>
        <w:t>{ TC 2、办公自动化（OA）和督查督办系统升级及推广费绩效目标表 \f C \l 1 }</w:t>
      </w: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7"/>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22"/>
        <w:gridCol w:w="1099"/>
        <w:gridCol w:w="1483"/>
        <w:gridCol w:w="1483"/>
        <w:gridCol w:w="688"/>
        <w:gridCol w:w="877"/>
        <w:gridCol w:w="877"/>
        <w:gridCol w:w="1099"/>
        <w:gridCol w:w="1099"/>
        <w:gridCol w:w="1099"/>
        <w:gridCol w:w="1099"/>
        <w:gridCol w:w="1099"/>
        <w:gridCol w:w="10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[463001]廊坊市第二十三小学</w:t>
            </w:r>
          </w:p>
        </w:tc>
        <w:tc>
          <w:tcPr>
            <w:tcW w:w="2194" w:type="pct"/>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05" w:type="pct"/>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49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494"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229"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292"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292" w:type="pct"/>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2194" w:type="pct"/>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0"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494" w:type="pct"/>
            <w:vMerge w:val="continue"/>
            <w:shd w:val="clear" w:color="auto" w:fill="auto"/>
            <w:vAlign w:val="center"/>
          </w:tcPr>
          <w:p/>
        </w:tc>
        <w:tc>
          <w:tcPr>
            <w:tcW w:w="494" w:type="pct"/>
            <w:vMerge w:val="continue"/>
            <w:shd w:val="clear" w:color="auto" w:fill="auto"/>
            <w:vAlign w:val="center"/>
          </w:tcPr>
          <w:p/>
        </w:tc>
        <w:tc>
          <w:tcPr>
            <w:tcW w:w="229" w:type="pct"/>
            <w:vMerge w:val="continue"/>
            <w:shd w:val="clear" w:color="auto" w:fill="auto"/>
            <w:vAlign w:val="center"/>
          </w:tcPr>
          <w:p/>
        </w:tc>
        <w:tc>
          <w:tcPr>
            <w:tcW w:w="292" w:type="pct"/>
            <w:vMerge w:val="continue"/>
            <w:shd w:val="clear" w:color="auto" w:fill="auto"/>
            <w:vAlign w:val="center"/>
          </w:tcPr>
          <w:p/>
        </w:tc>
        <w:tc>
          <w:tcPr>
            <w:tcW w:w="292" w:type="pct"/>
            <w:vMerge w:val="continue"/>
            <w:shd w:val="clear" w:color="auto" w:fill="auto"/>
            <w:vAlign w:val="center"/>
          </w:tcP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366"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40" w:type="pc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366" w:type="pct"/>
            <w:shd w:val="clear" w:color="auto" w:fill="auto"/>
            <w:vAlign w:val="center"/>
          </w:tcPr>
          <w:p>
            <w:pPr>
              <w:spacing w:line="300" w:lineRule="exact"/>
              <w:jc w:val="righ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229" w:type="pct"/>
            <w:shd w:val="clear" w:color="auto" w:fill="auto"/>
            <w:vAlign w:val="center"/>
          </w:tcPr>
          <w:p>
            <w:pPr>
              <w:spacing w:line="300" w:lineRule="exact"/>
              <w:jc w:val="center"/>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640" w:type="pct"/>
            <w:shd w:val="clear" w:color="auto" w:fill="auto"/>
            <w:vAlign w:val="center"/>
          </w:tcPr>
          <w:p>
            <w:pPr>
              <w:spacing w:line="300" w:lineRule="exact"/>
              <w:jc w:val="center"/>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494" w:type="pct"/>
            <w:shd w:val="clear" w:color="auto" w:fill="auto"/>
            <w:vAlign w:val="center"/>
          </w:tcPr>
          <w:p>
            <w:pPr>
              <w:spacing w:line="300" w:lineRule="exact"/>
              <w:jc w:val="left"/>
              <w:rPr>
                <w:rFonts w:ascii="方正书宋_GBK" w:eastAsia="方正书宋_GBK" w:cs="Times New Roman"/>
                <w:b/>
              </w:rPr>
            </w:pPr>
          </w:p>
        </w:tc>
        <w:tc>
          <w:tcPr>
            <w:tcW w:w="229" w:type="pct"/>
            <w:shd w:val="clear" w:color="auto" w:fill="auto"/>
            <w:vAlign w:val="center"/>
          </w:tcPr>
          <w:p>
            <w:pPr>
              <w:spacing w:line="300" w:lineRule="exact"/>
              <w:jc w:val="center"/>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292"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c>
          <w:tcPr>
            <w:tcW w:w="366" w:type="pct"/>
            <w:shd w:val="clear" w:color="auto" w:fill="auto"/>
            <w:vAlign w:val="center"/>
          </w:tcPr>
          <w:p>
            <w:pPr>
              <w:spacing w:line="300" w:lineRule="exact"/>
              <w:jc w:val="right"/>
              <w:rPr>
                <w:rFonts w:ascii="方正书宋_GBK" w:eastAsia="方正书宋_GBK" w:cs="Times New Roman"/>
                <w:b/>
              </w:rPr>
            </w:pPr>
          </w:p>
        </w:tc>
      </w:tr>
    </w:tbl>
    <w:p>
      <w:pPr>
        <w:spacing w:line="584" w:lineRule="exact"/>
        <w:ind w:firstLine="420" w:firstLineChars="200"/>
        <w:jc w:val="left"/>
        <w:outlineLvl w:val="0"/>
        <w:rPr>
          <w:rFonts w:ascii="Times New Roman" w:hAnsi="Times New Roman" w:eastAsia="仿宋_GB2312" w:cs="Times New Roman"/>
        </w:rPr>
        <w:sectPr>
          <w:footerReference r:id="rId5" w:type="default"/>
          <w:pgSz w:w="16839" w:h="11907" w:orient="landscape"/>
          <w:pgMar w:top="1361" w:right="1020" w:bottom="1361" w:left="1020" w:header="851" w:footer="992" w:gutter="0"/>
          <w:cols w:space="720" w:num="1"/>
          <w:docGrid w:type="lines" w:linePitch="312" w:charSpace="0"/>
        </w:sect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第二十三小学</w:t>
      </w:r>
      <w:r>
        <w:rPr>
          <w:rFonts w:ascii="Times New Roman" w:hAnsi="Times New Roman" w:eastAsia="仿宋_GB2312" w:cs="Times New Roman"/>
          <w:sz w:val="32"/>
          <w:szCs w:val="32"/>
        </w:rPr>
        <w:t>上年末固定资产金额</w:t>
      </w:r>
      <w:r>
        <w:rPr>
          <w:rFonts w:ascii="Times New Roman" w:hAnsi="Times New Roman" w:eastAsia="仿宋_GB2312" w:cs="Times New Roman"/>
          <w:color w:val="000000" w:themeColor="text1"/>
          <w:sz w:val="32"/>
          <w:szCs w:val="32"/>
          <w14:textFill>
            <w14:solidFill>
              <w14:schemeClr w14:val="tx1"/>
            </w14:solidFill>
          </w14:textFill>
        </w:rPr>
        <w:t>为4954.50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p>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第二十三小</w:t>
            </w:r>
            <w:r>
              <w:rPr>
                <w:rFonts w:ascii="Times New Roman" w:hAnsi="Times New Roman" w:eastAsia="仿宋_GB2312" w:cs="Times New Roman"/>
                <w:b/>
                <w:bCs/>
                <w:kern w:val="0"/>
                <w:sz w:val="32"/>
                <w:szCs w:val="32"/>
              </w:rPr>
              <w:t>学固定资产占用情况表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：廊坊市第</w:t>
            </w:r>
            <w:r>
              <w:rPr>
                <w:rFonts w:hint="eastAsia" w:ascii="Times New Roman" w:hAnsi="Times New Roman" w:eastAsia="仿宋_GB2312" w:cs="Times New Roman"/>
                <w:kern w:val="0"/>
                <w:sz w:val="22"/>
              </w:rPr>
              <w:t>二十三小</w:t>
            </w:r>
            <w:r>
              <w:rPr>
                <w:rFonts w:ascii="Times New Roman" w:hAnsi="Times New Roman" w:eastAsia="仿宋_GB2312" w:cs="Times New Roman"/>
                <w:kern w:val="0"/>
                <w:sz w:val="22"/>
              </w:rPr>
              <w:t>学</w:t>
            </w:r>
          </w:p>
        </w:tc>
        <w:tc>
          <w:tcPr>
            <w:tcW w:w="5103" w:type="dxa"/>
            <w:tcBorders>
              <w:top w:val="nil"/>
              <w:left w:val="nil"/>
              <w:bottom w:val="nil"/>
              <w:right w:val="nil"/>
            </w:tcBorders>
            <w:shd w:val="clear" w:color="auto" w:fill="auto"/>
            <w:noWrap/>
            <w:vAlign w:val="center"/>
          </w:tcPr>
          <w:p>
            <w:pPr>
              <w:widowControl/>
              <w:spacing w:line="584" w:lineRule="exact"/>
              <w:ind w:firstLine="1430" w:firstLineChars="6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954.50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3054.62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r>
              <w:rPr>
                <w:rFonts w:ascii="Times New Roman" w:hAnsi="Times New Roman" w:eastAsia="仿宋_GB2312" w:cs="Times New Roman"/>
                <w:sz w:val="22"/>
              </w:rPr>
              <w:t>807.06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4381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color w:val="000000" w:themeColor="text1"/>
                <w:sz w:val="22"/>
                <w14:textFill>
                  <w14:solidFill>
                    <w14:schemeClr w14:val="tx1"/>
                  </w14:solidFill>
                </w14:textFill>
              </w:rPr>
            </w:pPr>
            <w:r>
              <w:rPr>
                <w:rFonts w:ascii="Times New Roman" w:hAnsi="Times New Roman" w:eastAsia="仿宋_GB2312" w:cs="Times New Roman"/>
                <w:color w:val="000000" w:themeColor="text1"/>
                <w:sz w:val="22"/>
                <w14:textFill>
                  <w14:solidFill>
                    <w14:schemeClr w14:val="tx1"/>
                  </w14:solidFill>
                </w14:textFill>
              </w:rPr>
              <w:t>147.44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D90A774-10E3-41F9-A607-0B572D4109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embedRegular r:id="rId2" w:fontKey="{1CB19EBD-3FB6-41F6-8D21-68CC5A3FB39E}"/>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normal">
    <w:altName w:val="Segoe Print"/>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embedRegular r:id="rId3" w:fontKey="{9459EDEA-341F-4ACD-AAB7-FA695A4A98D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wordWrap w:val="0"/>
      <w:jc w:val="right"/>
      <w:rPr>
        <w:rStyle w:val="10"/>
        <w:rFonts w:ascii="宋体"/>
        <w:sz w:val="28"/>
        <w:szCs w:val="28"/>
      </w:rPr>
    </w:pPr>
    <w:r>
      <w:rPr>
        <w:rFonts w:hint="eastAsia" w:ascii="宋体"/>
        <w:sz w:val="28"/>
        <w:szCs w:val="28"/>
      </w:rPr>
      <w:fldChar w:fldCharType="begin"/>
    </w:r>
    <w:r>
      <w:rPr>
        <w:rStyle w:val="10"/>
        <w:rFonts w:hint="eastAsia" w:ascii="宋体"/>
        <w:sz w:val="28"/>
        <w:szCs w:val="28"/>
      </w:rPr>
      <w:instrText xml:space="preserve">PAGE  </w:instrText>
    </w:r>
    <w:r>
      <w:rPr>
        <w:rFonts w:hint="eastAsia" w:ascii="宋体"/>
        <w:sz w:val="28"/>
        <w:szCs w:val="28"/>
      </w:rPr>
      <w:fldChar w:fldCharType="separate"/>
    </w:r>
    <w:r>
      <w:rPr>
        <w:rStyle w:val="10"/>
        <w:rFonts w:ascii="宋体"/>
        <w:sz w:val="28"/>
        <w:szCs w:val="28"/>
      </w:rPr>
      <w:t>- 2 -</w:t>
    </w:r>
    <w:r>
      <w:rPr>
        <w:rFonts w:hint="eastAsia" w:ascii="宋体"/>
        <w:sz w:val="28"/>
        <w:szCs w:val="28"/>
      </w:rPr>
      <w:fldChar w:fldCharType="end"/>
    </w:r>
  </w:p>
  <w:p>
    <w:pPr>
      <w:pStyle w:val="3"/>
      <w:ind w:right="360" w:firstLine="360"/>
      <w:rPr>
        <w:sz w:val="28"/>
        <w:szCs w:val="28"/>
      </w:rPr>
    </w:pP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10"/>
      </w:rPr>
    </w:pPr>
    <w:r>
      <w:fldChar w:fldCharType="begin"/>
    </w:r>
    <w:r>
      <w:rPr>
        <w:rStyle w:val="10"/>
      </w:rPr>
      <w:instrText xml:space="preserve">PAGE  </w:instrText>
    </w:r>
    <w:r>
      <w:fldChar w:fldCharType="separate"/>
    </w:r>
    <w:r>
      <w:rPr>
        <w:rStyle w:val="10"/>
        <w:vanish/>
      </w:rPr>
      <w:t xml:space="preserve"> </w: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20</w:t>
    </w:r>
    <w:r>
      <w:rPr>
        <w:lang w:val="zh-CN"/>
      </w:rPr>
      <w:fldChar w:fldCharType="end"/>
    </w:r>
    <w:r>
      <w:rPr>
        <w:rFonts w:hint="eastAsia"/>
      </w:rPr>
      <w:t>-</w:t>
    </w:r>
  </w:p>
  <w:p>
    <w:pPr>
      <w:pStyle w:val="3"/>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083BD"/>
    <w:multiLevelType w:val="singleLevel"/>
    <w:tmpl w:val="513083BD"/>
    <w:lvl w:ilvl="0" w:tentative="0">
      <w:start w:val="4"/>
      <w:numFmt w:val="chineseCounting"/>
      <w:suff w:val="nothing"/>
      <w:lvlText w:val="（%1）"/>
      <w:lvlJc w:val="left"/>
      <w:rPr>
        <w:rFonts w:hint="eastAsia" w:ascii="楷体" w:hAnsi="楷体" w:eastAsia="楷体" w:cs="楷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1MzJjNTBhNGFmZWFjOWNkNzBiMDRhNDMxMDgwZTEifQ=="/>
  </w:docVars>
  <w:rsids>
    <w:rsidRoot w:val="00D347CC"/>
    <w:rsid w:val="000936E6"/>
    <w:rsid w:val="001274F1"/>
    <w:rsid w:val="0016279D"/>
    <w:rsid w:val="0016299F"/>
    <w:rsid w:val="00175FFC"/>
    <w:rsid w:val="001C02C1"/>
    <w:rsid w:val="001E0F24"/>
    <w:rsid w:val="002204B3"/>
    <w:rsid w:val="002343DC"/>
    <w:rsid w:val="0028151A"/>
    <w:rsid w:val="002B1C94"/>
    <w:rsid w:val="00301F9F"/>
    <w:rsid w:val="00353CA8"/>
    <w:rsid w:val="00356683"/>
    <w:rsid w:val="00382E71"/>
    <w:rsid w:val="004554C4"/>
    <w:rsid w:val="004A0660"/>
    <w:rsid w:val="004A54AA"/>
    <w:rsid w:val="004A7B0B"/>
    <w:rsid w:val="004C48CB"/>
    <w:rsid w:val="004D031A"/>
    <w:rsid w:val="0051539C"/>
    <w:rsid w:val="00561250"/>
    <w:rsid w:val="005D56CA"/>
    <w:rsid w:val="005E2CBA"/>
    <w:rsid w:val="00616453"/>
    <w:rsid w:val="006477C2"/>
    <w:rsid w:val="00691641"/>
    <w:rsid w:val="007129AF"/>
    <w:rsid w:val="00721AE1"/>
    <w:rsid w:val="007257DA"/>
    <w:rsid w:val="0077170B"/>
    <w:rsid w:val="00807A76"/>
    <w:rsid w:val="00815AC4"/>
    <w:rsid w:val="008759F9"/>
    <w:rsid w:val="0089152A"/>
    <w:rsid w:val="008F0EB4"/>
    <w:rsid w:val="00A218C6"/>
    <w:rsid w:val="00A829D5"/>
    <w:rsid w:val="00B17B32"/>
    <w:rsid w:val="00B80935"/>
    <w:rsid w:val="00BA3CDD"/>
    <w:rsid w:val="00C032F4"/>
    <w:rsid w:val="00C16497"/>
    <w:rsid w:val="00C84444"/>
    <w:rsid w:val="00CA27A5"/>
    <w:rsid w:val="00CD1040"/>
    <w:rsid w:val="00CE7903"/>
    <w:rsid w:val="00D347CC"/>
    <w:rsid w:val="00D47906"/>
    <w:rsid w:val="00DB6CD6"/>
    <w:rsid w:val="00E27CE3"/>
    <w:rsid w:val="00E30F7D"/>
    <w:rsid w:val="00E44CF7"/>
    <w:rsid w:val="00E75AEF"/>
    <w:rsid w:val="00E776DC"/>
    <w:rsid w:val="00F37F3A"/>
    <w:rsid w:val="00F70818"/>
    <w:rsid w:val="00F81BF2"/>
    <w:rsid w:val="00FA0843"/>
    <w:rsid w:val="00FA4801"/>
    <w:rsid w:val="00FB0919"/>
    <w:rsid w:val="00FC2065"/>
    <w:rsid w:val="03A7507A"/>
    <w:rsid w:val="0934277E"/>
    <w:rsid w:val="189A4809"/>
    <w:rsid w:val="1DFF5BAE"/>
    <w:rsid w:val="2AD00171"/>
    <w:rsid w:val="2ED54034"/>
    <w:rsid w:val="324159CD"/>
    <w:rsid w:val="3BCC223C"/>
    <w:rsid w:val="412F6352"/>
    <w:rsid w:val="5D251ED3"/>
    <w:rsid w:val="6908035F"/>
    <w:rsid w:val="7CC50FFF"/>
    <w:rsid w:val="7F46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page number"/>
    <w:basedOn w:val="9"/>
    <w:qFormat/>
    <w:uiPriority w:val="0"/>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19</Pages>
  <Words>1248</Words>
  <Characters>7119</Characters>
  <Lines>59</Lines>
  <Paragraphs>16</Paragraphs>
  <TotalTime>13</TotalTime>
  <ScaleCrop>false</ScaleCrop>
  <LinksUpToDate>false</LinksUpToDate>
  <CharactersWithSpaces>8351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2022-03-14T02:30:00Z</dcterms:created>
  <dc:creator>guest</dc:creator>
  <cp:lastModifiedBy>CXL</cp:lastModifiedBy>
  <cp:lastPrinted>2018-01-30T06:12:00Z</cp:lastPrinted>
  <dcterms:modified xsi:type="dcterms:W3CDTF">2023-08-01T08:25:43Z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952D837AE097458194D3E0B4720963FE</vt:lpwstr>
  </property>
</Properties>
</file>