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2" w:name="_GoBack"/>
      <w:bookmarkEnd w:id="2"/>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廊坊市广阳区第九幼儿园20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按照《中华人民共和国预算法》、《中华人民共和国预算法实施条例》、《地方预决算公开操作规程》和《河北省省级预算公开办法》规定，现将廊坊市广阳区第九幼儿园20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廊坊市广阳区第九幼儿园成立于2020年，2021年9月投入使用，现有教职工</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人，在园幼儿数1</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人，共设置4个寝教一体室，主要职责是对3周岁以上幼儿进行保育和教育。</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tcPr>
          <w:p>
            <w:pPr>
              <w:rPr>
                <w:rFonts w:hint="eastAsia"/>
              </w:rPr>
            </w:pPr>
            <w:r>
              <w:rPr>
                <w:rFonts w:hint="eastAsia"/>
              </w:rPr>
              <w:t>廊坊市广阳区第九幼儿园</w:t>
            </w:r>
          </w:p>
        </w:tc>
        <w:tc>
          <w:tcPr>
            <w:tcW w:w="1134" w:type="dxa"/>
            <w:shd w:val="clear" w:color="auto" w:fill="auto"/>
          </w:tcPr>
          <w:p>
            <w:pPr>
              <w:rPr>
                <w:rFonts w:hint="eastAsia"/>
              </w:rPr>
            </w:pPr>
            <w:r>
              <w:rPr>
                <w:rFonts w:hint="eastAsia"/>
              </w:rPr>
              <w:t>事业</w:t>
            </w:r>
          </w:p>
        </w:tc>
        <w:tc>
          <w:tcPr>
            <w:tcW w:w="1276" w:type="dxa"/>
            <w:shd w:val="clear" w:color="auto" w:fill="auto"/>
          </w:tcPr>
          <w:p>
            <w:pPr>
              <w:rPr>
                <w:rFonts w:hint="eastAsia"/>
              </w:rPr>
            </w:pPr>
            <w:r>
              <w:rPr>
                <w:rFonts w:hint="eastAsia"/>
              </w:rPr>
              <w:t>科级以下</w:t>
            </w:r>
          </w:p>
        </w:tc>
        <w:tc>
          <w:tcPr>
            <w:tcW w:w="2902" w:type="dxa"/>
            <w:shd w:val="clear" w:color="auto" w:fill="auto"/>
          </w:tcPr>
          <w:p>
            <w:r>
              <w:rPr>
                <w:rFonts w:hint="eastAsia"/>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广阳区第九幼儿园</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177.31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177.31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广阳区第九幼儿园2022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177.31</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rPr>
        <w:t>项目支出</w:t>
      </w:r>
      <w:r>
        <w:rPr>
          <w:rFonts w:ascii="Times New Roman" w:hAnsi="Times New Roman" w:eastAsia="仿宋_GB2312" w:cs="Times New Roman"/>
          <w:sz w:val="32"/>
          <w:szCs w:val="32"/>
        </w:rPr>
        <w:t>177.31万元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2年预算收支安排</w:t>
      </w:r>
      <w:r>
        <w:rPr>
          <w:rFonts w:hint="eastAsia" w:ascii="Times New Roman" w:hAnsi="Times New Roman" w:eastAsia="仿宋_GB2312" w:cs="Times New Roman"/>
          <w:sz w:val="32"/>
          <w:szCs w:val="32"/>
          <w:highlight w:val="none"/>
        </w:rPr>
        <w:t>177.31</w:t>
      </w:r>
      <w:r>
        <w:rPr>
          <w:rFonts w:ascii="Times New Roman" w:hAnsi="Times New Roman" w:eastAsia="仿宋_GB2312" w:cs="Times New Roman"/>
          <w:sz w:val="32"/>
          <w:szCs w:val="32"/>
          <w:highlight w:val="none"/>
        </w:rPr>
        <w:t>万元，较20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1年预算增加</w:t>
      </w: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77.31万元，其中：项目支出增加</w:t>
      </w:r>
      <w:r>
        <w:rPr>
          <w:rFonts w:hint="eastAsia" w:ascii="Times New Roman" w:hAnsi="Times New Roman" w:eastAsia="仿宋_GB2312" w:cs="Times New Roman"/>
          <w:sz w:val="32"/>
          <w:szCs w:val="32"/>
          <w:highlight w:val="none"/>
          <w:lang w:val="en-US" w:eastAsia="zh-CN"/>
        </w:rPr>
        <w:t>177.31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幼儿园生均经费</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合同制教师</w:t>
      </w:r>
      <w:r>
        <w:rPr>
          <w:rFonts w:ascii="Times New Roman" w:hAnsi="Times New Roman" w:eastAsia="仿宋_GB2312" w:cs="Times New Roman"/>
          <w:sz w:val="32"/>
          <w:szCs w:val="32"/>
          <w:highlight w:val="none"/>
        </w:rPr>
        <w:t>工资福利项目支出。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三、机关运行经费安排情况</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2022年，我单位无财政拨款“三公”经费预算安排。与2021年相比持平，无增减变化。</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螺丝是从严管党治党要求，以习近平新时代中国特色社会主义思想统领教育系统党建工作，强化主体责任，在提升党建工作质量上下真功、用实劲、求实效。</w:t>
      </w:r>
    </w:p>
    <w:p>
      <w:pPr>
        <w:keepNext w:val="0"/>
        <w:keepLines w:val="0"/>
        <w:pageBreakBefore w:val="0"/>
        <w:widowControl w:val="0"/>
        <w:tabs>
          <w:tab w:val="left" w:pos="2142"/>
        </w:tabs>
        <w:kinsoku/>
        <w:wordWrap/>
        <w:overflowPunct/>
        <w:topLinePunct w:val="0"/>
        <w:autoSpaceDE/>
        <w:autoSpaceDN/>
        <w:bidi w:val="0"/>
        <w:adjustRightInd/>
        <w:snapToGrid/>
        <w:spacing w:line="584" w:lineRule="exact"/>
        <w:ind w:firstLine="640" w:firstLineChars="200"/>
        <w:textAlignment w:val="auto"/>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学前教育公用经费保障水平，改善办学条件，均衡配置基础教育资源，推进标准化学校建设，实施数字化校园建设，加强学校文化建设，落实学生资助政策，促进学前教育均衡发展，提高素质教育水平，开展丰富多彩的教学活动，促进社会文化素质提高。</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1、提高学前教育水平、提供免费教科书，解决大班额问题及入学难问题</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2、按质按量完成教育教学方面的各项任务，稳步替身而过学校的教育教学质量，学生综合素质评价优秀率达到85%，合格率达到100%。</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幼儿园公用经费水平逐年提高，改善学校办学条件，保障学前教育阶段学校基本教学条件，使学前教育学校教学设施和生活设施满足基本的教学需要。保障后勤社会化服务，资金充足，使学校能正常运转，超大班额现象消除，教师数量、素质、结构基本适应教学需求。</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4、提升学校基础设施设备的整体水平，加强学校基础设备设施的维护，确保校园安全，落实校园防火及其他安全隐患的预防工作。确保校园各设施设备的正常运行。</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开展各类课题研究，园本研究，加强教师培训和教师交流，提高教师教学水平，调动教师积极性，培养专家型教师人才，加强德育培训与研究，举办各类教育教学、学生社会实践活动，建立学生实践教育基地活动，提高学生的综合素质。</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6、学校的文化宣传整体布局建成学校校史馆，完成各班级、各科室及教师办公室的文化宣传布置，加大幼儿园办学理念、目标的宣传，形成具有特色的校园文化氛围。</w:t>
      </w:r>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7、办人民满意的幼儿园，教师、幼儿、家长整体满意度达到90%以上。</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1、成立幼儿园监督小组，监督幼儿园工作，强化工作落实。</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工会工作，贯彻落实中央和省、市、区位关于重大节日开展对离退休干部进行走访慰问的指示精神，做好困难党员、群众、老教师、优抚对象、劳动模范的关心帮扶工作，充分体现党和政府对教育工作者的关怀。</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4、幼儿园体育、卫生工作根据《幼儿园健康体检管理办法》要求，对在校幼儿每年进行一次常规体检。</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善拓展德育队伍建设，树立全员育人观念，并取得一定成绩，形成幼儿园、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rPr>
      </w:pPr>
      <w:r>
        <w:rPr>
          <w:rFonts w:hint="eastAsia" w:ascii="仿宋_GB2312" w:hAnsi="仿宋_GB2312" w:eastAsia="仿宋_GB2312" w:cs="仿宋_GB2312"/>
          <w:sz w:val="32"/>
          <w:szCs w:val="32"/>
        </w:rPr>
        <w:t>6、加强政治理论学习，强化党风廉政建设，做好师德传承活动，落实老中青传帮带，弘扬办学精神，加强师德宣传与学习活动，开展形式多样、扎实有效的师德教育活动，逐步制定、完善相关制度，规范教师师德、加强园本培训和继续教育工作。提升教师能力，落实教师评价工作，完善考核机制，搭建教师发展平台。</w:t>
      </w:r>
    </w:p>
    <w:p>
      <w:pPr>
        <w:overflowPunct w:val="0"/>
        <w:adjustRightInd w:val="0"/>
        <w:snapToGrid w:val="0"/>
        <w:spacing w:after="156"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10"/>
        <w:gridCol w:w="1254"/>
        <w:gridCol w:w="2202"/>
        <w:gridCol w:w="3400"/>
        <w:gridCol w:w="2700"/>
        <w:gridCol w:w="837"/>
        <w:gridCol w:w="837"/>
        <w:gridCol w:w="838"/>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32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44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787"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216"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96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898"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35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325" w:type="pct"/>
            <w:vMerge w:val="continue"/>
            <w:tcBorders>
              <w:tl2br w:val="nil"/>
              <w:tr2bl w:val="nil"/>
            </w:tcBorders>
            <w:vAlign w:val="center"/>
          </w:tcPr>
          <w:p/>
        </w:tc>
        <w:tc>
          <w:tcPr>
            <w:tcW w:w="448" w:type="pct"/>
            <w:vMerge w:val="continue"/>
            <w:tcBorders>
              <w:tl2br w:val="nil"/>
              <w:tr2bl w:val="nil"/>
            </w:tcBorders>
            <w:vAlign w:val="center"/>
          </w:tcPr>
          <w:p/>
        </w:tc>
        <w:tc>
          <w:tcPr>
            <w:tcW w:w="787" w:type="pct"/>
            <w:vMerge w:val="continue"/>
            <w:tcBorders>
              <w:tl2br w:val="nil"/>
              <w:tr2bl w:val="nil"/>
            </w:tcBorders>
            <w:vAlign w:val="center"/>
          </w:tcPr>
          <w:p/>
        </w:tc>
        <w:tc>
          <w:tcPr>
            <w:tcW w:w="1216" w:type="pct"/>
            <w:vMerge w:val="continue"/>
            <w:tcBorders>
              <w:tl2br w:val="nil"/>
              <w:tr2bl w:val="nil"/>
            </w:tcBorders>
            <w:vAlign w:val="center"/>
          </w:tcPr>
          <w:p/>
        </w:tc>
        <w:tc>
          <w:tcPr>
            <w:tcW w:w="965" w:type="pct"/>
            <w:vMerge w:val="continue"/>
            <w:tcBorders>
              <w:tl2br w:val="nil"/>
              <w:tr2bl w:val="nil"/>
            </w:tcBorders>
            <w:vAlign w:val="center"/>
          </w:tcPr>
          <w:p/>
        </w:tc>
        <w:tc>
          <w:tcPr>
            <w:tcW w:w="299"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99"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299"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358"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5" w:hRule="atLeast"/>
          <w:jc w:val="center"/>
        </w:trPr>
        <w:tc>
          <w:tcPr>
            <w:tcW w:w="325" w:type="pct"/>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448"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78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幼儿园毕业生合格率</w:t>
            </w:r>
          </w:p>
        </w:tc>
        <w:tc>
          <w:tcPr>
            <w:tcW w:w="121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20分毕业生合格率100%得满分，否则不得分</w:t>
            </w:r>
          </w:p>
        </w:tc>
        <w:tc>
          <w:tcPr>
            <w:tcW w:w="96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幼儿园毕业生合格率</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35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25" w:hRule="atLeast"/>
          <w:jc w:val="center"/>
        </w:trPr>
        <w:tc>
          <w:tcPr>
            <w:tcW w:w="325" w:type="pct"/>
            <w:vMerge w:val="continue"/>
            <w:tcBorders>
              <w:tl2br w:val="nil"/>
              <w:tr2bl w:val="nil"/>
            </w:tcBorders>
            <w:vAlign w:val="center"/>
          </w:tcPr>
          <w:p>
            <w:pPr>
              <w:widowControl/>
              <w:adjustRightInd w:val="0"/>
              <w:snapToGrid w:val="0"/>
              <w:jc w:val="center"/>
              <w:rPr>
                <w:rFonts w:ascii="方正书宋_GBK" w:eastAsia="方正书宋_GBK"/>
              </w:rPr>
            </w:pPr>
          </w:p>
        </w:tc>
        <w:tc>
          <w:tcPr>
            <w:tcW w:w="448"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78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121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10分不低于95%得满分，否则不得分，每减少1%扣1分，扣完为止</w:t>
            </w:r>
          </w:p>
        </w:tc>
        <w:tc>
          <w:tcPr>
            <w:tcW w:w="96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35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70" w:hRule="atLeast"/>
          <w:jc w:val="center"/>
        </w:trPr>
        <w:tc>
          <w:tcPr>
            <w:tcW w:w="325" w:type="pct"/>
            <w:vMerge w:val="continue"/>
            <w:tcBorders>
              <w:tl2br w:val="nil"/>
              <w:tr2bl w:val="nil"/>
            </w:tcBorders>
            <w:vAlign w:val="center"/>
          </w:tcPr>
          <w:p/>
        </w:tc>
        <w:tc>
          <w:tcPr>
            <w:tcW w:w="448"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78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121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20分合格率100%得满分，否则不得分</w:t>
            </w:r>
          </w:p>
        </w:tc>
        <w:tc>
          <w:tcPr>
            <w:tcW w:w="96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35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97" w:hRule="atLeast"/>
          <w:jc w:val="center"/>
        </w:trPr>
        <w:tc>
          <w:tcPr>
            <w:tcW w:w="325" w:type="pct"/>
            <w:vMerge w:val="continue"/>
            <w:tcBorders>
              <w:tl2br w:val="nil"/>
              <w:tr2bl w:val="nil"/>
            </w:tcBorders>
            <w:vAlign w:val="center"/>
          </w:tcPr>
          <w:p/>
        </w:tc>
        <w:tc>
          <w:tcPr>
            <w:tcW w:w="448"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78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幼儿园的各项工作任务及时完成情况</w:t>
            </w:r>
          </w:p>
        </w:tc>
        <w:tc>
          <w:tcPr>
            <w:tcW w:w="121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10分及时完成得满分，否则不得分</w:t>
            </w:r>
          </w:p>
        </w:tc>
        <w:tc>
          <w:tcPr>
            <w:tcW w:w="96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幼儿园的各项工作任务及时完成情况</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及时</w:t>
            </w:r>
          </w:p>
        </w:tc>
        <w:tc>
          <w:tcPr>
            <w:tcW w:w="35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642" w:hRule="atLeast"/>
          <w:jc w:val="center"/>
        </w:trPr>
        <w:tc>
          <w:tcPr>
            <w:tcW w:w="325" w:type="pct"/>
            <w:vMerge w:val="continue"/>
            <w:tcBorders>
              <w:tl2br w:val="nil"/>
              <w:tr2bl w:val="nil"/>
            </w:tcBorders>
            <w:vAlign w:val="center"/>
          </w:tcPr>
          <w:p/>
        </w:tc>
        <w:tc>
          <w:tcPr>
            <w:tcW w:w="448"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78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教育经 费使用控制率</w:t>
            </w:r>
          </w:p>
        </w:tc>
        <w:tc>
          <w:tcPr>
            <w:tcW w:w="121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10分，教育经费决算数不大于调整预算数得满分，否则不得分</w:t>
            </w:r>
          </w:p>
        </w:tc>
        <w:tc>
          <w:tcPr>
            <w:tcW w:w="96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支出的公用经费总额与预算安排的比率</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教育经费决算数不大于调整预算数得满分</w:t>
            </w:r>
          </w:p>
        </w:tc>
        <w:tc>
          <w:tcPr>
            <w:tcW w:w="35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5" w:hRule="atLeast"/>
          <w:jc w:val="center"/>
        </w:trPr>
        <w:tc>
          <w:tcPr>
            <w:tcW w:w="325" w:type="pct"/>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448" w:type="pc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78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121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10分。支持学前教育发展得10分，不支持不得分</w:t>
            </w:r>
          </w:p>
        </w:tc>
        <w:tc>
          <w:tcPr>
            <w:tcW w:w="96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推动学前教育从数量扩张向质量提高转变</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299"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35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5" w:hRule="atLeast"/>
          <w:jc w:val="center"/>
        </w:trPr>
        <w:tc>
          <w:tcPr>
            <w:tcW w:w="325" w:type="pct"/>
            <w:vMerge w:val="continue"/>
            <w:tcBorders>
              <w:tl2br w:val="nil"/>
              <w:tr2bl w:val="nil"/>
            </w:tcBorders>
            <w:vAlign w:val="center"/>
          </w:tcPr>
          <w:p/>
        </w:tc>
        <w:tc>
          <w:tcPr>
            <w:tcW w:w="448" w:type="pct"/>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787"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16"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10分在校师幼儿的满意度达到95%得满分，每降低1%扣1分，扣完为止。</w:t>
            </w:r>
          </w:p>
        </w:tc>
        <w:tc>
          <w:tcPr>
            <w:tcW w:w="965"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在校师幼儿的满意程度</w:t>
            </w:r>
          </w:p>
        </w:tc>
        <w:tc>
          <w:tcPr>
            <w:tcW w:w="29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29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100</w:t>
            </w:r>
          </w:p>
        </w:tc>
        <w:tc>
          <w:tcPr>
            <w:tcW w:w="29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35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70" w:hRule="atLeast"/>
          <w:jc w:val="center"/>
        </w:trPr>
        <w:tc>
          <w:tcPr>
            <w:tcW w:w="325" w:type="pct"/>
            <w:tcBorders>
              <w:tl2br w:val="nil"/>
              <w:tr2bl w:val="nil"/>
            </w:tcBorders>
            <w:vAlign w:val="center"/>
          </w:tcPr>
          <w:p/>
        </w:tc>
        <w:tc>
          <w:tcPr>
            <w:tcW w:w="448" w:type="pct"/>
            <w:vMerge w:val="continue"/>
            <w:tcBorders>
              <w:tl2br w:val="nil"/>
              <w:tr2bl w:val="nil"/>
            </w:tcBorders>
            <w:vAlign w:val="center"/>
          </w:tcPr>
          <w:p>
            <w:pPr>
              <w:widowControl/>
              <w:adjustRightInd w:val="0"/>
              <w:snapToGrid w:val="0"/>
              <w:jc w:val="center"/>
              <w:rPr>
                <w:rFonts w:ascii="方正书宋_GBK" w:eastAsia="方正书宋_GBK"/>
              </w:rPr>
            </w:pPr>
          </w:p>
        </w:tc>
        <w:tc>
          <w:tcPr>
            <w:tcW w:w="787"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216"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10分家长的满意度达到95%得满分，每降低1%扣1分，扣完为止。</w:t>
            </w:r>
          </w:p>
        </w:tc>
        <w:tc>
          <w:tcPr>
            <w:tcW w:w="965"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9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29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100</w:t>
            </w:r>
          </w:p>
        </w:tc>
        <w:tc>
          <w:tcPr>
            <w:tcW w:w="299"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35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rPr>
      </w:pPr>
      <w:r>
        <w:rPr>
          <w:rFonts w:hint="eastAsia" w:ascii="仿宋_GB2312" w:hAnsi="仿宋_GB2312" w:eastAsia="仿宋_GB2312" w:cs="仿宋_GB2312"/>
          <w:sz w:val="28"/>
        </w:rPr>
        <w:t>1. .合同制教师人员经费绩效目标表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val="0"/>
                <w:bCs/>
              </w:rPr>
            </w:pPr>
            <w:r>
              <w:rPr>
                <w:rFonts w:hint="eastAsia" w:ascii="仿宋_GB2312" w:hAnsi="仿宋_GB2312" w:eastAsia="仿宋_GB2312" w:cs="仿宋_GB2312"/>
                <w:b w:val="0"/>
                <w:bCs/>
              </w:rPr>
              <w:t>1.缓解教师短缺，保障教育教学正常的进行</w:t>
            </w:r>
            <w:r>
              <w:rPr>
                <w:rFonts w:hint="eastAsia" w:ascii="仿宋_GB2312" w:hAnsi="仿宋_GB2312" w:eastAsia="仿宋_GB2312" w:cs="仿宋_GB2312"/>
                <w:b w:val="0"/>
                <w:bCs/>
              </w:rPr>
              <w:tab/>
            </w:r>
            <w:r>
              <w:rPr>
                <w:rFonts w:hint="eastAsia" w:ascii="仿宋_GB2312" w:hAnsi="仿宋_GB2312" w:eastAsia="仿宋_GB2312" w:cs="仿宋_GB2312"/>
                <w:b w:val="0"/>
                <w:bCs/>
              </w:rPr>
              <w:tab/>
            </w:r>
            <w:r>
              <w:rPr>
                <w:rFonts w:hint="eastAsia" w:ascii="仿宋_GB2312" w:hAnsi="仿宋_GB2312" w:eastAsia="仿宋_GB2312" w:cs="仿宋_GB2312"/>
                <w:b w:val="0"/>
                <w:bCs/>
              </w:rPr>
              <w:tab/>
            </w:r>
            <w:r>
              <w:rPr>
                <w:rFonts w:hint="eastAsia" w:ascii="仿宋_GB2312" w:hAnsi="仿宋_GB2312" w:eastAsia="仿宋_GB2312" w:cs="仿宋_GB2312"/>
                <w:b w:val="0"/>
                <w:bCs/>
              </w:rPr>
              <w:tab/>
            </w:r>
            <w:r>
              <w:rPr>
                <w:rFonts w:hint="eastAsia" w:ascii="仿宋_GB2312" w:hAnsi="仿宋_GB2312" w:eastAsia="仿宋_GB2312" w:cs="仿宋_GB2312"/>
                <w:b w:val="0"/>
                <w:bCs/>
              </w:rPr>
              <w:tab/>
            </w:r>
          </w:p>
          <w:p>
            <w:pPr>
              <w:spacing w:line="300" w:lineRule="exact"/>
              <w:rPr>
                <w:rFonts w:hint="eastAsia" w:ascii="仿宋_GB2312" w:hAnsi="仿宋_GB2312" w:eastAsia="仿宋_GB2312" w:cs="仿宋_GB2312"/>
                <w:b w:val="0"/>
                <w:bCs/>
              </w:rPr>
            </w:pPr>
            <w:r>
              <w:rPr>
                <w:rFonts w:hint="eastAsia" w:ascii="仿宋_GB2312" w:hAnsi="仿宋_GB2312" w:eastAsia="仿宋_GB2312" w:cs="仿宋_GB2312"/>
                <w:b w:val="0"/>
                <w:bCs/>
              </w:rPr>
              <w:t>2.保障合同制教师工资福利待遇，并及时发放。</w:t>
            </w:r>
          </w:p>
          <w:p>
            <w:pPr>
              <w:spacing w:line="300" w:lineRule="exact"/>
              <w:rPr>
                <w:rFonts w:hint="eastAsia" w:ascii="仿宋_GB2312" w:hAnsi="仿宋_GB2312" w:eastAsia="仿宋_GB2312" w:cs="仿宋_GB2312"/>
                <w:b w:val="0"/>
                <w:bCs/>
              </w:rPr>
            </w:pPr>
            <w:r>
              <w:rPr>
                <w:rFonts w:hint="eastAsia" w:ascii="仿宋_GB2312" w:hAnsi="仿宋_GB2312" w:eastAsia="仿宋_GB2312" w:cs="仿宋_GB2312"/>
                <w:b w:val="0"/>
                <w:bCs/>
              </w:rPr>
              <w:t>3.学生、学校、家长对合同制教师的满意度达到95%以上</w:t>
            </w:r>
          </w:p>
          <w:p>
            <w:pPr>
              <w:spacing w:line="300" w:lineRule="exact"/>
              <w:rPr>
                <w:rFonts w:hint="eastAsia" w:ascii="仿宋_GB2312" w:hAnsi="仿宋_GB2312" w:eastAsia="仿宋_GB2312" w:cs="仿宋_GB2312"/>
                <w:b/>
              </w:rPr>
            </w:pPr>
            <w:r>
              <w:rPr>
                <w:rFonts w:hint="eastAsia" w:ascii="仿宋_GB2312" w:hAnsi="仿宋_GB2312" w:eastAsia="仿宋_GB2312" w:cs="仿宋_GB2312"/>
                <w:b w:val="0"/>
                <w:bCs/>
              </w:rPr>
              <w:t>4.保障教学质量，提升教育水平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15人工资福利</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15人</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3"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3402"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843"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缓解</w:t>
            </w:r>
          </w:p>
        </w:tc>
        <w:tc>
          <w:tcPr>
            <w:tcW w:w="2155"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3402"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所教幼儿园班级学生满意度</w:t>
            </w:r>
          </w:p>
        </w:tc>
        <w:tc>
          <w:tcPr>
            <w:tcW w:w="1843"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3402"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在园教师满意度</w:t>
            </w:r>
          </w:p>
        </w:tc>
        <w:tc>
          <w:tcPr>
            <w:tcW w:w="1843"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shd w:val="clear" w:color="auto" w:fill="auto"/>
          </w:tcPr>
          <w:p>
            <w:pPr>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 幼儿园生均经费绩效目标表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1156"/>
        <w:gridCol w:w="2350"/>
        <w:gridCol w:w="3867"/>
        <w:gridCol w:w="976"/>
        <w:gridCol w:w="42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643" w:type="dxa"/>
            <w:gridSpan w:val="5"/>
            <w:shd w:val="clear" w:color="auto" w:fill="auto"/>
            <w:vAlign w:val="center"/>
          </w:tcPr>
          <w:p>
            <w:pPr>
              <w:spacing w:line="300" w:lineRule="exact"/>
              <w:rPr>
                <w:rFonts w:ascii="Times New Roman" w:hAnsi="Times New Roman" w:eastAsia="仿宋_GB2312" w:cs="Times New Roman"/>
                <w:b w:val="0"/>
                <w:bCs/>
              </w:rPr>
            </w:pPr>
            <w:r>
              <w:rPr>
                <w:rFonts w:ascii="Times New Roman" w:hAnsi="Times New Roman" w:eastAsia="仿宋_GB2312" w:cs="Times New Roman"/>
                <w:b w:val="0"/>
                <w:bCs/>
              </w:rPr>
              <w:t>1.我园2022在园幼儿130人，按照幼儿园生均公用经费标准申请财政预算资金，通过合理、合规使用资金达到保证幼儿园正常运转，改善办学条件，促进幼儿园教育发展。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15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5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86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9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15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2350"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申请生均公用经费的幼儿人数</w:t>
            </w:r>
          </w:p>
        </w:tc>
        <w:tc>
          <w:tcPr>
            <w:tcW w:w="3867"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按文件要求申请生均公用经费的幼儿人数</w:t>
            </w:r>
          </w:p>
        </w:tc>
        <w:tc>
          <w:tcPr>
            <w:tcW w:w="97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130人</w:t>
            </w:r>
          </w:p>
        </w:tc>
        <w:tc>
          <w:tcPr>
            <w:tcW w:w="4294"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tc>
        <w:tc>
          <w:tcPr>
            <w:tcW w:w="115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2350"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生均公用经费使用的合规率</w:t>
            </w:r>
          </w:p>
        </w:tc>
        <w:tc>
          <w:tcPr>
            <w:tcW w:w="3867"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生均公用经费使用符合文件中的相关规定</w:t>
            </w:r>
          </w:p>
        </w:tc>
        <w:tc>
          <w:tcPr>
            <w:tcW w:w="97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100%</w:t>
            </w:r>
          </w:p>
        </w:tc>
        <w:tc>
          <w:tcPr>
            <w:tcW w:w="4294"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tc>
        <w:tc>
          <w:tcPr>
            <w:tcW w:w="115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2350"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用于保障幼儿园正常运转项目完成及时率</w:t>
            </w:r>
          </w:p>
        </w:tc>
        <w:tc>
          <w:tcPr>
            <w:tcW w:w="3867"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使用生均公用经费，用于保障幼儿园正常运转的项目完成情况</w:t>
            </w:r>
          </w:p>
        </w:tc>
        <w:tc>
          <w:tcPr>
            <w:tcW w:w="97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100%</w:t>
            </w:r>
          </w:p>
        </w:tc>
        <w:tc>
          <w:tcPr>
            <w:tcW w:w="4294"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vMerge w:val="continue"/>
            <w:shd w:val="clear" w:color="auto" w:fill="auto"/>
            <w:vAlign w:val="center"/>
          </w:tcPr>
          <w:p/>
        </w:tc>
        <w:tc>
          <w:tcPr>
            <w:tcW w:w="115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2350"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使用生均公用经费，用于保障幼儿园正常运转的项目支出成本</w:t>
            </w:r>
          </w:p>
        </w:tc>
        <w:tc>
          <w:tcPr>
            <w:tcW w:w="3867"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使用生均公用经费，用于保障幼儿园正常运转的项目支出成本等于400元/生</w:t>
            </w:r>
          </w:p>
        </w:tc>
        <w:tc>
          <w:tcPr>
            <w:tcW w:w="97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400元/生</w:t>
            </w:r>
          </w:p>
        </w:tc>
        <w:tc>
          <w:tcPr>
            <w:tcW w:w="4294"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3" w:hRule="atLeast"/>
          <w:jc w:val="center"/>
        </w:trPr>
        <w:tc>
          <w:tcPr>
            <w:tcW w:w="141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15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2350"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学前教育高质量发展</w:t>
            </w:r>
          </w:p>
        </w:tc>
        <w:tc>
          <w:tcPr>
            <w:tcW w:w="3867"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该资金用于幼儿园正常运转，改善办学条件，促进学前教育均衡发展及学生素质提高</w:t>
            </w:r>
          </w:p>
        </w:tc>
        <w:tc>
          <w:tcPr>
            <w:tcW w:w="97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支持</w:t>
            </w:r>
          </w:p>
        </w:tc>
        <w:tc>
          <w:tcPr>
            <w:tcW w:w="4294"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15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2350"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在园师生满意度</w:t>
            </w:r>
          </w:p>
        </w:tc>
        <w:tc>
          <w:tcPr>
            <w:tcW w:w="3867"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在园师生满意度</w:t>
            </w:r>
          </w:p>
        </w:tc>
        <w:tc>
          <w:tcPr>
            <w:tcW w:w="976" w:type="dxa"/>
            <w:shd w:val="clear" w:color="auto" w:fill="auto"/>
          </w:tcPr>
          <w:p>
            <w:pPr>
              <w:rPr>
                <w:rFonts w:hint="eastAsia" w:ascii="Times New Roman" w:hAnsi="Times New Roman" w:eastAsia="仿宋_GB2312" w:cs="Times New Roman"/>
              </w:rPr>
            </w:pPr>
            <w:r>
              <w:rPr>
                <w:rFonts w:hint="eastAsia" w:ascii="Times New Roman" w:hAnsi="Times New Roman" w:eastAsia="仿宋_GB2312" w:cs="Times New Roman"/>
              </w:rPr>
              <w:t>≥90%</w:t>
            </w:r>
          </w:p>
        </w:tc>
        <w:tc>
          <w:tcPr>
            <w:tcW w:w="4294"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outlineLvl w:val="1"/>
        <w:rPr>
          <w:rFonts w:ascii="方正小标宋_GBK" w:eastAsia="方正小标宋_GBK" w:cs="Times New Roman"/>
          <w:sz w:val="32"/>
        </w:rPr>
      </w:pPr>
      <w:r>
        <w:t>廊坊市</w:t>
      </w:r>
      <w:r>
        <w:rPr>
          <w:rFonts w:hint="eastAsia"/>
        </w:rPr>
        <w:t>广阳区第九幼儿园</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政府采购项目来源</w:t>
            </w:r>
          </w:p>
        </w:tc>
        <w:tc>
          <w:tcPr>
            <w:tcW w:w="1134"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采购物品名称</w:t>
            </w:r>
          </w:p>
        </w:tc>
        <w:tc>
          <w:tcPr>
            <w:tcW w:w="1134"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政府采购目录序号</w:t>
            </w:r>
          </w:p>
        </w:tc>
        <w:tc>
          <w:tcPr>
            <w:tcW w:w="709"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计量  单位</w:t>
            </w:r>
          </w:p>
        </w:tc>
        <w:tc>
          <w:tcPr>
            <w:tcW w:w="850"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数量</w:t>
            </w:r>
          </w:p>
        </w:tc>
        <w:tc>
          <w:tcPr>
            <w:tcW w:w="850"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单价</w:t>
            </w:r>
          </w:p>
        </w:tc>
        <w:tc>
          <w:tcPr>
            <w:tcW w:w="7712" w:type="dxa"/>
            <w:gridSpan w:val="8"/>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政府采购金额（当年</w:t>
            </w:r>
            <w:r>
              <w:rPr>
                <w:rFonts w:hint="eastAsia"/>
                <w:lang w:eastAsia="zh-CN"/>
              </w:rPr>
              <w:t>单位</w:t>
            </w:r>
            <w:r>
              <w:t>预算安排资金）</w:t>
            </w:r>
          </w:p>
        </w:tc>
        <w:tc>
          <w:tcPr>
            <w:tcW w:w="964" w:type="dxa"/>
            <w:vMerge w:val="restart"/>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项目名称</w:t>
            </w:r>
          </w:p>
        </w:tc>
        <w:tc>
          <w:tcPr>
            <w:tcW w:w="964" w:type="dxa"/>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预算    资金</w:t>
            </w:r>
          </w:p>
        </w:tc>
        <w:tc>
          <w:tcPr>
            <w:tcW w:w="1134" w:type="dxa"/>
            <w:vMerge w:val="continue"/>
          </w:tcPr>
          <w:p>
            <w:pPr>
              <w:keepNext w:val="0"/>
              <w:keepLines w:val="0"/>
              <w:pageBreakBefore w:val="0"/>
              <w:kinsoku/>
              <w:wordWrap/>
              <w:overflowPunct/>
              <w:topLinePunct w:val="0"/>
              <w:autoSpaceDE/>
              <w:autoSpaceDN/>
              <w:bidi w:val="0"/>
              <w:adjustRightInd/>
              <w:snapToGrid/>
              <w:spacing w:line="240" w:lineRule="exact"/>
              <w:textAlignment w:val="auto"/>
            </w:pPr>
          </w:p>
        </w:tc>
        <w:tc>
          <w:tcPr>
            <w:tcW w:w="1134" w:type="dxa"/>
            <w:vMerge w:val="continue"/>
          </w:tcPr>
          <w:p>
            <w:pPr>
              <w:keepNext w:val="0"/>
              <w:keepLines w:val="0"/>
              <w:pageBreakBefore w:val="0"/>
              <w:kinsoku/>
              <w:wordWrap/>
              <w:overflowPunct/>
              <w:topLinePunct w:val="0"/>
              <w:autoSpaceDE/>
              <w:autoSpaceDN/>
              <w:bidi w:val="0"/>
              <w:adjustRightInd/>
              <w:snapToGrid/>
              <w:spacing w:line="240" w:lineRule="exact"/>
              <w:textAlignment w:val="auto"/>
            </w:pPr>
          </w:p>
        </w:tc>
        <w:tc>
          <w:tcPr>
            <w:tcW w:w="709" w:type="dxa"/>
            <w:vMerge w:val="continue"/>
          </w:tcPr>
          <w:p>
            <w:pPr>
              <w:keepNext w:val="0"/>
              <w:keepLines w:val="0"/>
              <w:pageBreakBefore w:val="0"/>
              <w:kinsoku/>
              <w:wordWrap/>
              <w:overflowPunct/>
              <w:topLinePunct w:val="0"/>
              <w:autoSpaceDE/>
              <w:autoSpaceDN/>
              <w:bidi w:val="0"/>
              <w:adjustRightInd/>
              <w:snapToGrid/>
              <w:spacing w:line="240" w:lineRule="exact"/>
              <w:textAlignment w:val="auto"/>
            </w:pPr>
          </w:p>
        </w:tc>
        <w:tc>
          <w:tcPr>
            <w:tcW w:w="850" w:type="dxa"/>
            <w:vMerge w:val="continue"/>
          </w:tcPr>
          <w:p>
            <w:pPr>
              <w:keepNext w:val="0"/>
              <w:keepLines w:val="0"/>
              <w:pageBreakBefore w:val="0"/>
              <w:kinsoku/>
              <w:wordWrap/>
              <w:overflowPunct/>
              <w:topLinePunct w:val="0"/>
              <w:autoSpaceDE/>
              <w:autoSpaceDN/>
              <w:bidi w:val="0"/>
              <w:adjustRightInd/>
              <w:snapToGrid/>
              <w:spacing w:line="240" w:lineRule="exact"/>
              <w:textAlignment w:val="auto"/>
            </w:pPr>
          </w:p>
        </w:tc>
        <w:tc>
          <w:tcPr>
            <w:tcW w:w="850" w:type="dxa"/>
            <w:vMerge w:val="continue"/>
          </w:tcPr>
          <w:p>
            <w:pPr>
              <w:keepNext w:val="0"/>
              <w:keepLines w:val="0"/>
              <w:pageBreakBefore w:val="0"/>
              <w:kinsoku/>
              <w:wordWrap/>
              <w:overflowPunct/>
              <w:topLinePunct w:val="0"/>
              <w:autoSpaceDE/>
              <w:autoSpaceDN/>
              <w:bidi w:val="0"/>
              <w:adjustRightInd/>
              <w:snapToGrid/>
              <w:spacing w:line="240" w:lineRule="exact"/>
              <w:textAlignment w:val="auto"/>
            </w:pPr>
          </w:p>
        </w:tc>
        <w:tc>
          <w:tcPr>
            <w:tcW w:w="964" w:type="dxa"/>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合计</w:t>
            </w:r>
          </w:p>
        </w:tc>
        <w:tc>
          <w:tcPr>
            <w:tcW w:w="964" w:type="dxa"/>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一般公共预算拨款</w:t>
            </w:r>
          </w:p>
        </w:tc>
        <w:tc>
          <w:tcPr>
            <w:tcW w:w="964" w:type="dxa"/>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基金预算拨款</w:t>
            </w:r>
          </w:p>
        </w:tc>
        <w:tc>
          <w:tcPr>
            <w:tcW w:w="964" w:type="dxa"/>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国有资本经营预算拨款</w:t>
            </w:r>
          </w:p>
        </w:tc>
        <w:tc>
          <w:tcPr>
            <w:tcW w:w="964" w:type="dxa"/>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财政专户核拨</w:t>
            </w:r>
          </w:p>
        </w:tc>
        <w:tc>
          <w:tcPr>
            <w:tcW w:w="964" w:type="dxa"/>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单位    资金</w:t>
            </w:r>
          </w:p>
        </w:tc>
        <w:tc>
          <w:tcPr>
            <w:tcW w:w="964" w:type="dxa"/>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财政拨    款结转</w:t>
            </w:r>
          </w:p>
        </w:tc>
        <w:tc>
          <w:tcPr>
            <w:tcW w:w="964" w:type="dxa"/>
            <w:vAlign w:val="center"/>
          </w:tcPr>
          <w:p>
            <w:pPr>
              <w:pStyle w:val="12"/>
              <w:keepNext w:val="0"/>
              <w:keepLines w:val="0"/>
              <w:pageBreakBefore w:val="0"/>
              <w:kinsoku/>
              <w:wordWrap/>
              <w:overflowPunct/>
              <w:topLinePunct w:val="0"/>
              <w:autoSpaceDE/>
              <w:autoSpaceDN/>
              <w:bidi w:val="0"/>
              <w:adjustRightInd/>
              <w:snapToGrid/>
              <w:spacing w:line="240" w:lineRule="exact"/>
              <w:textAlignment w:val="auto"/>
            </w:pPr>
            <w:r>
              <w:t>非财政    拨款结    转结余</w:t>
            </w:r>
          </w:p>
        </w:tc>
        <w:tc>
          <w:tcPr>
            <w:tcW w:w="964" w:type="dxa"/>
            <w:vMerge w:val="continue"/>
          </w:tcPr>
          <w:p>
            <w:pPr>
              <w:keepNext w:val="0"/>
              <w:keepLines w:val="0"/>
              <w:pageBreakBefore w:val="0"/>
              <w:kinsoku/>
              <w:wordWrap/>
              <w:overflowPunct/>
              <w:topLinePunct w:val="0"/>
              <w:autoSpaceDE/>
              <w:autoSpaceDN/>
              <w:bidi w:val="0"/>
              <w:adjustRightInd/>
              <w:snapToGrid/>
              <w:spacing w:line="24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rPr>
                <w:rFonts w:hint="eastAsia"/>
                <w:lang w:eastAsia="zh-CN"/>
              </w:rPr>
            </w:pPr>
            <w:r>
              <w:rPr>
                <w:rFonts w:hint="eastAsia"/>
                <w:lang w:eastAsia="zh-CN"/>
              </w:rPr>
              <w:t>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w:t>
      </w:r>
      <w:r>
        <w:rPr>
          <w:rFonts w:hint="eastAsia" w:ascii="Times New Roman" w:hAnsi="Times New Roman" w:eastAsia="仿宋_GB2312" w:cs="Times New Roman"/>
          <w:sz w:val="32"/>
          <w:szCs w:val="32"/>
        </w:rPr>
        <w:t>市广阳区</w:t>
      </w:r>
      <w:r>
        <w:rPr>
          <w:rFonts w:ascii="Times New Roman" w:hAnsi="Times New Roman" w:eastAsia="仿宋_GB2312" w:cs="Times New Roman"/>
          <w:sz w:val="32"/>
          <w:szCs w:val="32"/>
        </w:rPr>
        <w:t>第九幼儿（含所属单位）上年末固定资产金额为0万元。</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广阳区第九幼儿园</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D107C6-C0D5-4FA1-AE42-74F1E684AC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B2B50D16-52E3-4DFE-8D0C-34B948D0BE11}"/>
  </w:font>
  <w:font w:name="仿宋_GB2312">
    <w:panose1 w:val="02010609030101010101"/>
    <w:charset w:val="86"/>
    <w:family w:val="modern"/>
    <w:pitch w:val="default"/>
    <w:sig w:usb0="00000001" w:usb1="080E0000" w:usb2="00000000" w:usb3="00000000" w:csb0="00040000" w:csb1="00000000"/>
    <w:embedRegular r:id="rId3" w:fontKey="{9D4CB0EA-F274-4C6E-8661-B93EC5A8C40E}"/>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87CE2"/>
    <w:multiLevelType w:val="singleLevel"/>
    <w:tmpl w:val="57F87CE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1438F"/>
    <w:rsid w:val="000230E6"/>
    <w:rsid w:val="000E6AAC"/>
    <w:rsid w:val="000F6018"/>
    <w:rsid w:val="00145ACF"/>
    <w:rsid w:val="00161684"/>
    <w:rsid w:val="001F4C36"/>
    <w:rsid w:val="0025632D"/>
    <w:rsid w:val="002600DD"/>
    <w:rsid w:val="002E1739"/>
    <w:rsid w:val="003059E0"/>
    <w:rsid w:val="00331CEA"/>
    <w:rsid w:val="004A54AA"/>
    <w:rsid w:val="004C190D"/>
    <w:rsid w:val="00501798"/>
    <w:rsid w:val="006A73B9"/>
    <w:rsid w:val="007130CF"/>
    <w:rsid w:val="00722FD3"/>
    <w:rsid w:val="007B5D93"/>
    <w:rsid w:val="008559EE"/>
    <w:rsid w:val="0087635B"/>
    <w:rsid w:val="008F54DF"/>
    <w:rsid w:val="00904C59"/>
    <w:rsid w:val="00944233"/>
    <w:rsid w:val="0095476F"/>
    <w:rsid w:val="00B40732"/>
    <w:rsid w:val="00B80935"/>
    <w:rsid w:val="00D20C76"/>
    <w:rsid w:val="00D347CC"/>
    <w:rsid w:val="00D67D01"/>
    <w:rsid w:val="00DC72B4"/>
    <w:rsid w:val="00E50E33"/>
    <w:rsid w:val="00E97D5B"/>
    <w:rsid w:val="00EC513B"/>
    <w:rsid w:val="00F52C17"/>
    <w:rsid w:val="00F84F0E"/>
    <w:rsid w:val="0CEC1180"/>
    <w:rsid w:val="18600E68"/>
    <w:rsid w:val="4A7C3313"/>
    <w:rsid w:val="4B5662AC"/>
    <w:rsid w:val="61B95FBE"/>
    <w:rsid w:val="73693C55"/>
    <w:rsid w:val="73DE10D3"/>
    <w:rsid w:val="743A4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839</Words>
  <Characters>4788</Characters>
  <Lines>39</Lines>
  <Paragraphs>11</Paragraphs>
  <TotalTime>0</TotalTime>
  <ScaleCrop>false</ScaleCrop>
  <LinksUpToDate>false</LinksUpToDate>
  <CharactersWithSpaces>5616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2023-08-02T01:23:18Z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C1243CD6D9864F279C3808332F51B170</vt:lpwstr>
  </property>
</Properties>
</file>