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4" w:name="_GoBack"/>
      <w:bookmarkEnd w:id="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lang w:val="en-US" w:eastAsia="zh-CN"/>
        </w:rPr>
        <w:t>第三幼儿园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第三幼儿园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ind w:firstLine="640" w:firstLineChars="200"/>
        <w:jc w:val="left"/>
        <w:rPr>
          <w:rFonts w:hint="default" w:ascii="仿宋" w:hAnsi="仿宋" w:eastAsia="仿宋" w:cs="仿宋"/>
          <w:sz w:val="32"/>
          <w:szCs w:val="32"/>
          <w:lang w:val="en-US" w:eastAsia="zh-CN"/>
        </w:rPr>
      </w:pPr>
      <w:r>
        <w:rPr>
          <w:rFonts w:hint="eastAsia" w:ascii="仿宋_GB2312" w:eastAsia="仿宋_GB2312" w:cs="ArialUnicodeMS"/>
          <w:color w:val="000000"/>
          <w:kern w:val="0"/>
          <w:sz w:val="32"/>
          <w:szCs w:val="32"/>
          <w:highlight w:val="none"/>
          <w:lang w:val="en-US" w:eastAsia="zh-CN"/>
        </w:rPr>
        <w:t>廊坊市广阳区第三幼儿园</w:t>
      </w:r>
      <w:r>
        <w:rPr>
          <w:rFonts w:hint="eastAsia" w:ascii="仿宋" w:hAnsi="仿宋" w:eastAsia="仿宋" w:cs="仿宋"/>
          <w:sz w:val="32"/>
          <w:szCs w:val="32"/>
        </w:rPr>
        <w:t>成立于2015年11月</w:t>
      </w:r>
      <w:r>
        <w:rPr>
          <w:rFonts w:hint="eastAsia" w:ascii="仿宋" w:hAnsi="仿宋" w:eastAsia="仿宋" w:cs="仿宋"/>
          <w:sz w:val="32"/>
          <w:szCs w:val="32"/>
          <w:lang w:eastAsia="zh-CN"/>
        </w:rPr>
        <w:t>，现有</w:t>
      </w:r>
      <w:r>
        <w:rPr>
          <w:rFonts w:hint="eastAsia" w:ascii="仿宋" w:hAnsi="仿宋" w:eastAsia="仿宋" w:cs="仿宋"/>
          <w:sz w:val="32"/>
          <w:szCs w:val="32"/>
        </w:rPr>
        <w:t>教师职工共</w:t>
      </w:r>
      <w:r>
        <w:rPr>
          <w:rFonts w:hint="eastAsia" w:ascii="仿宋" w:hAnsi="仿宋" w:eastAsia="仿宋" w:cs="仿宋"/>
          <w:sz w:val="32"/>
          <w:szCs w:val="32"/>
          <w:lang w:val="en-US" w:eastAsia="zh-CN"/>
        </w:rPr>
        <w:t>56</w:t>
      </w:r>
      <w:r>
        <w:rPr>
          <w:rFonts w:hint="eastAsia" w:ascii="仿宋" w:hAnsi="仿宋" w:eastAsia="仿宋" w:cs="仿宋"/>
          <w:sz w:val="32"/>
          <w:szCs w:val="32"/>
        </w:rPr>
        <w:t>人，在园</w:t>
      </w:r>
      <w:r>
        <w:rPr>
          <w:rFonts w:hint="eastAsia" w:ascii="仿宋" w:hAnsi="仿宋" w:eastAsia="仿宋" w:cs="仿宋"/>
          <w:sz w:val="32"/>
          <w:szCs w:val="32"/>
          <w:lang w:eastAsia="zh-CN"/>
        </w:rPr>
        <w:t>幼儿</w:t>
      </w:r>
      <w:r>
        <w:rPr>
          <w:rFonts w:hint="eastAsia" w:ascii="仿宋" w:hAnsi="仿宋" w:eastAsia="仿宋" w:cs="仿宋"/>
          <w:sz w:val="32"/>
          <w:szCs w:val="32"/>
        </w:rPr>
        <w:t>数为42</w:t>
      </w:r>
      <w:r>
        <w:rPr>
          <w:rFonts w:hint="eastAsia" w:ascii="仿宋" w:hAnsi="仿宋" w:eastAsia="仿宋" w:cs="仿宋"/>
          <w:sz w:val="32"/>
          <w:szCs w:val="32"/>
          <w:lang w:val="en-US" w:eastAsia="zh-CN"/>
        </w:rPr>
        <w:t>7</w:t>
      </w:r>
      <w:r>
        <w:rPr>
          <w:rFonts w:hint="eastAsia" w:ascii="仿宋" w:hAnsi="仿宋" w:eastAsia="仿宋" w:cs="仿宋"/>
          <w:sz w:val="32"/>
          <w:szCs w:val="32"/>
        </w:rPr>
        <w:t>人</w:t>
      </w:r>
      <w:r>
        <w:rPr>
          <w:rFonts w:hint="eastAsia" w:ascii="仿宋" w:hAnsi="仿宋" w:eastAsia="仿宋" w:cs="仿宋"/>
          <w:sz w:val="32"/>
          <w:szCs w:val="32"/>
          <w:lang w:eastAsia="zh-CN"/>
        </w:rPr>
        <w:t>，共</w:t>
      </w:r>
      <w:r>
        <w:rPr>
          <w:rFonts w:hint="eastAsia" w:ascii="仿宋" w:hAnsi="仿宋" w:eastAsia="仿宋" w:cs="仿宋"/>
          <w:sz w:val="32"/>
          <w:szCs w:val="32"/>
          <w:lang w:val="en-US" w:eastAsia="zh-CN"/>
        </w:rPr>
        <w:t>12个教学班，主要职责是对3周岁以上幼儿进行保育和教育。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lang w:eastAsia="zh-CN"/>
              </w:rPr>
              <w:t>廊坊市广阳区第三幼儿园</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color w:val="auto"/>
                <w:lang w:eastAsia="zh-CN"/>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color w:val="auto"/>
                <w:lang w:eastAsia="zh-CN"/>
              </w:rPr>
              <w:t>科级以下</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color w:val="auto"/>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第三幼儿园</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382.63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382.63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第三幼儿园2022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382.63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其中</w:t>
      </w:r>
      <w:r>
        <w:rPr>
          <w:rFonts w:ascii="Times New Roman" w:hAnsi="Times New Roman" w:eastAsia="仿宋_GB2312" w:cs="Times New Roman"/>
          <w:color w:val="auto"/>
          <w:sz w:val="32"/>
          <w:szCs w:val="32"/>
        </w:rPr>
        <w:t>项目支出</w:t>
      </w:r>
      <w:r>
        <w:rPr>
          <w:rFonts w:hint="eastAsia" w:ascii="Times New Roman" w:hAnsi="Times New Roman" w:eastAsia="仿宋_GB2312" w:cs="Times New Roman"/>
          <w:sz w:val="32"/>
          <w:szCs w:val="32"/>
          <w:lang w:val="en-US" w:eastAsia="zh-CN"/>
        </w:rPr>
        <w:t>382.63</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2年预算收支安排</w:t>
      </w:r>
      <w:r>
        <w:rPr>
          <w:rFonts w:hint="eastAsia" w:ascii="Times New Roman" w:hAnsi="Times New Roman" w:eastAsia="仿宋_GB2312" w:cs="Times New Roman"/>
          <w:sz w:val="32"/>
          <w:szCs w:val="32"/>
          <w:highlight w:val="none"/>
          <w:lang w:val="en-US" w:eastAsia="zh-CN"/>
        </w:rPr>
        <w:t>382.63</w:t>
      </w:r>
      <w:r>
        <w:rPr>
          <w:rFonts w:ascii="Times New Roman" w:hAnsi="Times New Roman" w:eastAsia="仿宋_GB2312" w:cs="Times New Roman"/>
          <w:sz w:val="32"/>
          <w:szCs w:val="32"/>
          <w:highlight w:val="none"/>
        </w:rPr>
        <w:t>万元，较20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1年预算增加</w:t>
      </w:r>
      <w:r>
        <w:rPr>
          <w:rFonts w:hint="eastAsia" w:ascii="Times New Roman" w:hAnsi="Times New Roman" w:eastAsia="仿宋_GB2312" w:cs="Times New Roman"/>
          <w:sz w:val="32"/>
          <w:szCs w:val="32"/>
          <w:highlight w:val="none"/>
          <w:lang w:val="en-US" w:eastAsia="zh-CN"/>
        </w:rPr>
        <w:t>238.63</w:t>
      </w:r>
      <w:r>
        <w:rPr>
          <w:rFonts w:ascii="Times New Roman" w:hAnsi="Times New Roman" w:eastAsia="仿宋_GB2312" w:cs="Times New Roman"/>
          <w:sz w:val="32"/>
          <w:szCs w:val="32"/>
          <w:highlight w:val="none"/>
        </w:rPr>
        <w:t>万元，其中：基本支</w:t>
      </w:r>
      <w:r>
        <w:rPr>
          <w:rFonts w:hint="eastAsia" w:ascii="Times New Roman" w:hAnsi="Times New Roman" w:eastAsia="仿宋_GB2312" w:cs="Times New Roman"/>
          <w:sz w:val="32"/>
          <w:szCs w:val="32"/>
          <w:highlight w:val="none"/>
          <w:lang w:eastAsia="zh-CN"/>
        </w:rPr>
        <w:t>出增加</w:t>
      </w:r>
      <w:r>
        <w:rPr>
          <w:rFonts w:hint="default"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项目支出增加</w:t>
      </w:r>
      <w:r>
        <w:rPr>
          <w:rFonts w:ascii="Times New Roman" w:hAnsi="Times New Roman" w:eastAsia="仿宋_GB2312" w:cs="Times New Roman"/>
          <w:sz w:val="32"/>
          <w:szCs w:val="32"/>
          <w:highlight w:val="none"/>
          <w:lang w:val="en-US"/>
        </w:rPr>
        <w:t>238.63</w:t>
      </w:r>
      <w:r>
        <w:rPr>
          <w:rFonts w:ascii="Times New Roman" w:hAnsi="Times New Roman" w:eastAsia="仿宋_GB2312" w:cs="Times New Roman"/>
          <w:sz w:val="32"/>
          <w:szCs w:val="32"/>
          <w:highlight w:val="none"/>
        </w:rPr>
        <w:t>万元，主要为</w:t>
      </w:r>
      <w:r>
        <w:rPr>
          <w:rFonts w:hint="eastAsia" w:ascii="Times New Roman" w:hAnsi="Times New Roman" w:eastAsia="仿宋_GB2312" w:cs="Times New Roman"/>
          <w:sz w:val="32"/>
          <w:szCs w:val="32"/>
          <w:highlight w:val="none"/>
        </w:rPr>
        <w:t>合同制教师人员经费</w:t>
      </w:r>
      <w:r>
        <w:rPr>
          <w:rFonts w:hint="eastAsia" w:ascii="Times New Roman" w:hAnsi="Times New Roman" w:eastAsia="仿宋_GB2312" w:cs="Times New Roman"/>
          <w:sz w:val="32"/>
          <w:szCs w:val="32"/>
          <w:highlight w:val="none"/>
          <w:lang w:val="en-US" w:eastAsia="zh-CN"/>
        </w:rPr>
        <w:t>项目支出</w:t>
      </w:r>
      <w:r>
        <w:rPr>
          <w:rFonts w:ascii="Times New Roman" w:hAnsi="Times New Roman" w:eastAsia="仿宋_GB2312" w:cs="Times New Roman"/>
          <w:sz w:val="32"/>
          <w:szCs w:val="32"/>
          <w:highlight w:val="none"/>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单位无</w:t>
      </w:r>
      <w:r>
        <w:rPr>
          <w:rFonts w:ascii="Times New Roman" w:hAnsi="Times New Roman" w:eastAsia="仿宋_GB2312" w:cs="Times New Roman"/>
          <w:sz w:val="32"/>
          <w:szCs w:val="32"/>
        </w:rPr>
        <w:t>财政拨款“三公”经费预算</w:t>
      </w:r>
      <w:r>
        <w:rPr>
          <w:rFonts w:hint="eastAsia" w:ascii="Times New Roman" w:hAnsi="Times New Roman" w:eastAsia="仿宋_GB2312" w:cs="Times New Roman"/>
          <w:sz w:val="32"/>
          <w:szCs w:val="32"/>
          <w:lang w:val="en-US" w:eastAsia="zh-CN"/>
        </w:rPr>
        <w:t>安排。</w:t>
      </w:r>
      <w:r>
        <w:rPr>
          <w:rFonts w:ascii="Times New Roman" w:hAnsi="Times New Roman" w:eastAsia="仿宋_GB2312" w:cs="Times New Roman"/>
          <w:color w:val="auto"/>
          <w:sz w:val="32"/>
          <w:szCs w:val="32"/>
        </w:rPr>
        <w:t>与20</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1年相比持平，无增减变化。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1、提高学前教育水平，提供免费教科书，解决大班额问题及入学难问题。</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2、按质按量完成教育教学方面的各项任务，稳步提升学校的教育教学质量，学生综合素质评价优秀率达到85%,合格率达到100%。</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3、幼儿园公用经费水平逐年提高，改善学校办学条件，保障学前教育阶段学校基本教学条件，使学前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5、开展各类课题研究、园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1、成立学校监督小组，监督学校工作，强化工作落实。</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4、学校体育、卫生工作。根据《幼儿园健康体检管理办法》要求，对在校学生每年进行1次常规健康体检。</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8、加强政治理论学习，强化党风廉政建设。做好师德传承活动，落实老中青传帮带。弘扬办学精神。加强师德宣传与学习活动。开展形式多样、扎实有效的师德教育活动。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逐步制订、完善相关制度，规范教师师德。加强校本培训和继续教育工作，提升教师能力。落实教师评价工作，完善考核机制。搭建教师发展平台。</w:t>
      </w:r>
    </w:p>
    <w:p>
      <w:pPr>
        <w:numPr>
          <w:ilvl w:val="0"/>
          <w:numId w:val="1"/>
        </w:num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pPr w:leftFromText="180" w:rightFromText="180" w:vertAnchor="text" w:horzAnchor="page" w:tblpXSpec="center" w:tblpY="703"/>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8"/>
        <w:gridCol w:w="781"/>
        <w:gridCol w:w="1275"/>
        <w:gridCol w:w="1845"/>
        <w:gridCol w:w="1800"/>
        <w:gridCol w:w="3911"/>
        <w:gridCol w:w="703"/>
        <w:gridCol w:w="741"/>
        <w:gridCol w:w="1326"/>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261"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eastAsia="方正书宋_GBK"/>
                <w:b/>
                <w:lang w:val="en-US" w:eastAsia="zh-CN"/>
              </w:rPr>
            </w:pPr>
            <w:r>
              <w:rPr>
                <w:rFonts w:hint="eastAsia" w:ascii="方正书宋_GBK" w:eastAsia="方正书宋_GBK"/>
                <w:b/>
                <w:lang w:val="en-US" w:eastAsia="zh-CN"/>
              </w:rPr>
              <w:t>序号</w:t>
            </w:r>
          </w:p>
        </w:tc>
        <w:tc>
          <w:tcPr>
            <w:tcW w:w="280"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eastAsia="方正书宋_GBK"/>
                <w:b/>
                <w:lang w:val="en-US" w:eastAsia="zh-CN"/>
              </w:rPr>
            </w:pPr>
            <w:r>
              <w:rPr>
                <w:rFonts w:hint="eastAsia" w:ascii="方正书宋_GBK" w:eastAsia="方正书宋_GBK"/>
                <w:b/>
                <w:lang w:val="en-US" w:eastAsia="zh-CN"/>
              </w:rPr>
              <w:t>一级指标</w:t>
            </w:r>
          </w:p>
        </w:tc>
        <w:tc>
          <w:tcPr>
            <w:tcW w:w="457"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eastAsia="方正书宋_GBK"/>
                <w:b/>
                <w:lang w:val="en-US" w:eastAsia="zh-CN"/>
              </w:rPr>
            </w:pPr>
            <w:r>
              <w:rPr>
                <w:rFonts w:hint="eastAsia" w:ascii="方正书宋_GBK" w:eastAsia="方正书宋_GBK"/>
                <w:b/>
                <w:lang w:val="en-US" w:eastAsia="zh-CN"/>
              </w:rPr>
              <w:t>二级指标</w:t>
            </w:r>
          </w:p>
        </w:tc>
        <w:tc>
          <w:tcPr>
            <w:tcW w:w="661"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eastAsia="方正书宋_GBK"/>
                <w:b/>
                <w:lang w:val="en-US" w:eastAsia="zh-CN"/>
              </w:rPr>
            </w:pPr>
            <w:r>
              <w:rPr>
                <w:rFonts w:hint="eastAsia" w:ascii="方正书宋_GBK" w:eastAsia="方正书宋_GBK"/>
                <w:b/>
                <w:lang w:val="en-US" w:eastAsia="zh-CN"/>
              </w:rPr>
              <w:t>三级指标</w:t>
            </w:r>
          </w:p>
        </w:tc>
        <w:tc>
          <w:tcPr>
            <w:tcW w:w="645"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eastAsia="方正书宋_GBK"/>
                <w:b/>
                <w:lang w:val="en-US" w:eastAsia="zh-CN"/>
              </w:rPr>
            </w:pPr>
            <w:r>
              <w:rPr>
                <w:rFonts w:hint="eastAsia" w:ascii="方正书宋_GBK" w:eastAsia="方正书宋_GBK"/>
                <w:b/>
                <w:lang w:val="en-US" w:eastAsia="zh-CN"/>
              </w:rPr>
              <w:t>绩效指标描述</w:t>
            </w:r>
          </w:p>
        </w:tc>
        <w:tc>
          <w:tcPr>
            <w:tcW w:w="1402"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eastAsia="方正书宋_GBK"/>
                <w:b/>
                <w:lang w:val="en-US" w:eastAsia="zh-CN"/>
              </w:rPr>
            </w:pPr>
            <w:r>
              <w:rPr>
                <w:rFonts w:hint="eastAsia" w:ascii="方正书宋_GBK" w:eastAsia="方正书宋_GBK"/>
                <w:b/>
                <w:lang w:val="en-US" w:eastAsia="zh-CN"/>
              </w:rPr>
              <w:t>评（扣）分标准</w:t>
            </w:r>
          </w:p>
        </w:tc>
        <w:tc>
          <w:tcPr>
            <w:tcW w:w="993" w:type="pct"/>
            <w:gridSpan w:val="3"/>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eastAsia="方正书宋_GBK"/>
                <w:b/>
                <w:lang w:val="en-US" w:eastAsia="zh-CN"/>
              </w:rPr>
            </w:pPr>
            <w:r>
              <w:rPr>
                <w:rFonts w:hint="eastAsia" w:ascii="方正书宋_GBK" w:eastAsia="方正书宋_GBK"/>
                <w:b/>
                <w:lang w:val="en-US" w:eastAsia="zh-CN"/>
              </w:rPr>
              <w:t>指标值</w:t>
            </w:r>
          </w:p>
        </w:tc>
        <w:tc>
          <w:tcPr>
            <w:tcW w:w="297"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书宋_GBK" w:hAnsi="Calibri" w:eastAsia="方正书宋_GBK" w:cs="Arial"/>
                <w:b/>
                <w:kern w:val="2"/>
                <w:sz w:val="21"/>
                <w:szCs w:val="22"/>
                <w:lang w:val="en-US" w:eastAsia="zh-CN" w:bidi="ar-SA"/>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1" w:type="pct"/>
            <w:vMerge w:val="continue"/>
            <w:tcBorders>
              <w:top w:val="single" w:color="auto" w:sz="4" w:space="0"/>
              <w:tl2br w:val="nil"/>
              <w:tr2bl w:val="nil"/>
            </w:tcBorders>
            <w:shd w:val="clear" w:color="auto" w:fill="auto"/>
            <w:vAlign w:val="center"/>
          </w:tcPr>
          <w:p>
            <w:pPr>
              <w:jc w:val="center"/>
              <w:rPr>
                <w:rFonts w:hint="eastAsia" w:ascii="方正书宋_GBK" w:hAnsi="Calibri" w:eastAsia="方正书宋_GBK" w:cs="Arial"/>
                <w:b/>
                <w:kern w:val="2"/>
                <w:sz w:val="21"/>
                <w:szCs w:val="22"/>
                <w:lang w:val="en-US" w:eastAsia="zh-CN" w:bidi="ar-SA"/>
              </w:rPr>
            </w:pPr>
          </w:p>
        </w:tc>
        <w:tc>
          <w:tcPr>
            <w:tcW w:w="280" w:type="pct"/>
            <w:vMerge w:val="continue"/>
            <w:tcBorders>
              <w:top w:val="single" w:color="auto" w:sz="4" w:space="0"/>
              <w:tl2br w:val="nil"/>
              <w:tr2bl w:val="nil"/>
            </w:tcBorders>
            <w:shd w:val="clear" w:color="auto" w:fill="auto"/>
            <w:vAlign w:val="center"/>
          </w:tcPr>
          <w:p>
            <w:pPr>
              <w:jc w:val="center"/>
              <w:rPr>
                <w:rFonts w:hint="eastAsia" w:ascii="方正书宋_GBK" w:hAnsi="Calibri" w:eastAsia="方正书宋_GBK" w:cs="Arial"/>
                <w:b/>
                <w:kern w:val="2"/>
                <w:sz w:val="21"/>
                <w:szCs w:val="22"/>
                <w:lang w:val="en-US" w:eastAsia="zh-CN" w:bidi="ar-SA"/>
              </w:rPr>
            </w:pPr>
          </w:p>
        </w:tc>
        <w:tc>
          <w:tcPr>
            <w:tcW w:w="457" w:type="pct"/>
            <w:vMerge w:val="continue"/>
            <w:tcBorders>
              <w:top w:val="single" w:color="auto" w:sz="4" w:space="0"/>
              <w:tl2br w:val="nil"/>
              <w:tr2bl w:val="nil"/>
            </w:tcBorders>
            <w:shd w:val="clear" w:color="auto" w:fill="auto"/>
            <w:vAlign w:val="center"/>
          </w:tcPr>
          <w:p>
            <w:pPr>
              <w:jc w:val="center"/>
              <w:rPr>
                <w:rFonts w:hint="eastAsia" w:ascii="方正书宋_GBK" w:hAnsi="Calibri" w:eastAsia="方正书宋_GBK" w:cs="Arial"/>
                <w:b/>
                <w:kern w:val="2"/>
                <w:sz w:val="21"/>
                <w:szCs w:val="22"/>
                <w:lang w:val="en-US" w:eastAsia="zh-CN" w:bidi="ar-SA"/>
              </w:rPr>
            </w:pPr>
          </w:p>
        </w:tc>
        <w:tc>
          <w:tcPr>
            <w:tcW w:w="661" w:type="pct"/>
            <w:vMerge w:val="continue"/>
            <w:tcBorders>
              <w:top w:val="single" w:color="auto" w:sz="4" w:space="0"/>
              <w:tl2br w:val="nil"/>
              <w:tr2bl w:val="nil"/>
            </w:tcBorders>
            <w:shd w:val="clear" w:color="auto" w:fill="auto"/>
            <w:vAlign w:val="center"/>
          </w:tcPr>
          <w:p>
            <w:pPr>
              <w:jc w:val="center"/>
              <w:rPr>
                <w:rFonts w:hint="eastAsia" w:ascii="方正书宋_GBK" w:hAnsi="Calibri" w:eastAsia="方正书宋_GBK" w:cs="Arial"/>
                <w:b/>
                <w:kern w:val="2"/>
                <w:sz w:val="21"/>
                <w:szCs w:val="22"/>
                <w:lang w:val="en-US" w:eastAsia="zh-CN" w:bidi="ar-SA"/>
              </w:rPr>
            </w:pPr>
          </w:p>
        </w:tc>
        <w:tc>
          <w:tcPr>
            <w:tcW w:w="645" w:type="pct"/>
            <w:vMerge w:val="continue"/>
            <w:tcBorders>
              <w:top w:val="single" w:color="auto" w:sz="4" w:space="0"/>
              <w:tl2br w:val="nil"/>
              <w:tr2bl w:val="nil"/>
            </w:tcBorders>
            <w:shd w:val="clear" w:color="auto" w:fill="auto"/>
            <w:vAlign w:val="center"/>
          </w:tcPr>
          <w:p>
            <w:pPr>
              <w:jc w:val="center"/>
              <w:rPr>
                <w:rFonts w:hint="eastAsia" w:ascii="方正书宋_GBK" w:hAnsi="Calibri" w:eastAsia="方正书宋_GBK" w:cs="Arial"/>
                <w:b/>
                <w:kern w:val="2"/>
                <w:sz w:val="21"/>
                <w:szCs w:val="22"/>
                <w:lang w:val="en-US" w:eastAsia="zh-CN" w:bidi="ar-SA"/>
              </w:rPr>
            </w:pPr>
          </w:p>
        </w:tc>
        <w:tc>
          <w:tcPr>
            <w:tcW w:w="1402" w:type="pct"/>
            <w:vMerge w:val="continue"/>
            <w:tcBorders>
              <w:top w:val="single" w:color="auto" w:sz="4" w:space="0"/>
              <w:tl2br w:val="nil"/>
              <w:tr2bl w:val="nil"/>
            </w:tcBorders>
            <w:shd w:val="clear" w:color="auto" w:fill="auto"/>
            <w:vAlign w:val="center"/>
          </w:tcPr>
          <w:p>
            <w:pPr>
              <w:jc w:val="center"/>
              <w:rPr>
                <w:rFonts w:hint="eastAsia" w:ascii="方正书宋_GBK" w:hAnsi="Calibri" w:eastAsia="方正书宋_GBK" w:cs="Arial"/>
                <w:b/>
                <w:kern w:val="2"/>
                <w:sz w:val="21"/>
                <w:szCs w:val="22"/>
                <w:lang w:val="en-US" w:eastAsia="zh-CN" w:bidi="ar-SA"/>
              </w:rPr>
            </w:pPr>
          </w:p>
        </w:tc>
        <w:tc>
          <w:tcPr>
            <w:tcW w:w="252"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hAnsi="Calibri" w:eastAsia="方正书宋_GBK" w:cs="Arial"/>
                <w:b/>
                <w:kern w:val="2"/>
                <w:sz w:val="21"/>
                <w:szCs w:val="22"/>
                <w:lang w:val="en-US" w:eastAsia="zh-CN" w:bidi="ar-SA"/>
              </w:rPr>
            </w:pPr>
            <w:r>
              <w:rPr>
                <w:rFonts w:hint="eastAsia" w:ascii="方正书宋_GBK" w:hAnsi="Calibri" w:eastAsia="方正书宋_GBK" w:cs="Arial"/>
                <w:b/>
                <w:kern w:val="2"/>
                <w:sz w:val="21"/>
                <w:szCs w:val="22"/>
                <w:lang w:val="en-US" w:eastAsia="zh-CN" w:bidi="ar-SA"/>
              </w:rPr>
              <w:t>符号</w:t>
            </w:r>
          </w:p>
        </w:tc>
        <w:tc>
          <w:tcPr>
            <w:tcW w:w="265"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hAnsi="Calibri" w:eastAsia="方正书宋_GBK" w:cs="Arial"/>
                <w:b/>
                <w:kern w:val="2"/>
                <w:sz w:val="21"/>
                <w:szCs w:val="22"/>
                <w:lang w:val="en-US" w:eastAsia="zh-CN" w:bidi="ar-SA"/>
              </w:rPr>
            </w:pPr>
            <w:r>
              <w:rPr>
                <w:rFonts w:hint="eastAsia" w:ascii="方正书宋_GBK" w:hAnsi="Calibri" w:eastAsia="方正书宋_GBK" w:cs="Arial"/>
                <w:b/>
                <w:kern w:val="2"/>
                <w:sz w:val="21"/>
                <w:szCs w:val="22"/>
                <w:lang w:val="en-US" w:eastAsia="zh-CN" w:bidi="ar-SA"/>
              </w:rPr>
              <w:t>值</w:t>
            </w:r>
          </w:p>
        </w:tc>
        <w:tc>
          <w:tcPr>
            <w:tcW w:w="475"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hAnsi="Calibri" w:eastAsia="方正书宋_GBK" w:cs="Arial"/>
                <w:b/>
                <w:kern w:val="2"/>
                <w:sz w:val="21"/>
                <w:szCs w:val="22"/>
                <w:lang w:val="en-US" w:eastAsia="zh-CN" w:bidi="ar-SA"/>
              </w:rPr>
            </w:pPr>
            <w:r>
              <w:rPr>
                <w:rFonts w:hint="eastAsia" w:ascii="方正书宋_GBK" w:hAnsi="Calibri" w:eastAsia="方正书宋_GBK" w:cs="Arial"/>
                <w:b/>
                <w:kern w:val="2"/>
                <w:sz w:val="21"/>
                <w:szCs w:val="22"/>
                <w:lang w:val="en-US" w:eastAsia="zh-CN" w:bidi="ar-SA"/>
              </w:rPr>
              <w:t>单位（文字描述）</w:t>
            </w:r>
          </w:p>
        </w:tc>
        <w:tc>
          <w:tcPr>
            <w:tcW w:w="297" w:type="pct"/>
            <w:vMerge w:val="continue"/>
            <w:tcBorders>
              <w:top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 w:type="pc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1</w:t>
            </w:r>
          </w:p>
        </w:tc>
        <w:tc>
          <w:tcPr>
            <w:tcW w:w="280" w:type="pct"/>
            <w:vMerge w:val="restar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产出指标</w:t>
            </w: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数量指标</w:t>
            </w:r>
          </w:p>
        </w:tc>
        <w:tc>
          <w:tcPr>
            <w:tcW w:w="661"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幼儿园毕业生生合格率</w:t>
            </w:r>
          </w:p>
        </w:tc>
        <w:tc>
          <w:tcPr>
            <w:tcW w:w="64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幼儿园毕业生合格率</w:t>
            </w:r>
          </w:p>
        </w:tc>
        <w:tc>
          <w:tcPr>
            <w:tcW w:w="140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20分毕业生合格率100%得满分，否则不得分</w:t>
            </w:r>
          </w:p>
        </w:tc>
        <w:tc>
          <w:tcPr>
            <w:tcW w:w="25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6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100</w:t>
            </w:r>
          </w:p>
        </w:tc>
        <w:tc>
          <w:tcPr>
            <w:tcW w:w="47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97"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61" w:type="pc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2</w:t>
            </w:r>
          </w:p>
        </w:tc>
        <w:tc>
          <w:tcPr>
            <w:tcW w:w="280" w:type="pct"/>
            <w:vMerge w:val="continue"/>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数量指标</w:t>
            </w:r>
          </w:p>
        </w:tc>
        <w:tc>
          <w:tcPr>
            <w:tcW w:w="661"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重点工作实际完成率</w:t>
            </w:r>
          </w:p>
        </w:tc>
        <w:tc>
          <w:tcPr>
            <w:tcW w:w="64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重点工作实际完成率</w:t>
            </w:r>
          </w:p>
        </w:tc>
        <w:tc>
          <w:tcPr>
            <w:tcW w:w="140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10分不低于95%得满分，否则不得分</w:t>
            </w:r>
          </w:p>
        </w:tc>
        <w:tc>
          <w:tcPr>
            <w:tcW w:w="25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6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95</w:t>
            </w:r>
          </w:p>
        </w:tc>
        <w:tc>
          <w:tcPr>
            <w:tcW w:w="47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97"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61" w:type="pc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3</w:t>
            </w:r>
          </w:p>
        </w:tc>
        <w:tc>
          <w:tcPr>
            <w:tcW w:w="280" w:type="pct"/>
            <w:vMerge w:val="continue"/>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质量指标</w:t>
            </w:r>
          </w:p>
        </w:tc>
        <w:tc>
          <w:tcPr>
            <w:tcW w:w="661"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采购物资、建设工程合格率</w:t>
            </w:r>
          </w:p>
        </w:tc>
        <w:tc>
          <w:tcPr>
            <w:tcW w:w="64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采购物资、建设工程合格率</w:t>
            </w:r>
          </w:p>
        </w:tc>
        <w:tc>
          <w:tcPr>
            <w:tcW w:w="140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20分合格率100%得满分，否则不得分</w:t>
            </w:r>
          </w:p>
        </w:tc>
        <w:tc>
          <w:tcPr>
            <w:tcW w:w="25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6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100</w:t>
            </w:r>
          </w:p>
        </w:tc>
        <w:tc>
          <w:tcPr>
            <w:tcW w:w="47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97"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61" w:type="pc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4</w:t>
            </w:r>
          </w:p>
        </w:tc>
        <w:tc>
          <w:tcPr>
            <w:tcW w:w="280" w:type="pct"/>
            <w:vMerge w:val="continue"/>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时效指标</w:t>
            </w:r>
          </w:p>
        </w:tc>
        <w:tc>
          <w:tcPr>
            <w:tcW w:w="661"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学校的各项工作任务及时完成情况</w:t>
            </w:r>
          </w:p>
        </w:tc>
        <w:tc>
          <w:tcPr>
            <w:tcW w:w="64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幼儿园的各项工作任务及时完成情况</w:t>
            </w:r>
          </w:p>
        </w:tc>
        <w:tc>
          <w:tcPr>
            <w:tcW w:w="140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10分及时完成得满分，否则不得分</w:t>
            </w:r>
          </w:p>
        </w:tc>
        <w:tc>
          <w:tcPr>
            <w:tcW w:w="25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文字描述</w:t>
            </w:r>
          </w:p>
        </w:tc>
        <w:tc>
          <w:tcPr>
            <w:tcW w:w="26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p>
        </w:tc>
        <w:tc>
          <w:tcPr>
            <w:tcW w:w="47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及时</w:t>
            </w:r>
          </w:p>
        </w:tc>
        <w:tc>
          <w:tcPr>
            <w:tcW w:w="297"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61" w:type="pc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5</w:t>
            </w:r>
          </w:p>
        </w:tc>
        <w:tc>
          <w:tcPr>
            <w:tcW w:w="280" w:type="pct"/>
            <w:vMerge w:val="continue"/>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成本指标</w:t>
            </w:r>
          </w:p>
        </w:tc>
        <w:tc>
          <w:tcPr>
            <w:tcW w:w="661"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教育经费使用控制率</w:t>
            </w:r>
          </w:p>
        </w:tc>
        <w:tc>
          <w:tcPr>
            <w:tcW w:w="64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支出的公用经费总额与预算安排的比率</w:t>
            </w:r>
          </w:p>
        </w:tc>
        <w:tc>
          <w:tcPr>
            <w:tcW w:w="140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10分教育经费决算数不大于调整预算数得满分，否则不得分。</w:t>
            </w:r>
          </w:p>
        </w:tc>
        <w:tc>
          <w:tcPr>
            <w:tcW w:w="25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文字描述</w:t>
            </w:r>
          </w:p>
        </w:tc>
        <w:tc>
          <w:tcPr>
            <w:tcW w:w="26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p>
        </w:tc>
        <w:tc>
          <w:tcPr>
            <w:tcW w:w="47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教育经费决算数不大于调整预算数</w:t>
            </w:r>
          </w:p>
        </w:tc>
        <w:tc>
          <w:tcPr>
            <w:tcW w:w="297"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61" w:type="pc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6</w:t>
            </w:r>
          </w:p>
        </w:tc>
        <w:tc>
          <w:tcPr>
            <w:tcW w:w="280" w:type="pc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效益指标</w:t>
            </w: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社会效益指标</w:t>
            </w:r>
          </w:p>
        </w:tc>
        <w:tc>
          <w:tcPr>
            <w:tcW w:w="661"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学前教育教育高质量发展</w:t>
            </w:r>
          </w:p>
        </w:tc>
        <w:tc>
          <w:tcPr>
            <w:tcW w:w="64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推动学前教育从数量扩张向质量提高转变</w:t>
            </w:r>
          </w:p>
        </w:tc>
        <w:tc>
          <w:tcPr>
            <w:tcW w:w="140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10分学生、家长、社会对学校整体满意度达到95%得满分，每降低1%扣1分，扣完为止。</w:t>
            </w:r>
          </w:p>
        </w:tc>
        <w:tc>
          <w:tcPr>
            <w:tcW w:w="25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6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95</w:t>
            </w:r>
          </w:p>
        </w:tc>
        <w:tc>
          <w:tcPr>
            <w:tcW w:w="47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97"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 w:type="pct"/>
            <w:tcBorders>
              <w:tl2br w:val="nil"/>
              <w:tr2bl w:val="nil"/>
            </w:tcBorders>
            <w:shd w:val="clear" w:color="auto" w:fill="auto"/>
            <w:noWrap/>
          </w:tcPr>
          <w:p>
            <w:pPr>
              <w:keepNext w:val="0"/>
              <w:keepLines w:val="0"/>
              <w:widowControl/>
              <w:suppressLineNumbers w:val="0"/>
              <w:jc w:val="center"/>
              <w:textAlignment w:val="center"/>
              <w:rPr>
                <w:rFonts w:hint="default" w:ascii="方正书宋_GBK" w:eastAsia="方正书宋_GBK"/>
                <w:b w:val="0"/>
                <w:bCs/>
                <w:lang w:val="en-US" w:eastAsia="zh-CN"/>
              </w:rPr>
            </w:pPr>
            <w:r>
              <w:rPr>
                <w:rFonts w:hint="eastAsia" w:ascii="方正书宋_GBK" w:eastAsia="方正书宋_GBK"/>
                <w:b w:val="0"/>
                <w:bCs/>
                <w:lang w:val="en-US" w:eastAsia="zh-CN"/>
              </w:rPr>
              <w:t>7</w:t>
            </w:r>
          </w:p>
        </w:tc>
        <w:tc>
          <w:tcPr>
            <w:tcW w:w="280" w:type="pct"/>
            <w:vMerge w:val="restar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满意度指标</w:t>
            </w: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服务对象满意度指标</w:t>
            </w:r>
          </w:p>
        </w:tc>
        <w:tc>
          <w:tcPr>
            <w:tcW w:w="661"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在校师生的满意程度</w:t>
            </w:r>
          </w:p>
        </w:tc>
        <w:tc>
          <w:tcPr>
            <w:tcW w:w="64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在校师生的满意程度</w:t>
            </w:r>
          </w:p>
        </w:tc>
        <w:tc>
          <w:tcPr>
            <w:tcW w:w="140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10分在校师生的满意度达到95%得满分，每降低1%扣1分，扣完为止。</w:t>
            </w:r>
          </w:p>
        </w:tc>
        <w:tc>
          <w:tcPr>
            <w:tcW w:w="25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6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95</w:t>
            </w:r>
          </w:p>
        </w:tc>
        <w:tc>
          <w:tcPr>
            <w:tcW w:w="47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97"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61" w:type="pc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8</w:t>
            </w:r>
          </w:p>
        </w:tc>
        <w:tc>
          <w:tcPr>
            <w:tcW w:w="280" w:type="pct"/>
            <w:vMerge w:val="continue"/>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服务对象满意度指标</w:t>
            </w:r>
          </w:p>
        </w:tc>
        <w:tc>
          <w:tcPr>
            <w:tcW w:w="661"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家长的满意程度</w:t>
            </w:r>
          </w:p>
        </w:tc>
        <w:tc>
          <w:tcPr>
            <w:tcW w:w="64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家长的满意程度</w:t>
            </w:r>
          </w:p>
        </w:tc>
        <w:tc>
          <w:tcPr>
            <w:tcW w:w="140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10分家长的满意度达到95%得满分，每降低1%扣1分，扣完为止。</w:t>
            </w:r>
          </w:p>
        </w:tc>
        <w:tc>
          <w:tcPr>
            <w:tcW w:w="25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6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95</w:t>
            </w:r>
          </w:p>
        </w:tc>
        <w:tc>
          <w:tcPr>
            <w:tcW w:w="47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97"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调查问卷</w:t>
            </w:r>
          </w:p>
        </w:tc>
      </w:tr>
    </w:tbl>
    <w:p>
      <w:pPr>
        <w:spacing w:line="584" w:lineRule="exact"/>
        <w:jc w:val="lef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 幼儿园生均经费绩效目标表</w:t>
      </w:r>
      <w:bookmarkEnd w:id="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7"/>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Align w:val="center"/>
          </w:tcPr>
          <w:p>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绩效目标</w:t>
            </w:r>
          </w:p>
        </w:tc>
        <w:tc>
          <w:tcPr>
            <w:tcW w:w="4286"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1.本园2022年项目资金17.08万元，按照义务教育生均公用经费标准申请财政预算资金，通过合理、合规使用资金达到保证学校正常运转，改善办学条件，促进义务教育发展。</w:t>
            </w:r>
          </w:p>
        </w:tc>
      </w:tr>
    </w:tbl>
    <w:p>
      <w:pPr>
        <w:spacing w:before="0" w:after="0" w:line="2" w:lineRule="exact"/>
        <w:ind w:firstLine="0"/>
        <w:jc w:val="center"/>
        <w:outlineLvl w:val="9"/>
        <w:rPr>
          <w:rFonts w:hint="eastAsia" w:ascii="仿宋_GB2312" w:hAnsi="仿宋_GB2312" w:eastAsia="仿宋_GB2312" w:cs="仿宋_GB2312"/>
          <w:highlight w:val="none"/>
        </w:rPr>
      </w:pPr>
      <w:r>
        <w:rPr>
          <w:rFonts w:hint="eastAsia" w:ascii="仿宋_GB2312" w:hAnsi="仿宋_GB2312" w:eastAsia="仿宋_GB2312" w:cs="仿宋_GB2312"/>
          <w:color w:val="000000"/>
          <w:sz w:val="21"/>
          <w:highlight w:val="none"/>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981"/>
        <w:gridCol w:w="1990"/>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一级指标</w:t>
            </w:r>
          </w:p>
        </w:tc>
        <w:tc>
          <w:tcPr>
            <w:tcW w:w="714" w:type="pct"/>
            <w:vAlign w:val="center"/>
          </w:tcPr>
          <w:p>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二级指标</w:t>
            </w:r>
          </w:p>
        </w:tc>
        <w:tc>
          <w:tcPr>
            <w:tcW w:w="714" w:type="pct"/>
            <w:vAlign w:val="center"/>
          </w:tcPr>
          <w:p>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三级指标</w:t>
            </w:r>
          </w:p>
        </w:tc>
        <w:tc>
          <w:tcPr>
            <w:tcW w:w="1428" w:type="pct"/>
            <w:vAlign w:val="center"/>
          </w:tcPr>
          <w:p>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绩效指标描述</w:t>
            </w:r>
          </w:p>
        </w:tc>
        <w:tc>
          <w:tcPr>
            <w:tcW w:w="714" w:type="pct"/>
            <w:vAlign w:val="center"/>
          </w:tcPr>
          <w:p>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指标值</w:t>
            </w:r>
          </w:p>
        </w:tc>
        <w:tc>
          <w:tcPr>
            <w:tcW w:w="714" w:type="pct"/>
            <w:vAlign w:val="center"/>
          </w:tcPr>
          <w:p>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highlight w:val="none"/>
              </w:rPr>
            </w:pPr>
            <w:r>
              <w:rPr>
                <w:rFonts w:hint="eastAsia" w:ascii="仿宋_GB2312" w:hAnsi="仿宋_GB2312" w:eastAsia="仿宋_GB2312" w:cs="仿宋_GB2312"/>
                <w:highlight w:val="none"/>
              </w:rPr>
              <w:t>产出指标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数量指标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申请生均公用经费的学生人数</w:t>
            </w:r>
          </w:p>
        </w:tc>
        <w:tc>
          <w:tcPr>
            <w:tcW w:w="1428"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按文件要求申请生均公用经费的学生人数</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427人</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highlight w:val="none"/>
              </w:rPr>
            </w:pP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质量指标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生均公用经费使用的合规率</w:t>
            </w:r>
          </w:p>
        </w:tc>
        <w:tc>
          <w:tcPr>
            <w:tcW w:w="1428"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生均公用经费使用符合文件中的相关规定</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100%</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highlight w:val="none"/>
              </w:rPr>
            </w:pP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时效指标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用于保障学校正常运转项目完成及时率</w:t>
            </w:r>
          </w:p>
        </w:tc>
        <w:tc>
          <w:tcPr>
            <w:tcW w:w="1428"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使用生均公用经费，用于保障学校正常运转的项目完成情况</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100%</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highlight w:val="none"/>
              </w:rPr>
            </w:pP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成本指标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使用生均公用经费，用于保障学校正常运转的项目支出成本</w:t>
            </w:r>
          </w:p>
        </w:tc>
        <w:tc>
          <w:tcPr>
            <w:tcW w:w="1428"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使用生均公用经费，用于保障学校正常运转的项目支出成本等于400元/生</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400元</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highlight w:val="none"/>
              </w:rPr>
            </w:pPr>
            <w:r>
              <w:rPr>
                <w:rFonts w:hint="eastAsia" w:ascii="仿宋_GB2312" w:hAnsi="仿宋_GB2312" w:eastAsia="仿宋_GB2312" w:cs="仿宋_GB2312"/>
                <w:highlight w:val="none"/>
              </w:rPr>
              <w:t>效益指标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社会效益指标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学前教育高质量发展</w:t>
            </w:r>
          </w:p>
        </w:tc>
        <w:tc>
          <w:tcPr>
            <w:tcW w:w="1428"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该资金用于学校正常运转，改善办学条件，促进学前教育均衡发展及学生素质提高</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支持</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highlight w:val="none"/>
              </w:rPr>
            </w:pPr>
            <w:r>
              <w:rPr>
                <w:rFonts w:hint="eastAsia" w:ascii="仿宋_GB2312" w:hAnsi="仿宋_GB2312" w:eastAsia="仿宋_GB2312" w:cs="仿宋_GB2312"/>
                <w:highlight w:val="none"/>
              </w:rPr>
              <w:t>满意度指标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服务对象满意度指标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在校师生的满意程度</w:t>
            </w:r>
          </w:p>
        </w:tc>
        <w:tc>
          <w:tcPr>
            <w:tcW w:w="1428"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在校师生的满意程度</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≥90%</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问卷调查</w:t>
            </w:r>
          </w:p>
        </w:tc>
      </w:tr>
    </w:tbl>
    <w:p>
      <w:pPr>
        <w:rPr>
          <w:rFonts w:hint="eastAsia" w:ascii="仿宋_GB2312" w:hAnsi="仿宋_GB2312" w:eastAsia="仿宋_GB2312" w:cs="仿宋_GB2312"/>
          <w:highlight w:val="none"/>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highlight w:val="none"/>
        </w:rPr>
      </w:pPr>
      <w:bookmarkStart w:id="1" w:name="_Toc_4_4_0000000005"/>
      <w:r>
        <w:rPr>
          <w:rFonts w:hint="eastAsia" w:ascii="仿宋_GB2312" w:hAnsi="仿宋_GB2312" w:eastAsia="仿宋_GB2312" w:cs="仿宋_GB2312"/>
          <w:color w:val="000000"/>
          <w:sz w:val="28"/>
          <w:highlight w:val="none"/>
        </w:rPr>
        <w:t>2.合同制教师人员经费绩效目标表</w:t>
      </w:r>
      <w:bookmarkEnd w:id="1"/>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3"/>
        <w:gridCol w:w="1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绩效目标</w:t>
            </w:r>
          </w:p>
        </w:tc>
        <w:tc>
          <w:tcPr>
            <w:tcW w:w="428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1.缓解教师短缺，保障教育教学正常的进行</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2.保障教学质量，提升教育水平</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3.保障合同制教师工资福利待遇，并及时发放。4.学生、学校、家长对合同制教师的满意度达到95%以上</w:t>
            </w:r>
            <w:r>
              <w:rPr>
                <w:rFonts w:hint="eastAsia" w:ascii="仿宋_GB2312" w:hAnsi="仿宋_GB2312" w:eastAsia="仿宋_GB2312" w:cs="仿宋_GB2312"/>
                <w:highlight w:val="none"/>
                <w:lang w:eastAsia="zh-CN"/>
              </w:rPr>
              <w:t>。</w:t>
            </w:r>
          </w:p>
        </w:tc>
      </w:tr>
    </w:tbl>
    <w:p>
      <w:pPr>
        <w:keepNext w:val="0"/>
        <w:keepLines w:val="0"/>
        <w:pageBreakBefore w:val="0"/>
        <w:kinsoku/>
        <w:wordWrap/>
        <w:overflowPunct/>
        <w:topLinePunct w:val="0"/>
        <w:autoSpaceDE/>
        <w:autoSpaceDN/>
        <w:bidi w:val="0"/>
        <w:adjustRightInd/>
        <w:snapToGrid/>
        <w:spacing w:before="0" w:after="0" w:line="240" w:lineRule="exact"/>
        <w:ind w:firstLine="0"/>
        <w:jc w:val="center"/>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color w:val="000000"/>
          <w:sz w:val="21"/>
          <w:highlight w:val="none"/>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2024"/>
        <w:gridCol w:w="2024"/>
        <w:gridCol w:w="4048"/>
        <w:gridCol w:w="2024"/>
        <w:gridCol w:w="20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一级指标</w:t>
            </w:r>
          </w:p>
        </w:tc>
        <w:tc>
          <w:tcPr>
            <w:tcW w:w="71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二级指标</w:t>
            </w:r>
          </w:p>
        </w:tc>
        <w:tc>
          <w:tcPr>
            <w:tcW w:w="71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三级指标</w:t>
            </w:r>
          </w:p>
        </w:tc>
        <w:tc>
          <w:tcPr>
            <w:tcW w:w="1428"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绩效指标描述</w:t>
            </w:r>
          </w:p>
        </w:tc>
        <w:tc>
          <w:tcPr>
            <w:tcW w:w="71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指标值</w:t>
            </w:r>
          </w:p>
        </w:tc>
        <w:tc>
          <w:tcPr>
            <w:tcW w:w="71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产出指标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数量指标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合同制教师在校人数</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保障2022合同制教师 34人工资福利</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34人</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质量指标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合同制教师完成岗位目标</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不同学科合同制教师岗位目标明确，并得以执行</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完成岗位目标职责</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质量指标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合同制教师的考核合格率</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合格率达到100%</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≥98%</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时效指标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资金支出率（%）</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按月支付合同制教师工资及缴纳社会保障及住房公积金</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≥95%</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成本指标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保障项目正常运行</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合同制教师薪酬测算标准</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根据廊广传【2021】19号文件合同制教师与在职教师同工同酬</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效益指标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社会效益指标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缓解师资供需矛盾</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缓解教师短缺，保障教育教学正常的进行</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缓解</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满意度指标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服务对象满意度指标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学生满意度</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所教班级学生满意度</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≥95%</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服务对象满意度指标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学校满意度</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在校教师满意度</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≥95%</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服务对象满意度指标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家长满意度</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所教班级家长满意度</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≥95%</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调查问卷</w:t>
            </w:r>
          </w:p>
        </w:tc>
      </w:tr>
    </w:tbl>
    <w:p>
      <w:pPr>
        <w:autoSpaceDE w:val="0"/>
        <w:autoSpaceDN w:val="0"/>
        <w:adjustRightInd w:val="0"/>
        <w:spacing w:line="584" w:lineRule="exact"/>
        <w:jc w:val="left"/>
        <w:rPr>
          <w:rFonts w:hint="eastAsia" w:ascii="Times New Roman" w:hAnsi="Times New Roman" w:eastAsia="黑体" w:cs="Times New Roman"/>
          <w:sz w:val="32"/>
          <w:szCs w:val="32"/>
          <w:lang w:eastAsia="zh-CN"/>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2"/>
    <w:p>
      <w:pPr>
        <w:jc w:val="center"/>
        <w:outlineLvl w:val="1"/>
        <w:rPr>
          <w:rFonts w:hint="eastAsia" w:ascii="方正小标宋_GBK" w:eastAsia="方正小标宋_GBK" w:cs="Times New Roman"/>
          <w:sz w:val="32"/>
        </w:rPr>
      </w:pPr>
      <w:bookmarkStart w:id="3"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3"/>
    </w:p>
    <w:p>
      <w:pPr>
        <w:jc w:val="left"/>
        <w:outlineLvl w:val="1"/>
        <w:rPr>
          <w:rFonts w:ascii="方正小标宋_GBK" w:eastAsia="方正小标宋_GBK" w:cs="Times New Roman"/>
          <w:sz w:val="32"/>
        </w:rPr>
      </w:pPr>
      <w:r>
        <w:t>廊坊市</w:t>
      </w:r>
      <w:r>
        <w:rPr>
          <w:rFonts w:hint="eastAsia"/>
          <w:lang w:eastAsia="zh-CN"/>
        </w:rPr>
        <w:t>广阳区</w:t>
      </w:r>
      <w:r>
        <w:rPr>
          <w:rFonts w:hint="eastAsia"/>
          <w:lang w:val="en-US" w:eastAsia="zh-CN"/>
        </w:rPr>
        <w:t>广阳区第三幼儿园</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廊坊市</w:t>
      </w:r>
      <w:r>
        <w:rPr>
          <w:rFonts w:hint="eastAsia" w:ascii="Times New Roman" w:hAnsi="Times New Roman" w:eastAsia="仿宋_GB2312" w:cs="Times New Roman"/>
          <w:color w:val="auto"/>
          <w:sz w:val="32"/>
          <w:szCs w:val="32"/>
          <w:lang w:eastAsia="zh-CN"/>
        </w:rPr>
        <w:t>广阳区</w:t>
      </w:r>
      <w:r>
        <w:rPr>
          <w:rFonts w:hint="eastAsia" w:ascii="Times New Roman" w:hAnsi="Times New Roman" w:eastAsia="仿宋_GB2312" w:cs="Times New Roman"/>
          <w:color w:val="auto"/>
          <w:sz w:val="32"/>
          <w:szCs w:val="32"/>
          <w:lang w:val="en-US" w:eastAsia="zh-CN"/>
        </w:rPr>
        <w:t>第三幼儿园</w:t>
      </w:r>
      <w:r>
        <w:rPr>
          <w:rFonts w:ascii="Times New Roman" w:hAnsi="Times New Roman" w:eastAsia="仿宋_GB2312" w:cs="Times New Roman"/>
          <w:color w:val="auto"/>
          <w:sz w:val="32"/>
          <w:szCs w:val="32"/>
        </w:rPr>
        <w:t>上年末固定资产金额为</w:t>
      </w:r>
      <w:r>
        <w:rPr>
          <w:rFonts w:hint="eastAsia" w:ascii="Times New Roman" w:hAnsi="Times New Roman" w:eastAsia="仿宋_GB2312" w:cs="Times New Roman"/>
          <w:color w:val="auto"/>
          <w:sz w:val="32"/>
          <w:szCs w:val="32"/>
          <w:lang w:val="en-US" w:eastAsia="zh-CN"/>
        </w:rPr>
        <w:t>103.45</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rPr>
        <w:t>（详见下表）</w:t>
      </w:r>
      <w:r>
        <w:rPr>
          <w:rFonts w:ascii="Times New Roman" w:hAnsi="Times New Roman" w:eastAsia="仿宋_GB2312" w:cs="Times New Roman"/>
          <w:color w:val="auto"/>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w:t>
            </w:r>
            <w:r>
              <w:rPr>
                <w:rFonts w:hint="eastAsia" w:ascii="Times New Roman" w:hAnsi="Times New Roman" w:eastAsia="仿宋_GB2312" w:cs="Times New Roman"/>
                <w:b/>
                <w:bCs/>
                <w:kern w:val="0"/>
                <w:sz w:val="32"/>
                <w:szCs w:val="32"/>
                <w:lang w:val="en-US" w:eastAsia="zh-CN"/>
              </w:rPr>
              <w:t>第三幼儿园</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lang w:val="en-US" w:eastAsia="zh-CN"/>
              </w:rPr>
              <w:t>第三幼儿园</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color w:val="auto"/>
                <w:sz w:val="32"/>
                <w:szCs w:val="32"/>
                <w:lang w:val="en-US" w:eastAsia="zh-CN"/>
              </w:rPr>
              <w:t>103.45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5091.2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98.91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77AAE1-7E0D-4D9C-A31F-E39AD10129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E247FC3A-D5F4-4144-B90E-CA08105B6875}"/>
  </w:font>
  <w:font w:name="仿宋_GB2312">
    <w:panose1 w:val="02010609030101010101"/>
    <w:charset w:val="86"/>
    <w:family w:val="modern"/>
    <w:pitch w:val="default"/>
    <w:sig w:usb0="00000001" w:usb1="080E0000" w:usb2="00000000" w:usb3="00000000" w:csb0="00040000" w:csb1="00000000"/>
    <w:embedRegular r:id="rId3" w:fontKey="{5BE7AA96-A6D1-4AD4-ACC8-9605683DC0FB}"/>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000000"/>
    <w:rsid w:val="11054AD5"/>
    <w:rsid w:val="11DF0569"/>
    <w:rsid w:val="3C7E45DA"/>
    <w:rsid w:val="5509768C"/>
    <w:rsid w:val="5877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4651</Words>
  <Characters>4888</Characters>
  <Paragraphs>438</Paragraphs>
  <TotalTime>1</TotalTime>
  <ScaleCrop>false</ScaleCrop>
  <LinksUpToDate>false</LinksUpToDate>
  <CharactersWithSpaces>5024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2023-08-02T01:40:23Z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1CE2E56B03394BF98A1418BFA77190FB</vt:lpwstr>
  </property>
</Properties>
</file>