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6" w:name="_GoBack"/>
      <w:bookmarkEnd w:id="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第三中学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第三中学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1、贯彻执行党和国家的教育方针、政策、法律法规，制定我校的长远规划和年度计划，并组织实施。</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2、负责教育基本信息的统计、分析。</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3、推进义务教育均衡发展和促进教育公平，全面实施素质教育。</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4、负责学校教师队伍的建设和管理，提高教师队伍素质</w:t>
      </w:r>
    </w:p>
    <w:p>
      <w:pPr>
        <w:widowControl/>
        <w:jc w:val="left"/>
        <w:rPr>
          <w:rFonts w:ascii="仿宋_GB2312" w:hAnsi="宋体" w:eastAsia="仿宋_GB2312" w:cs="宋体"/>
          <w:color w:val="000000"/>
          <w:kern w:val="0"/>
          <w:sz w:val="32"/>
          <w:szCs w:val="32"/>
        </w:rPr>
      </w:pP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5、负责本</w:t>
      </w:r>
      <w:r>
        <w:rPr>
          <w:rFonts w:hint="eastAsia" w:ascii="仿宋_GB2312" w:hAnsi="宋体" w:eastAsia="仿宋_GB2312" w:cs="宋体"/>
          <w:color w:val="000000"/>
          <w:kern w:val="0"/>
          <w:sz w:val="32"/>
          <w:szCs w:val="32"/>
          <w:lang w:eastAsia="zh-CN"/>
        </w:rPr>
        <w:t>单位</w:t>
      </w:r>
      <w:r>
        <w:rPr>
          <w:rFonts w:hint="eastAsia" w:ascii="仿宋_GB2312" w:hAnsi="宋体" w:eastAsia="仿宋_GB2312" w:cs="宋体"/>
          <w:color w:val="000000"/>
          <w:kern w:val="0"/>
          <w:sz w:val="32"/>
          <w:szCs w:val="32"/>
        </w:rPr>
        <w:t>教育经费的统筹管理，教育经费预决算工作，教育经费的管理和使用；统筹规划和管理学校基本建设和设施的配置及计划统计工作。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6、管理学校的党建、思想政治、宣传统战和维护稳定以及德育、体育、卫生防疫与艺术教育、国防教育工作。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7、负责做好学校的学生综合评价工作；负责管理本校教师学历教育及培训工作。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8、负责组织开展学校教育的督导评估、检查验收、质量监测等工作。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9、负责学校党的政治建设、思想建设、组织建设、作风建设、纪律建设和制度建设。</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10、负责学校学生和教师的思想政治工作，学校思想政治队伍建设和学校校本课程教育教学。</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11、负责学校安全稳定工作。</w:t>
      </w:r>
    </w:p>
    <w:p>
      <w:pPr>
        <w:widowControl/>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12、做好上级</w:t>
      </w:r>
      <w:r>
        <w:rPr>
          <w:rFonts w:hint="eastAsia" w:ascii="仿宋_GB2312" w:hAnsi="宋体" w:eastAsia="仿宋_GB2312" w:cs="宋体"/>
          <w:color w:val="000000"/>
          <w:kern w:val="0"/>
          <w:sz w:val="32"/>
          <w:szCs w:val="32"/>
          <w:lang w:eastAsia="zh-CN"/>
        </w:rPr>
        <w:t>单位</w:t>
      </w:r>
      <w:r>
        <w:rPr>
          <w:rFonts w:hint="eastAsia" w:ascii="仿宋_GB2312" w:hAnsi="宋体" w:eastAsia="仿宋_GB2312" w:cs="宋体"/>
          <w:color w:val="000000"/>
          <w:kern w:val="0"/>
          <w:sz w:val="32"/>
          <w:szCs w:val="32"/>
        </w:rPr>
        <w:t>交办的其他事项。</w:t>
      </w: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9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4"/>
        <w:gridCol w:w="1559"/>
        <w:gridCol w:w="1417"/>
        <w:gridCol w:w="3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52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559"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17"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448"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524" w:type="dxa"/>
            <w:vMerge w:val="continue"/>
            <w:shd w:val="clear" w:color="auto" w:fill="auto"/>
            <w:vAlign w:val="center"/>
          </w:tcPr>
          <w:p/>
        </w:tc>
        <w:tc>
          <w:tcPr>
            <w:tcW w:w="1559" w:type="dxa"/>
            <w:vMerge w:val="continue"/>
            <w:shd w:val="clear" w:color="auto" w:fill="auto"/>
            <w:vAlign w:val="center"/>
          </w:tcPr>
          <w:p/>
        </w:tc>
        <w:tc>
          <w:tcPr>
            <w:tcW w:w="1417" w:type="dxa"/>
            <w:vMerge w:val="continue"/>
            <w:shd w:val="clear" w:color="auto" w:fill="auto"/>
            <w:vAlign w:val="center"/>
          </w:tcPr>
          <w:p/>
        </w:tc>
        <w:tc>
          <w:tcPr>
            <w:tcW w:w="3448"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廊坊市第三中学</w:t>
            </w:r>
          </w:p>
        </w:tc>
        <w:tc>
          <w:tcPr>
            <w:tcW w:w="15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事业</w:t>
            </w:r>
          </w:p>
        </w:tc>
        <w:tc>
          <w:tcPr>
            <w:tcW w:w="1417" w:type="dxa"/>
            <w:shd w:val="clear" w:color="auto" w:fill="auto"/>
            <w:vAlign w:val="center"/>
          </w:tcPr>
          <w:p>
            <w:pPr>
              <w:spacing w:line="584" w:lineRule="exact"/>
              <w:rPr>
                <w:rFonts w:ascii="Times New Roman" w:hAnsi="Times New Roman" w:eastAsia="仿宋_GB2312" w:cs="Times New Roman"/>
                <w:b/>
              </w:rPr>
            </w:pPr>
          </w:p>
        </w:tc>
        <w:tc>
          <w:tcPr>
            <w:tcW w:w="3448" w:type="dxa"/>
            <w:shd w:val="clear" w:color="auto" w:fill="auto"/>
            <w:vAlign w:val="center"/>
          </w:tcPr>
          <w:p>
            <w:pPr>
              <w:spacing w:line="584" w:lineRule="exact"/>
              <w:jc w:val="center"/>
              <w:rPr>
                <w:rFonts w:ascii="仿宋_GB2312" w:hAnsi="Times New Roman" w:eastAsia="仿宋_GB2312" w:cs="Times New Roman"/>
                <w:b/>
                <w:szCs w:val="21"/>
              </w:rPr>
            </w:pPr>
            <w:r>
              <w:rPr>
                <w:rFonts w:hint="eastAsia" w:ascii="仿宋_GB2312" w:hAnsi="Times New Roman" w:eastAsia="仿宋_GB2312" w:cs="Times New Roman"/>
                <w:b/>
                <w:szCs w:val="21"/>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jc w:val="center"/>
        </w:trPr>
        <w:tc>
          <w:tcPr>
            <w:tcW w:w="3524" w:type="dxa"/>
            <w:shd w:val="clear" w:color="auto" w:fill="auto"/>
            <w:vAlign w:val="center"/>
          </w:tcPr>
          <w:p>
            <w:pPr>
              <w:spacing w:line="584" w:lineRule="exact"/>
              <w:jc w:val="left"/>
              <w:rPr>
                <w:rFonts w:ascii="Times New Roman" w:hAnsi="Times New Roman" w:eastAsia="仿宋_GB2312" w:cs="Times New Roman"/>
              </w:rPr>
            </w:pPr>
          </w:p>
        </w:tc>
        <w:tc>
          <w:tcPr>
            <w:tcW w:w="1559" w:type="dxa"/>
            <w:shd w:val="clear" w:color="auto" w:fill="auto"/>
            <w:vAlign w:val="center"/>
          </w:tcPr>
          <w:p>
            <w:pPr>
              <w:spacing w:line="584" w:lineRule="exact"/>
              <w:jc w:val="center"/>
              <w:rPr>
                <w:rFonts w:ascii="Times New Roman" w:hAnsi="Times New Roman" w:eastAsia="仿宋_GB2312" w:cs="Times New Roman"/>
              </w:rPr>
            </w:pPr>
          </w:p>
        </w:tc>
        <w:tc>
          <w:tcPr>
            <w:tcW w:w="1417" w:type="dxa"/>
            <w:shd w:val="clear" w:color="auto" w:fill="auto"/>
            <w:vAlign w:val="center"/>
          </w:tcPr>
          <w:p>
            <w:pPr>
              <w:spacing w:line="584" w:lineRule="exact"/>
              <w:jc w:val="center"/>
              <w:rPr>
                <w:rFonts w:ascii="Times New Roman" w:hAnsi="Times New Roman" w:eastAsia="仿宋_GB2312" w:cs="Times New Roman"/>
              </w:rPr>
            </w:pPr>
          </w:p>
        </w:tc>
        <w:tc>
          <w:tcPr>
            <w:tcW w:w="3448"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524" w:type="dxa"/>
            <w:shd w:val="clear" w:color="auto" w:fill="auto"/>
            <w:vAlign w:val="center"/>
          </w:tcPr>
          <w:p>
            <w:pPr>
              <w:spacing w:line="584" w:lineRule="exact"/>
              <w:jc w:val="left"/>
              <w:rPr>
                <w:rFonts w:ascii="Times New Roman" w:hAnsi="Times New Roman" w:eastAsia="仿宋_GB2312" w:cs="Times New Roman"/>
              </w:rPr>
            </w:pPr>
          </w:p>
        </w:tc>
        <w:tc>
          <w:tcPr>
            <w:tcW w:w="1559" w:type="dxa"/>
            <w:shd w:val="clear" w:color="auto" w:fill="auto"/>
            <w:vAlign w:val="center"/>
          </w:tcPr>
          <w:p>
            <w:pPr>
              <w:spacing w:line="584" w:lineRule="exact"/>
              <w:jc w:val="center"/>
              <w:rPr>
                <w:rFonts w:ascii="Times New Roman" w:hAnsi="Times New Roman" w:eastAsia="仿宋_GB2312" w:cs="Times New Roman"/>
              </w:rPr>
            </w:pPr>
          </w:p>
        </w:tc>
        <w:tc>
          <w:tcPr>
            <w:tcW w:w="1417" w:type="dxa"/>
            <w:shd w:val="clear" w:color="auto" w:fill="auto"/>
            <w:vAlign w:val="center"/>
          </w:tcPr>
          <w:p>
            <w:pPr>
              <w:spacing w:line="584" w:lineRule="exact"/>
              <w:jc w:val="center"/>
              <w:rPr>
                <w:rFonts w:ascii="Times New Roman" w:hAnsi="Times New Roman" w:eastAsia="仿宋_GB2312" w:cs="Times New Roman"/>
              </w:rPr>
            </w:pPr>
          </w:p>
        </w:tc>
        <w:tc>
          <w:tcPr>
            <w:tcW w:w="3448"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w:t>
      </w:r>
      <w:r>
        <w:rPr>
          <w:rFonts w:hint="eastAsia" w:ascii="Times New Roman" w:hAnsi="Times New Roman" w:eastAsia="仿宋_GB2312" w:cs="Times New Roman"/>
          <w:sz w:val="32"/>
          <w:szCs w:val="32"/>
        </w:rPr>
        <w:t>第三中学</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2年预算收入3395.47万元，其中：一般公共预算收入3395.47万元，基金预算收入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第三中学2022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2年支出预算3395.47万元，其中基本支出2941.92万元，包括人员类项目经费2903.02万元和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公用项目经费38.9万元；运转类其他及特定目标类项目支出453.55万元，</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本级支出，主要为</w:t>
      </w:r>
      <w:r>
        <w:rPr>
          <w:rFonts w:hint="eastAsia" w:ascii="Times New Roman" w:hAnsi="Times New Roman" w:eastAsia="仿宋_GB2312" w:cs="Times New Roman"/>
          <w:sz w:val="32"/>
          <w:szCs w:val="32"/>
        </w:rPr>
        <w:t>城乡义务教育生均公</w:t>
      </w:r>
      <w:r>
        <w:rPr>
          <w:rFonts w:hint="eastAsia" w:ascii="Times New Roman" w:hAnsi="Times New Roman" w:eastAsia="仿宋_GB2312" w:cs="Times New Roman"/>
          <w:color w:val="000000" w:themeColor="text1"/>
          <w:sz w:val="32"/>
          <w:szCs w:val="32"/>
          <w14:textFill>
            <w14:solidFill>
              <w14:schemeClr w14:val="tx1"/>
            </w14:solidFill>
          </w14:textFill>
        </w:rPr>
        <w:t>用经费</w:t>
      </w:r>
      <w:r>
        <w:rPr>
          <w:rFonts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教育经费、合同制教师人员经费</w:t>
      </w:r>
      <w:r>
        <w:rPr>
          <w:rFonts w:ascii="Times New Roman" w:hAnsi="Times New Roman" w:eastAsia="仿宋_GB2312" w:cs="Times New Roman"/>
          <w:color w:val="000000" w:themeColor="text1"/>
          <w:sz w:val="32"/>
          <w:szCs w:val="32"/>
          <w14:textFill>
            <w14:solidFill>
              <w14:schemeClr w14:val="tx1"/>
            </w14:solidFill>
          </w14:textFill>
        </w:rPr>
        <w:t>等</w:t>
      </w:r>
      <w:r>
        <w:rPr>
          <w:rFonts w:hint="eastAsia" w:ascii="Times New Roman" w:hAnsi="Times New Roman" w:eastAsia="仿宋_GB2312" w:cs="Times New Roman"/>
          <w:color w:val="000000" w:themeColor="text1"/>
          <w:sz w:val="32"/>
          <w:szCs w:val="32"/>
          <w14:textFill>
            <w14:solidFill>
              <w14:schemeClr w14:val="tx1"/>
            </w14:solidFill>
          </w14:textFill>
        </w:rPr>
        <w:t>资金</w:t>
      </w:r>
      <w:r>
        <w:rPr>
          <w:rFonts w:ascii="Times New Roman" w:hAnsi="Times New Roman" w:eastAsia="仿宋_GB2312" w:cs="Times New Roman"/>
          <w:color w:val="000000" w:themeColor="text1"/>
          <w:sz w:val="32"/>
          <w:szCs w:val="32"/>
          <w14:textFill>
            <w14:solidFill>
              <w14:schemeClr w14:val="tx1"/>
            </w14:solidFill>
          </w14:textFill>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2年预算收支安排3395.47万元，较20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rPr>
        <w:t>47.55</w:t>
      </w:r>
      <w:r>
        <w:rPr>
          <w:rFonts w:ascii="Times New Roman" w:hAnsi="Times New Roman" w:eastAsia="仿宋_GB2312" w:cs="Times New Roman"/>
          <w:sz w:val="32"/>
          <w:szCs w:val="32"/>
        </w:rPr>
        <w:t>万元，其中：基本支出增加减少</w:t>
      </w:r>
      <w:r>
        <w:rPr>
          <w:rFonts w:hint="eastAsia" w:ascii="Times New Roman" w:hAnsi="Times New Roman" w:eastAsia="仿宋_GB2312" w:cs="Times New Roman"/>
          <w:sz w:val="32"/>
          <w:szCs w:val="32"/>
        </w:rPr>
        <w:t>347.39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299.84</w:t>
      </w:r>
      <w:r>
        <w:rPr>
          <w:rFonts w:ascii="Times New Roman" w:hAnsi="Times New Roman" w:eastAsia="仿宋_GB2312" w:cs="Times New Roman"/>
          <w:sz w:val="32"/>
          <w:szCs w:val="32"/>
        </w:rPr>
        <w:t>万元，主要为</w:t>
      </w:r>
      <w:r>
        <w:rPr>
          <w:rFonts w:hint="eastAsia" w:ascii="Times New Roman" w:hAnsi="Times New Roman" w:eastAsia="仿宋_GB2312" w:cs="Times New Roman"/>
          <w:color w:val="000000" w:themeColor="text1"/>
          <w:sz w:val="32"/>
          <w:szCs w:val="32"/>
          <w14:textFill>
            <w14:solidFill>
              <w14:schemeClr w14:val="tx1"/>
            </w14:solidFill>
          </w14:textFill>
        </w:rPr>
        <w:t>教育经费、合同制教师人员经费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无三公经费预算安排。（</w:t>
      </w:r>
      <w:r>
        <w:rPr>
          <w:rFonts w:ascii="Times New Roman" w:hAnsi="Times New Roman" w:eastAsia="仿宋_GB2312" w:cs="Times New Roman"/>
          <w:color w:val="000000" w:themeColor="text1"/>
          <w:sz w:val="32"/>
          <w:szCs w:val="32"/>
          <w14:textFill>
            <w14:solidFill>
              <w14:schemeClr w14:val="tx1"/>
            </w14:solidFill>
          </w14:textFill>
        </w:rPr>
        <w:t>与20</w:t>
      </w: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1年相比</w:t>
      </w:r>
      <w:r>
        <w:rPr>
          <w:rFonts w:hint="eastAsia" w:ascii="Times New Roman" w:hAnsi="Times New Roman" w:eastAsia="仿宋_GB2312" w:cs="Times New Roman"/>
          <w:color w:val="000000" w:themeColor="text1"/>
          <w:sz w:val="32"/>
          <w:szCs w:val="32"/>
          <w14:textFill>
            <w14:solidFill>
              <w14:schemeClr w14:val="tx1"/>
            </w14:solidFill>
          </w14:textFill>
        </w:rPr>
        <w:t>持平</w:t>
      </w:r>
      <w:r>
        <w:rPr>
          <w:rFonts w:ascii="Times New Roman" w:hAnsi="Times New Roman" w:eastAsia="仿宋_GB2312" w:cs="Times New Roman"/>
          <w:color w:val="000000" w:themeColor="text1"/>
          <w:sz w:val="32"/>
          <w:szCs w:val="32"/>
          <w14:textFill>
            <w14:solidFill>
              <w14:schemeClr w14:val="tx1"/>
            </w14:solidFill>
          </w14:textFill>
        </w:rPr>
        <w:t>无增减变化</w:t>
      </w:r>
      <w:r>
        <w:rPr>
          <w:rFonts w:hint="eastAsia" w:ascii="Times New Roman" w:hAnsi="Times New Roman" w:eastAsia="仿宋_GB2312" w:cs="Times New Roman"/>
          <w:color w:val="000000" w:themeColor="text1"/>
          <w:sz w:val="32"/>
          <w:szCs w:val="32"/>
          <w14:textFill>
            <w14:solidFill>
              <w14:schemeClr w14:val="tx1"/>
            </w14:solidFill>
          </w14:textFill>
        </w:rPr>
        <w:t>）</w:t>
      </w:r>
    </w:p>
    <w:p>
      <w:pPr>
        <w:keepNext w:val="0"/>
        <w:keepLines w:val="0"/>
        <w:pageBreakBefore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topLinePunct w:val="0"/>
        <w:autoSpaceDE/>
        <w:autoSpaceDN/>
        <w:bidi w:val="0"/>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keepNext w:val="0"/>
        <w:keepLines w:val="0"/>
        <w:pageBreakBefore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kinsoku/>
        <w:wordWrap/>
        <w:topLinePunct w:val="0"/>
        <w:autoSpaceDE/>
        <w:autoSpaceDN/>
        <w:bidi w:val="0"/>
        <w:spacing w:line="584"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提高义务教育公用经费保障水平，继续完善教育基础设施，推进学校建设，加快提升装备水平，改善办学条件。打造一流教师队伍，补充师资力量，提高专业素质，完善考核机制；优化教育教学管理；消除大班额问题；建立中小学校舍安全保障机制，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keepNext w:val="0"/>
        <w:keepLines w:val="0"/>
        <w:pageBreakBefore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1、提高义务教育水平，免除城市区中小学生学杂费，提供免费教科书，解决大班额问题及入学难问题。对贫困中小学生进行补助。</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2、按质按量完成教育教学方面的各项任务，稳步提升学校的教育教学质量，学生综合素质评价优秀率达到85%,合格率达到100%。</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4、提升学校基础设施设备的整体水平。加强学校基础设施设备的维护,确保校园安全,落实校园防火及其他安全隐患的预防工作。确保校园各设施设备的正常运行。</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6、学校的文化宣传整体布局,建成学校校史馆,完成各班级、各科室及教师办公室的文化宣传布置。加大学校办学理念、目标的宣传,形成具有特色的校园文化氛围。</w:t>
      </w:r>
    </w:p>
    <w:p>
      <w:pPr>
        <w:keepNext w:val="0"/>
        <w:keepLines w:val="0"/>
        <w:pageBreakBefore w:val="0"/>
        <w:kinsoku/>
        <w:wordWrap/>
        <w:topLinePunct w:val="0"/>
        <w:autoSpaceDE/>
        <w:autoSpaceDN/>
        <w:bidi w:val="0"/>
        <w:spacing w:line="584" w:lineRule="exact"/>
        <w:ind w:firstLine="640" w:firstLineChars="200"/>
        <w:textAlignment w:val="auto"/>
        <w:rPr>
          <w:rFonts w:ascii="宋体" w:hAnsi="宋体" w:cs="宋体"/>
          <w:color w:val="000000"/>
          <w:kern w:val="0"/>
          <w:sz w:val="28"/>
          <w:szCs w:val="28"/>
        </w:rPr>
      </w:pPr>
      <w:r>
        <w:rPr>
          <w:rFonts w:hint="eastAsia" w:ascii="仿宋_GB2312" w:hAnsi="宋体" w:eastAsia="仿宋_GB2312" w:cs="宋体"/>
          <w:color w:val="000000"/>
          <w:kern w:val="0"/>
          <w:sz w:val="32"/>
          <w:szCs w:val="32"/>
        </w:rPr>
        <w:t>7、办人民满意的学校,教师、学生、家长整体满意度达到90%以上。</w:t>
      </w:r>
    </w:p>
    <w:p>
      <w:pPr>
        <w:keepNext w:val="0"/>
        <w:keepLines w:val="0"/>
        <w:pageBreakBefore w:val="0"/>
        <w:kinsoku/>
        <w:wordWrap/>
        <w:topLinePunct w:val="0"/>
        <w:autoSpaceDE/>
        <w:autoSpaceDN/>
        <w:bidi w:val="0"/>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1、成立学校监督小组，监督学校工作，强化工作落实。</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keepNext w:val="0"/>
        <w:keepLines w:val="0"/>
        <w:pageBreakBefore w:val="0"/>
        <w:widowControl/>
        <w:kinsoku/>
        <w:wordWrap/>
        <w:topLinePunct w:val="0"/>
        <w:autoSpaceDE/>
        <w:autoSpaceDN/>
        <w:bidi w:val="0"/>
        <w:spacing w:line="584" w:lineRule="exact"/>
        <w:ind w:firstLine="640" w:firstLineChars="200"/>
        <w:jc w:val="left"/>
        <w:textAlignment w:val="auto"/>
        <w:rPr>
          <w:rFonts w:ascii="仿宋_GB2312" w:eastAsia="仿宋_GB2312" w:cs="宋体"/>
          <w:color w:val="000000"/>
          <w:kern w:val="0"/>
          <w:sz w:val="32"/>
          <w:szCs w:val="32"/>
        </w:rPr>
      </w:pPr>
      <w:r>
        <w:rPr>
          <w:rFonts w:hint="eastAsia" w:ascii="仿宋_GB2312" w:hAnsi="宋体" w:eastAsia="仿宋_GB2312" w:cs="宋体"/>
          <w:color w:val="000000"/>
          <w:kern w:val="0"/>
          <w:sz w:val="32"/>
          <w:szCs w:val="32"/>
        </w:rPr>
        <w:t>6、加强政治理论学习，强化党风廉政建设。做好师德传承活动，落实老中青传帮带。弘扬办学精神。加强师德宣传与学习活动。开展形式多样、扎实有效的师德教育活动。</w:t>
      </w:r>
    </w:p>
    <w:p>
      <w:pPr>
        <w:keepNext w:val="0"/>
        <w:keepLines w:val="0"/>
        <w:pageBreakBefore w:val="0"/>
        <w:widowControl/>
        <w:kinsoku/>
        <w:wordWrap/>
        <w:topLinePunct w:val="0"/>
        <w:autoSpaceDE/>
        <w:autoSpaceDN/>
        <w:bidi w:val="0"/>
        <w:spacing w:line="584" w:lineRule="exact"/>
        <w:jc w:val="left"/>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逐步制订、完善相关制度，规范教师师德。加强校本培训和继续教育工作，提升教师能力。落实教师评价工作，完善考核机制。搭建教师发展平台。</w:t>
      </w:r>
    </w:p>
    <w:p>
      <w:pPr>
        <w:keepNext w:val="0"/>
        <w:keepLines w:val="0"/>
        <w:pageBreakBefore w:val="0"/>
        <w:kinsoku/>
        <w:wordWrap/>
        <w:overflowPunct w:val="0"/>
        <w:topLinePunct w:val="0"/>
        <w:autoSpaceDE/>
        <w:autoSpaceDN/>
        <w:bidi w:val="0"/>
        <w:adjustRightInd w:val="0"/>
        <w:snapToGrid w:val="0"/>
        <w:spacing w:afterLines="50" w:line="584" w:lineRule="exact"/>
        <w:ind w:firstLine="630" w:firstLineChars="196"/>
        <w:jc w:val="left"/>
        <w:textAlignment w:val="auto"/>
        <w:rPr>
          <w:rFonts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3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77"/>
        <w:gridCol w:w="992"/>
        <w:gridCol w:w="2126"/>
        <w:gridCol w:w="3544"/>
        <w:gridCol w:w="1984"/>
        <w:gridCol w:w="567"/>
        <w:gridCol w:w="581"/>
        <w:gridCol w:w="140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2" w:hRule="atLeast"/>
          <w:tblHeader/>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9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354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52"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5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27" w:hRule="atLeast"/>
          <w:tblHeader/>
          <w:jc w:val="center"/>
        </w:trPr>
        <w:tc>
          <w:tcPr>
            <w:tcW w:w="577" w:type="dxa"/>
            <w:vMerge w:val="continue"/>
            <w:tcBorders>
              <w:tl2br w:val="nil"/>
              <w:tr2bl w:val="nil"/>
            </w:tcBorders>
            <w:vAlign w:val="center"/>
          </w:tcPr>
          <w:p/>
        </w:tc>
        <w:tc>
          <w:tcPr>
            <w:tcW w:w="992" w:type="dxa"/>
            <w:vMerge w:val="continue"/>
            <w:tcBorders>
              <w:tl2br w:val="nil"/>
              <w:tr2bl w:val="nil"/>
            </w:tcBorders>
            <w:vAlign w:val="center"/>
          </w:tcPr>
          <w:p/>
        </w:tc>
        <w:tc>
          <w:tcPr>
            <w:tcW w:w="2126" w:type="dxa"/>
            <w:vMerge w:val="continue"/>
            <w:tcBorders>
              <w:tl2br w:val="nil"/>
              <w:tr2bl w:val="nil"/>
            </w:tcBorders>
            <w:vAlign w:val="center"/>
          </w:tcPr>
          <w:p/>
        </w:tc>
        <w:tc>
          <w:tcPr>
            <w:tcW w:w="3544" w:type="dxa"/>
            <w:vMerge w:val="continue"/>
            <w:tcBorders>
              <w:tl2br w:val="nil"/>
              <w:tr2bl w:val="nil"/>
            </w:tcBorders>
            <w:vAlign w:val="center"/>
          </w:tcPr>
          <w:p/>
        </w:tc>
        <w:tc>
          <w:tcPr>
            <w:tcW w:w="1984" w:type="dxa"/>
            <w:vMerge w:val="continue"/>
            <w:tcBorders>
              <w:tl2br w:val="nil"/>
              <w:tr2bl w:val="nil"/>
            </w:tcBorders>
            <w:vAlign w:val="center"/>
          </w:tcPr>
          <w:p/>
        </w:tc>
        <w:tc>
          <w:tcPr>
            <w:tcW w:w="5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8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40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50"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86" w:hRule="atLeast"/>
          <w:jc w:val="center"/>
        </w:trPr>
        <w:tc>
          <w:tcPr>
            <w:tcW w:w="577"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初中生毕业生合格率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20分毕业生合格率100%得满分，否则不得分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初中生毕业生合格率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10分不低于95%得满分，否则不得分每减少1%扣1分，扣完为止</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重点工作实际完成率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20分合格率100%得满分，否则不得分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采购物资、建设工程合格率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100</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2"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10分及时完成得满分，否则不得分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学校的各项工作任务及时完成情况</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及时</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教育经费使用控制率</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10分教育经费决算数不大于调整预算数得满分，否则不得分</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支出的公用经费总额与预算安排的比率</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决算数不大于调整预算数</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6" w:hRule="atLeast"/>
          <w:jc w:val="center"/>
        </w:trPr>
        <w:tc>
          <w:tcPr>
            <w:tcW w:w="577"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126"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义务教育高质量发展</w:t>
            </w:r>
          </w:p>
        </w:tc>
        <w:tc>
          <w:tcPr>
            <w:tcW w:w="354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10分学生、家长、社会对学校整体满意度达到95%得满分，每降低1%扣1分，扣完为止。</w:t>
            </w:r>
          </w:p>
        </w:tc>
        <w:tc>
          <w:tcPr>
            <w:tcW w:w="1984"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推动义务教育从数量扩张向质量提高转变</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lang w:eastAsia="zh-CN"/>
              </w:rPr>
              <w:t>单位</w:t>
            </w:r>
            <w:r>
              <w:rPr>
                <w:rFonts w:hint="eastAsia" w:ascii="仿宋_GB2312" w:hAnsi="仿宋_GB2312" w:eastAsia="仿宋_GB2312" w:cs="仿宋_GB2312"/>
                <w:color w:val="000000"/>
                <w:sz w:val="2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62"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满意度</w:t>
            </w:r>
          </w:p>
        </w:tc>
        <w:tc>
          <w:tcPr>
            <w:tcW w:w="2126"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354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10分在校师生的满意度达到95%得满分，每降低1%扣1分，扣完为止。</w:t>
            </w:r>
          </w:p>
        </w:tc>
        <w:tc>
          <w:tcPr>
            <w:tcW w:w="198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在校师生的满意程度</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6" w:hRule="atLeast"/>
          <w:jc w:val="center"/>
        </w:trPr>
        <w:tc>
          <w:tcPr>
            <w:tcW w:w="577" w:type="dxa"/>
            <w:vMerge w:val="continue"/>
            <w:tcBorders>
              <w:tl2br w:val="nil"/>
              <w:tr2bl w:val="nil"/>
            </w:tcBorders>
            <w:vAlign w:val="center"/>
          </w:tcPr>
          <w:p/>
        </w:tc>
        <w:tc>
          <w:tcPr>
            <w:tcW w:w="99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126"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354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10分家长的满意度达到95%得满分，每降低1%扣1分，扣完为止。</w:t>
            </w:r>
          </w:p>
        </w:tc>
        <w:tc>
          <w:tcPr>
            <w:tcW w:w="1984" w:type="dxa"/>
            <w:tcBorders>
              <w:tl2br w:val="nil"/>
              <w:tr2bl w:val="nil"/>
            </w:tcBorders>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家长的满意程度</w:t>
            </w:r>
          </w:p>
        </w:tc>
        <w:tc>
          <w:tcPr>
            <w:tcW w:w="567"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581"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95</w:t>
            </w:r>
          </w:p>
        </w:tc>
        <w:tc>
          <w:tcPr>
            <w:tcW w:w="1404" w:type="dxa"/>
            <w:tcBorders>
              <w:tl2br w:val="nil"/>
              <w:tr2bl w:val="nil"/>
            </w:tcBorders>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tc>
        <w:tc>
          <w:tcPr>
            <w:tcW w:w="1350" w:type="dxa"/>
            <w:tcBorders>
              <w:tl2br w:val="nil"/>
              <w:tr2bl w:val="nil"/>
            </w:tcBorders>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调查问卷</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6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0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1.保障义务教育教学正常的进行。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2.改善办学条件，提升教育环境。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3.开展教师培训，提高教师队伍水平。</w:t>
            </w:r>
          </w:p>
          <w:p>
            <w:pPr>
              <w:pStyle w:val="14"/>
              <w:rPr>
                <w:rFonts w:hint="eastAsia" w:ascii="仿宋_GB2312" w:hAnsi="仿宋_GB2312" w:eastAsia="仿宋_GB2312" w:cs="仿宋_GB2312"/>
              </w:rPr>
            </w:pPr>
            <w:r>
              <w:rPr>
                <w:rFonts w:hint="eastAsia" w:ascii="仿宋_GB2312" w:hAnsi="仿宋_GB2312" w:eastAsia="仿宋_GB2312" w:cs="仿宋_GB2312"/>
              </w:rPr>
              <w:t>4.开展文体活动，提高学生综合素质。</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2"/>
        <w:gridCol w:w="759"/>
        <w:gridCol w:w="2114"/>
        <w:gridCol w:w="2693"/>
        <w:gridCol w:w="976"/>
        <w:gridCol w:w="4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81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75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211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9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9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459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1680人</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continue"/>
            <w:vAlign w:val="center"/>
          </w:tcPr>
          <w:p>
            <w:pPr>
              <w:rPr>
                <w:rFonts w:hint="eastAsia" w:ascii="仿宋_GB2312" w:hAnsi="仿宋_GB2312" w:eastAsia="仿宋_GB2312" w:cs="仿宋_GB2312"/>
              </w:rPr>
            </w:pP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continue"/>
            <w:vAlign w:val="center"/>
          </w:tcPr>
          <w:p>
            <w:pPr>
              <w:rPr>
                <w:rFonts w:hint="eastAsia" w:ascii="仿宋_GB2312" w:hAnsi="仿宋_GB2312" w:eastAsia="仿宋_GB2312" w:cs="仿宋_GB2312"/>
              </w:rPr>
            </w:pP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Merge w:val="continue"/>
            <w:vAlign w:val="center"/>
          </w:tcPr>
          <w:p>
            <w:pPr>
              <w:rPr>
                <w:rFonts w:hint="eastAsia" w:ascii="仿宋_GB2312" w:hAnsi="仿宋_GB2312" w:eastAsia="仿宋_GB2312" w:cs="仿宋_GB2312"/>
              </w:rPr>
            </w:pP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2"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5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1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9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459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2.城乡义务教育生均公用经费[中央]绩效目标表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018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1018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1.廊坊市第三中学学校对2022年在校学生1680人，按照义务教育生均公用经费标准申请财政预算资金，通过合理、合规使用资金达到保证学校正常运转，改善办学条件，促进义务教育发展。</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3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5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364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1680人</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使用生均公用经费，用于保障学校正常运转的项目支出成本等于935元/生</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935元</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廊财教[2021]62号文件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5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364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79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796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4"/>
              <w:rPr>
                <w:rFonts w:hint="eastAsia" w:ascii="仿宋_GB2312" w:hAnsi="仿宋_GB2312" w:eastAsia="仿宋_GB2312" w:cs="仿宋_GB2312"/>
              </w:rPr>
            </w:pPr>
            <w:r>
              <w:rPr>
                <w:rFonts w:hint="eastAsia" w:ascii="仿宋_GB2312" w:hAnsi="仿宋_GB2312" w:eastAsia="仿宋_GB2312" w:cs="仿宋_GB2312"/>
              </w:rPr>
              <w:t>3.保障合同制教师工资福利待遇，并及时发放。</w:t>
            </w:r>
          </w:p>
          <w:p>
            <w:pPr>
              <w:pStyle w:val="14"/>
              <w:rPr>
                <w:rFonts w:hint="eastAsia" w:ascii="仿宋_GB2312" w:hAnsi="仿宋_GB2312" w:eastAsia="仿宋_GB2312" w:cs="仿宋_GB2312"/>
              </w:rPr>
            </w:pPr>
            <w:r>
              <w:rPr>
                <w:rFonts w:hint="eastAsia" w:ascii="仿宋_GB2312" w:hAnsi="仿宋_GB2312" w:eastAsia="仿宋_GB2312" w:cs="仿宋_GB2312"/>
              </w:rPr>
              <w:t>4.学生、学校、家长对合同制教师的满意度达到95%以上</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232"/>
        <w:gridCol w:w="1485"/>
        <w:gridCol w:w="15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2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85"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5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保障2022合同制教师 26人工资福利</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26人</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≥98%</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缓解</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22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148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5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spacing w:before="0" w:after="0" w:line="240" w:lineRule="auto"/>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spacing w:before="0" w:after="0"/>
        <w:ind w:firstLine="560"/>
        <w:jc w:val="left"/>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972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972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4"/>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4"/>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4"/>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before="0" w:after="0" w:line="2" w:lineRule="exact"/>
        <w:ind w:firstLine="0"/>
        <w:jc w:val="center"/>
        <w:outlineLvl w:val="9"/>
        <w:rPr>
          <w:rFonts w:hint="eastAsia" w:ascii="仿宋_GB2312" w:hAnsi="仿宋_GB2312" w:eastAsia="仿宋_GB2312" w:cs="仿宋_GB2312"/>
        </w:rPr>
      </w:pPr>
      <w:r>
        <w:rPr>
          <w:rFonts w:hint="eastAsia" w:ascii="仿宋_GB2312" w:hAnsi="仿宋_GB2312" w:eastAsia="仿宋_GB2312" w:cs="仿宋_GB2312"/>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70"/>
        <w:gridCol w:w="2674"/>
        <w:gridCol w:w="1467"/>
        <w:gridCol w:w="20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2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2170"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674"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46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03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≤57.32万元</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rPr>
            </w:pPr>
          </w:p>
        </w:tc>
        <w:tc>
          <w:tcPr>
            <w:tcW w:w="132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70"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2674"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03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5"/>
    </w:p>
    <w:p>
      <w:pPr>
        <w:outlineLvl w:val="1"/>
        <w:rPr>
          <w:rFonts w:ascii="方正小标宋_GBK" w:eastAsia="方正小标宋_GBK" w:cs="Times New Roman"/>
          <w:sz w:val="32"/>
        </w:rPr>
      </w:pPr>
      <w:r>
        <w:rPr>
          <w:rFonts w:hint="eastAsia"/>
        </w:rPr>
        <w:t>廊坊市第三中学</w:t>
      </w:r>
      <w:r>
        <w:t xml:space="preserve">                                                                                                         单位：万元</w:t>
      </w:r>
    </w:p>
    <w:tbl>
      <w:tblPr>
        <w:tblStyle w:val="8"/>
        <w:tblW w:w="1550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3"/>
        <w:gridCol w:w="970"/>
        <w:gridCol w:w="1141"/>
        <w:gridCol w:w="1141"/>
        <w:gridCol w:w="713"/>
        <w:gridCol w:w="855"/>
        <w:gridCol w:w="855"/>
        <w:gridCol w:w="970"/>
        <w:gridCol w:w="970"/>
        <w:gridCol w:w="970"/>
        <w:gridCol w:w="970"/>
        <w:gridCol w:w="970"/>
        <w:gridCol w:w="970"/>
        <w:gridCol w:w="970"/>
        <w:gridCol w:w="970"/>
        <w:gridCol w:w="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blHeader/>
          <w:jc w:val="center"/>
        </w:trPr>
        <w:tc>
          <w:tcPr>
            <w:tcW w:w="2073" w:type="dxa"/>
            <w:gridSpan w:val="2"/>
            <w:vAlign w:val="center"/>
          </w:tcPr>
          <w:p>
            <w:pPr>
              <w:pStyle w:val="12"/>
            </w:pPr>
            <w:r>
              <w:t>政府采购项目来源</w:t>
            </w:r>
          </w:p>
        </w:tc>
        <w:tc>
          <w:tcPr>
            <w:tcW w:w="1141" w:type="dxa"/>
            <w:vMerge w:val="restart"/>
            <w:vAlign w:val="center"/>
          </w:tcPr>
          <w:p>
            <w:pPr>
              <w:pStyle w:val="12"/>
            </w:pPr>
            <w:r>
              <w:t>采购物品名称</w:t>
            </w:r>
          </w:p>
        </w:tc>
        <w:tc>
          <w:tcPr>
            <w:tcW w:w="1141" w:type="dxa"/>
            <w:vMerge w:val="restart"/>
            <w:vAlign w:val="center"/>
          </w:tcPr>
          <w:p>
            <w:pPr>
              <w:pStyle w:val="12"/>
            </w:pPr>
            <w:r>
              <w:t>政府采购目录序号</w:t>
            </w:r>
          </w:p>
        </w:tc>
        <w:tc>
          <w:tcPr>
            <w:tcW w:w="713" w:type="dxa"/>
            <w:vMerge w:val="restart"/>
            <w:vAlign w:val="center"/>
          </w:tcPr>
          <w:p>
            <w:pPr>
              <w:pStyle w:val="12"/>
            </w:pPr>
            <w:r>
              <w:t>计量  单位</w:t>
            </w:r>
          </w:p>
        </w:tc>
        <w:tc>
          <w:tcPr>
            <w:tcW w:w="855" w:type="dxa"/>
            <w:vMerge w:val="restart"/>
            <w:vAlign w:val="center"/>
          </w:tcPr>
          <w:p>
            <w:pPr>
              <w:pStyle w:val="12"/>
            </w:pPr>
            <w:r>
              <w:t>数量</w:t>
            </w:r>
          </w:p>
        </w:tc>
        <w:tc>
          <w:tcPr>
            <w:tcW w:w="855" w:type="dxa"/>
            <w:vMerge w:val="restart"/>
            <w:vAlign w:val="center"/>
          </w:tcPr>
          <w:p>
            <w:pPr>
              <w:pStyle w:val="12"/>
            </w:pPr>
            <w:r>
              <w:t>单价</w:t>
            </w:r>
          </w:p>
        </w:tc>
        <w:tc>
          <w:tcPr>
            <w:tcW w:w="7760" w:type="dxa"/>
            <w:gridSpan w:val="8"/>
            <w:vAlign w:val="center"/>
          </w:tcPr>
          <w:p>
            <w:pPr>
              <w:pStyle w:val="12"/>
            </w:pPr>
            <w:r>
              <w:t>政府采购金额（当年</w:t>
            </w:r>
            <w:r>
              <w:rPr>
                <w:rFonts w:hint="eastAsia"/>
                <w:lang w:eastAsia="zh-CN"/>
              </w:rPr>
              <w:t>单位</w:t>
            </w:r>
            <w:r>
              <w:t>预算安排资金）</w:t>
            </w:r>
          </w:p>
        </w:tc>
        <w:tc>
          <w:tcPr>
            <w:tcW w:w="970"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02" w:hRule="atLeast"/>
          <w:tblHeader/>
          <w:jc w:val="center"/>
        </w:trPr>
        <w:tc>
          <w:tcPr>
            <w:tcW w:w="1103" w:type="dxa"/>
            <w:vAlign w:val="center"/>
          </w:tcPr>
          <w:p>
            <w:pPr>
              <w:pStyle w:val="12"/>
            </w:pPr>
            <w:r>
              <w:t>项目名称</w:t>
            </w:r>
          </w:p>
        </w:tc>
        <w:tc>
          <w:tcPr>
            <w:tcW w:w="970" w:type="dxa"/>
            <w:vAlign w:val="center"/>
          </w:tcPr>
          <w:p>
            <w:pPr>
              <w:pStyle w:val="12"/>
            </w:pPr>
            <w:r>
              <w:t>预算    资金</w:t>
            </w:r>
          </w:p>
        </w:tc>
        <w:tc>
          <w:tcPr>
            <w:tcW w:w="1141" w:type="dxa"/>
            <w:vMerge w:val="continue"/>
          </w:tcPr>
          <w:p/>
        </w:tc>
        <w:tc>
          <w:tcPr>
            <w:tcW w:w="1141" w:type="dxa"/>
            <w:vMerge w:val="continue"/>
          </w:tcPr>
          <w:p/>
        </w:tc>
        <w:tc>
          <w:tcPr>
            <w:tcW w:w="713" w:type="dxa"/>
            <w:vMerge w:val="continue"/>
          </w:tcPr>
          <w:p/>
        </w:tc>
        <w:tc>
          <w:tcPr>
            <w:tcW w:w="855" w:type="dxa"/>
            <w:vMerge w:val="continue"/>
          </w:tcPr>
          <w:p/>
        </w:tc>
        <w:tc>
          <w:tcPr>
            <w:tcW w:w="855" w:type="dxa"/>
            <w:vMerge w:val="continue"/>
          </w:tcPr>
          <w:p/>
        </w:tc>
        <w:tc>
          <w:tcPr>
            <w:tcW w:w="970" w:type="dxa"/>
            <w:vAlign w:val="center"/>
          </w:tcPr>
          <w:p>
            <w:pPr>
              <w:pStyle w:val="12"/>
            </w:pPr>
            <w:r>
              <w:t>合计</w:t>
            </w:r>
          </w:p>
        </w:tc>
        <w:tc>
          <w:tcPr>
            <w:tcW w:w="970" w:type="dxa"/>
            <w:vAlign w:val="center"/>
          </w:tcPr>
          <w:p>
            <w:pPr>
              <w:pStyle w:val="12"/>
            </w:pPr>
            <w:r>
              <w:t>一般公共预算拨款</w:t>
            </w:r>
          </w:p>
        </w:tc>
        <w:tc>
          <w:tcPr>
            <w:tcW w:w="970" w:type="dxa"/>
            <w:vAlign w:val="center"/>
          </w:tcPr>
          <w:p>
            <w:pPr>
              <w:pStyle w:val="12"/>
            </w:pPr>
            <w:r>
              <w:t>基金预算拨款</w:t>
            </w:r>
          </w:p>
        </w:tc>
        <w:tc>
          <w:tcPr>
            <w:tcW w:w="970" w:type="dxa"/>
            <w:vAlign w:val="center"/>
          </w:tcPr>
          <w:p>
            <w:pPr>
              <w:pStyle w:val="12"/>
            </w:pPr>
            <w:r>
              <w:t>国有资本经营预算拨款</w:t>
            </w:r>
          </w:p>
        </w:tc>
        <w:tc>
          <w:tcPr>
            <w:tcW w:w="970" w:type="dxa"/>
            <w:vAlign w:val="center"/>
          </w:tcPr>
          <w:p>
            <w:pPr>
              <w:pStyle w:val="12"/>
            </w:pPr>
            <w:r>
              <w:t>财政专户核拨</w:t>
            </w:r>
          </w:p>
        </w:tc>
        <w:tc>
          <w:tcPr>
            <w:tcW w:w="970" w:type="dxa"/>
            <w:vAlign w:val="center"/>
          </w:tcPr>
          <w:p>
            <w:pPr>
              <w:pStyle w:val="12"/>
            </w:pPr>
            <w:r>
              <w:t>单位    资金</w:t>
            </w:r>
          </w:p>
        </w:tc>
        <w:tc>
          <w:tcPr>
            <w:tcW w:w="970" w:type="dxa"/>
            <w:vAlign w:val="center"/>
          </w:tcPr>
          <w:p>
            <w:pPr>
              <w:pStyle w:val="12"/>
            </w:pPr>
            <w:r>
              <w:t>财政拨    款结转</w:t>
            </w:r>
          </w:p>
        </w:tc>
        <w:tc>
          <w:tcPr>
            <w:tcW w:w="970" w:type="dxa"/>
            <w:vAlign w:val="center"/>
          </w:tcPr>
          <w:p>
            <w:pPr>
              <w:pStyle w:val="12"/>
            </w:pPr>
            <w:r>
              <w:t>非财政    拨款结    转结余</w:t>
            </w:r>
          </w:p>
        </w:tc>
        <w:tc>
          <w:tcPr>
            <w:tcW w:w="9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103" w:type="dxa"/>
            <w:vAlign w:val="center"/>
          </w:tcPr>
          <w:p>
            <w:pPr>
              <w:pStyle w:val="16"/>
            </w:pPr>
            <w:r>
              <w:t>合  计</w:t>
            </w:r>
          </w:p>
        </w:tc>
        <w:tc>
          <w:tcPr>
            <w:tcW w:w="970" w:type="dxa"/>
            <w:vAlign w:val="center"/>
          </w:tcPr>
          <w:p>
            <w:pPr>
              <w:pStyle w:val="17"/>
            </w:pPr>
          </w:p>
        </w:tc>
        <w:tc>
          <w:tcPr>
            <w:tcW w:w="1141" w:type="dxa"/>
            <w:vAlign w:val="center"/>
          </w:tcPr>
          <w:p>
            <w:pPr>
              <w:pStyle w:val="18"/>
            </w:pPr>
          </w:p>
        </w:tc>
        <w:tc>
          <w:tcPr>
            <w:tcW w:w="1141" w:type="dxa"/>
            <w:vAlign w:val="center"/>
          </w:tcPr>
          <w:p>
            <w:pPr>
              <w:pStyle w:val="18"/>
            </w:pPr>
          </w:p>
        </w:tc>
        <w:tc>
          <w:tcPr>
            <w:tcW w:w="713" w:type="dxa"/>
            <w:vAlign w:val="center"/>
          </w:tcPr>
          <w:p>
            <w:pPr>
              <w:pStyle w:val="16"/>
            </w:pPr>
          </w:p>
        </w:tc>
        <w:tc>
          <w:tcPr>
            <w:tcW w:w="855" w:type="dxa"/>
            <w:vAlign w:val="center"/>
          </w:tcPr>
          <w:p>
            <w:pPr>
              <w:pStyle w:val="17"/>
            </w:pPr>
          </w:p>
        </w:tc>
        <w:tc>
          <w:tcPr>
            <w:tcW w:w="855"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0" w:hRule="atLeast"/>
          <w:jc w:val="center"/>
        </w:trPr>
        <w:tc>
          <w:tcPr>
            <w:tcW w:w="1103" w:type="dxa"/>
            <w:vAlign w:val="center"/>
          </w:tcPr>
          <w:p>
            <w:pPr>
              <w:pStyle w:val="16"/>
            </w:pPr>
          </w:p>
        </w:tc>
        <w:tc>
          <w:tcPr>
            <w:tcW w:w="970" w:type="dxa"/>
            <w:vAlign w:val="center"/>
          </w:tcPr>
          <w:p>
            <w:pPr>
              <w:pStyle w:val="17"/>
            </w:pPr>
          </w:p>
        </w:tc>
        <w:tc>
          <w:tcPr>
            <w:tcW w:w="1141" w:type="dxa"/>
            <w:vAlign w:val="center"/>
          </w:tcPr>
          <w:p>
            <w:pPr>
              <w:pStyle w:val="18"/>
            </w:pPr>
          </w:p>
        </w:tc>
        <w:tc>
          <w:tcPr>
            <w:tcW w:w="1141" w:type="dxa"/>
            <w:vAlign w:val="center"/>
          </w:tcPr>
          <w:p>
            <w:pPr>
              <w:pStyle w:val="18"/>
            </w:pPr>
          </w:p>
        </w:tc>
        <w:tc>
          <w:tcPr>
            <w:tcW w:w="713" w:type="dxa"/>
            <w:vAlign w:val="center"/>
          </w:tcPr>
          <w:p>
            <w:pPr>
              <w:pStyle w:val="16"/>
            </w:pPr>
          </w:p>
        </w:tc>
        <w:tc>
          <w:tcPr>
            <w:tcW w:w="855" w:type="dxa"/>
            <w:vAlign w:val="center"/>
          </w:tcPr>
          <w:p>
            <w:pPr>
              <w:pStyle w:val="17"/>
            </w:pPr>
          </w:p>
        </w:tc>
        <w:tc>
          <w:tcPr>
            <w:tcW w:w="855"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c>
          <w:tcPr>
            <w:tcW w:w="97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jc w:val="center"/>
        </w:trPr>
        <w:tc>
          <w:tcPr>
            <w:tcW w:w="1103" w:type="dxa"/>
            <w:vAlign w:val="center"/>
          </w:tcPr>
          <w:p>
            <w:pPr>
              <w:pStyle w:val="14"/>
            </w:pPr>
          </w:p>
        </w:tc>
        <w:tc>
          <w:tcPr>
            <w:tcW w:w="970" w:type="dxa"/>
            <w:vAlign w:val="center"/>
          </w:tcPr>
          <w:p>
            <w:pPr>
              <w:pStyle w:val="13"/>
            </w:pPr>
          </w:p>
        </w:tc>
        <w:tc>
          <w:tcPr>
            <w:tcW w:w="1141" w:type="dxa"/>
            <w:vAlign w:val="center"/>
          </w:tcPr>
          <w:p>
            <w:pPr>
              <w:pStyle w:val="14"/>
            </w:pPr>
          </w:p>
        </w:tc>
        <w:tc>
          <w:tcPr>
            <w:tcW w:w="1141" w:type="dxa"/>
            <w:vAlign w:val="center"/>
          </w:tcPr>
          <w:p>
            <w:pPr>
              <w:pStyle w:val="14"/>
            </w:pPr>
          </w:p>
        </w:tc>
        <w:tc>
          <w:tcPr>
            <w:tcW w:w="713" w:type="dxa"/>
            <w:vAlign w:val="center"/>
          </w:tcPr>
          <w:p>
            <w:pPr>
              <w:pStyle w:val="15"/>
            </w:pPr>
          </w:p>
        </w:tc>
        <w:tc>
          <w:tcPr>
            <w:tcW w:w="855" w:type="dxa"/>
            <w:vAlign w:val="center"/>
          </w:tcPr>
          <w:p>
            <w:pPr>
              <w:pStyle w:val="13"/>
            </w:pPr>
          </w:p>
        </w:tc>
        <w:tc>
          <w:tcPr>
            <w:tcW w:w="855"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c>
          <w:tcPr>
            <w:tcW w:w="970"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第三中学</w:t>
      </w:r>
      <w:r>
        <w:rPr>
          <w:rFonts w:ascii="Times New Roman" w:hAnsi="Times New Roman" w:eastAsia="仿宋_GB2312" w:cs="Times New Roman"/>
          <w:sz w:val="32"/>
          <w:szCs w:val="32"/>
        </w:rPr>
        <w:t>上年末固定资产金额为1323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廊坊市第三中学固定资产占用情况表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第三中学</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1323.89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13853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700</w:t>
            </w:r>
            <w:r>
              <w:rPr>
                <w:rFonts w:hint="eastAsia" w:ascii="Times New Roman" w:hAnsi="Times New Roman" w:eastAsia="仿宋_GB2312" w:cs="Times New Roman"/>
                <w:sz w:val="22"/>
              </w:rPr>
              <w:t>.</w:t>
            </w:r>
            <w:r>
              <w:rPr>
                <w:rFonts w:ascii="Times New Roman" w:hAnsi="Times New Roman" w:eastAsia="仿宋_GB2312" w:cs="Times New Roman"/>
                <w:sz w:val="22"/>
              </w:rPr>
              <w:t>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1115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51.95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31931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623.39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AFD26DF-BE16-414E-AD42-A79E8A6F6E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FF871B38-2232-455D-B950-E95B6BB13019}"/>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embedRegular r:id="rId3" w:fontKey="{6057CAFB-B8AD-45CA-82F4-125B4144714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zJjNTBhNGFmZWFjOWNkNzBiMDRhNDMxMDgwZTEifQ=="/>
  </w:docVars>
  <w:rsids>
    <w:rsidRoot w:val="00D347CC"/>
    <w:rsid w:val="000230E6"/>
    <w:rsid w:val="00070736"/>
    <w:rsid w:val="000F6018"/>
    <w:rsid w:val="001A1291"/>
    <w:rsid w:val="00216DA5"/>
    <w:rsid w:val="0024206B"/>
    <w:rsid w:val="0025632D"/>
    <w:rsid w:val="002F36BA"/>
    <w:rsid w:val="003059E0"/>
    <w:rsid w:val="00336AFA"/>
    <w:rsid w:val="003C0A5C"/>
    <w:rsid w:val="00437FE7"/>
    <w:rsid w:val="004A54AA"/>
    <w:rsid w:val="004C0827"/>
    <w:rsid w:val="00523A3A"/>
    <w:rsid w:val="0065176D"/>
    <w:rsid w:val="00660389"/>
    <w:rsid w:val="0068194A"/>
    <w:rsid w:val="00692AEE"/>
    <w:rsid w:val="007C7867"/>
    <w:rsid w:val="007D6A12"/>
    <w:rsid w:val="0081323A"/>
    <w:rsid w:val="00832A82"/>
    <w:rsid w:val="00832CE5"/>
    <w:rsid w:val="00944233"/>
    <w:rsid w:val="00961F07"/>
    <w:rsid w:val="009735EC"/>
    <w:rsid w:val="009A45F5"/>
    <w:rsid w:val="009B5858"/>
    <w:rsid w:val="00A505F1"/>
    <w:rsid w:val="00A63B92"/>
    <w:rsid w:val="00A90D8D"/>
    <w:rsid w:val="00B03564"/>
    <w:rsid w:val="00B40732"/>
    <w:rsid w:val="00B80935"/>
    <w:rsid w:val="00BC02F5"/>
    <w:rsid w:val="00C463C3"/>
    <w:rsid w:val="00D24536"/>
    <w:rsid w:val="00D33460"/>
    <w:rsid w:val="00D347CC"/>
    <w:rsid w:val="00D409D5"/>
    <w:rsid w:val="00DA729A"/>
    <w:rsid w:val="00DC72B4"/>
    <w:rsid w:val="00E26977"/>
    <w:rsid w:val="00E72308"/>
    <w:rsid w:val="00E91492"/>
    <w:rsid w:val="00F231BC"/>
    <w:rsid w:val="00FC2E3B"/>
    <w:rsid w:val="00FE7AFD"/>
    <w:rsid w:val="0CEC1180"/>
    <w:rsid w:val="2BF32B4B"/>
    <w:rsid w:val="2E500409"/>
    <w:rsid w:val="341B4A5F"/>
    <w:rsid w:val="4C9533F0"/>
    <w:rsid w:val="6C421957"/>
    <w:rsid w:val="73693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1062</Words>
  <Characters>6057</Characters>
  <Lines>50</Lines>
  <Paragraphs>14</Paragraphs>
  <TotalTime>4</TotalTime>
  <ScaleCrop>false</ScaleCrop>
  <LinksUpToDate>false</LinksUpToDate>
  <CharactersWithSpaces>7105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CXL</cp:lastModifiedBy>
  <cp:lastPrinted>2018-01-30T06:12:00Z</cp:lastPrinted>
  <dcterms:modified xsi:type="dcterms:W3CDTF">2023-08-01T08:12:00Z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BD948111A9DE4C439957F7AA2515248C</vt:lpwstr>
  </property>
</Properties>
</file>