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r>
        <w:rPr>
          <w:rFonts w:hint="eastAsia" w:ascii="Times New Roman" w:hAnsi="Times New Roman" w:eastAsia="方正小标宋简体" w:cs="Times New Roman"/>
          <w:sz w:val="44"/>
          <w:szCs w:val="44"/>
          <w:lang w:val="en-US" w:eastAsia="zh-CN"/>
        </w:rPr>
        <w:t>供销社</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广阳区供销社</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widowControl/>
        <w:spacing w:line="360" w:lineRule="atLeast"/>
        <w:ind w:firstLine="1120" w:firstLineChars="3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（一）</w:t>
      </w:r>
      <w:r>
        <w:rPr>
          <w:rFonts w:ascii="仿宋_GB2312" w:eastAsia="仿宋_GB2312" w:cs="宋体"/>
          <w:color w:val="000000"/>
          <w:kern w:val="0"/>
          <w:sz w:val="32"/>
          <w:szCs w:val="32"/>
        </w:rPr>
        <w:t xml:space="preserve"> </w:t>
      </w:r>
      <w:r>
        <w:rPr>
          <w:rFonts w:hint="eastAsia" w:ascii="仿宋_GB2312" w:eastAsia="仿宋_GB2312" w:cs="宋体"/>
          <w:color w:val="000000"/>
          <w:kern w:val="0"/>
          <w:sz w:val="32"/>
          <w:szCs w:val="32"/>
        </w:rPr>
        <w:t>是贯彻区委、区政府有关农村工作和社会发展的方针、政策；</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（二）是按照区政府授权，对全区农业生产资料、日用消费品、棉花、食盐、烟花爆竹喝废旧再生资源等进行组织、协调和管理；</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是负责指导全区供销社的业务工作，参与、推动和服务农业产业化经营，发展龙头企业、专业合作社和消费合作社，加快农业社会服务体系和农产品市场体系建设，开拓城乡市场。同时，承办区委、区政府和市供销社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廊坊市广阳区供销合作社联合社</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广阳区供销社</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724.48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724.48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724.48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692.68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627.99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64.69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31.8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政府购买农村产权交易服务资金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724.48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减少34.45</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34.45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与2021年度持平</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农村产权交易服务资金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64.69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区社</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一、总体绩效目标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体目标：按照省、市总体部署，紧紧围绕全区“三农”工作大局，以推进农业供给侧结构性改革为引领，以优化和创新供销服务供给为重点，整合社会资源，扩大开放办社，努力走新路、上品质、求赶超，努力实现增比进位，开创在全省系统看得见、拿得出、排得上、叫得响的广阳区发展模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二、分项绩效目标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1、供销流通管理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紧紧围绕“三农”工作大局，以密切与农民利益联结为核心，以提升为农服务能力为根本，以强化基层社和创新联合社治理机制为重点，努力开创特色供销合作事业新局面。按照“改造自我，服务农民”的总体要求，朝着办成农民合作经济组织的方向，大力推行经营创新、组织创新、服务创新，推动综合改革顺利进行。</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2、服务三农事务管理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改革创新为动力、以物流配送为支撑，坚持供销社主办、合作式发展、市场化运作，在乡镇政府所在地和行政村重点建设以日用消费品、农业生产资料为主营业务的供销社农村超市；在县城重点建设日用消费品、农业生产资料中心超市并具备配送功能。2.健全农村市场体系，大力发展农业生产资料现代经营服务网络、日用消费品现代经营网络、烟花爆竹零售网络和再生资源回收利用网络，推进适应现代农业要求的流通产业发展，促进全区农村经济快速健康发展。加快全区供销社系统农资、日用消费品、烟花爆竹和再生资源四大网络建设，增强企业发展实力.3.紧紧围绕“三农”工作大局，以密切与农民利益联结为核心，以提升为农服务能力为根本，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适应新型城镇化和新农村建设要求，加快建设农村综合服务社和城乡社区服务中心（站），为城乡居民提供日用消费品、文体娱乐、养老幼教、就业培训等多样化服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3、供销合作政务管理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以供销社综合改革为契机，盘活现有资产、推进社属企业改革，维护区直和谐稳定局面。</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4、农村产权交易管理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借助供销社现有组织体系，经营网点，资产设施，农村金融业务等为农服务资源，逐步发展成为集信息发布汇总，产权交易、法律咨询、资产平复、抵押融资等为一体的区级为农服务平台</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三、工作保障措施</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1、完善制度建设</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建立健全各项管理规章制度，以规章制度管理人员，管理财政预算各项经费的支出</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2、加强支出管理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规范区供销社机关财政供养人员工资、津贴补贴发放，进一步完善工会会费、福利费等公用经费的管理，严格按照相关文件规定支出</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3、加强绩效运行监控</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绩效目标为核心，对各项支出进行监控，对偏离绩效目标的支出及时采取纠偏措施，保证绩效目标如期实现。构建绩效监控系统，逐步实现与预算编制、国库集中支付、政府采购、资产、财务、业务等系统信息共享，提高预警能力和分析水平</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4、做好绩效自评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预算绩效评价是指各级财务</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和事业</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单位）根据设定的绩效目标，运用科学、合理的绩效评价指标、评价标准和评价发放，对预算经费支出的经济性、效率性和效益性进行客观、公正的评价。绩效评价涵盖预算经费支出的全过程，包括事前（预算申报阶段）评价、事中（预算执行阶段）评价和事后（预算完成阶段）评价。</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5、规范财务资产管理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认真学习贯彻财经法规，遵守财经纪律，严格按照政府会计制度保证本单位财产物资、货币资金的安全并确保合理使用。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6、加强内部监督</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构建科学有效的内部监督机制，推动供销社系统安全、有效、稳健的运行</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7、加强宣传培训调研等</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努力探索新形势下加强和改进思想政治工作的新方式和新方法。通过召开研讨会和座谈会、深入基层访谈、调研活动等途经了解社情民意，围绕干部群众关心的日电、难点问题解疑释惑。</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821"/>
        <w:gridCol w:w="1243"/>
        <w:gridCol w:w="1912"/>
        <w:gridCol w:w="3383"/>
        <w:gridCol w:w="2290"/>
        <w:gridCol w:w="800"/>
        <w:gridCol w:w="710"/>
        <w:gridCol w:w="85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94"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445"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684"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1210"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评（扣）分标准</w:t>
            </w:r>
          </w:p>
        </w:tc>
        <w:tc>
          <w:tcPr>
            <w:tcW w:w="819"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描述</w:t>
            </w:r>
          </w:p>
        </w:tc>
        <w:tc>
          <w:tcPr>
            <w:tcW w:w="844" w:type="pct"/>
            <w:gridSpan w:val="3"/>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702"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vMerge w:val="continue"/>
            <w:tcBorders>
              <w:tl2br w:val="nil"/>
              <w:tr2bl w:val="nil"/>
            </w:tcBorders>
            <w:vAlign w:val="center"/>
          </w:tcPr>
          <w:p>
            <w:pPr>
              <w:rPr>
                <w:rFonts w:hint="eastAsia" w:ascii="仿宋_GB2312" w:hAnsi="仿宋_GB2312" w:eastAsia="仿宋_GB2312" w:cs="仿宋_GB2312"/>
              </w:rPr>
            </w:pPr>
          </w:p>
        </w:tc>
        <w:tc>
          <w:tcPr>
            <w:tcW w:w="684" w:type="pct"/>
            <w:vMerge w:val="continue"/>
            <w:tcBorders>
              <w:tl2br w:val="nil"/>
              <w:tr2bl w:val="nil"/>
            </w:tcBorders>
            <w:vAlign w:val="center"/>
          </w:tcPr>
          <w:p>
            <w:pPr>
              <w:rPr>
                <w:rFonts w:hint="eastAsia" w:ascii="仿宋_GB2312" w:hAnsi="仿宋_GB2312" w:eastAsia="仿宋_GB2312" w:cs="仿宋_GB2312"/>
              </w:rPr>
            </w:pPr>
          </w:p>
        </w:tc>
        <w:tc>
          <w:tcPr>
            <w:tcW w:w="1210" w:type="pct"/>
            <w:vMerge w:val="continue"/>
            <w:tcBorders>
              <w:tl2br w:val="nil"/>
              <w:tr2bl w:val="nil"/>
            </w:tcBorders>
            <w:vAlign w:val="center"/>
          </w:tcPr>
          <w:p>
            <w:pPr>
              <w:rPr>
                <w:rFonts w:hint="eastAsia" w:ascii="仿宋_GB2312" w:hAnsi="仿宋_GB2312" w:eastAsia="仿宋_GB2312" w:cs="仿宋_GB2312"/>
              </w:rPr>
            </w:pPr>
          </w:p>
        </w:tc>
        <w:tc>
          <w:tcPr>
            <w:tcW w:w="819" w:type="pct"/>
            <w:vMerge w:val="continue"/>
            <w:tcBorders>
              <w:tl2br w:val="nil"/>
              <w:tr2bl w:val="nil"/>
            </w:tcBorders>
            <w:vAlign w:val="center"/>
          </w:tcPr>
          <w:p>
            <w:pPr>
              <w:rPr>
                <w:rFonts w:hint="eastAsia" w:ascii="仿宋_GB2312" w:hAnsi="仿宋_GB2312" w:eastAsia="仿宋_GB2312" w:cs="仿宋_GB2312"/>
              </w:rPr>
            </w:pP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符号</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值</w:t>
            </w: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单位</w:t>
            </w:r>
          </w:p>
        </w:tc>
        <w:tc>
          <w:tcPr>
            <w:tcW w:w="702" w:type="pct"/>
            <w:vMerge w:val="continue"/>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94" w:type="pct"/>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产出</w:t>
            </w: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保障办公人数</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人员数量是否达标</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保障办公人数</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34</w:t>
            </w: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人</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机关运转率</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运转率是否正常</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各项日常工作保障率</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百分之</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按规定时限发放工资、缴纳保险</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是否按规定时限发放</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按规定时限发放工资、缴纳保险</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及时发放</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按月发放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经费开支</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是否按标准开支</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办公费、水电费等公用经费的开支标准</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按统一规定执行</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94" w:type="pct"/>
            <w:vMerge w:val="restart"/>
            <w:tcBorders>
              <w:tl2br w:val="nil"/>
              <w:tr2bl w:val="nil"/>
            </w:tcBorders>
            <w:vAlign w:val="center"/>
          </w:tcPr>
          <w:p>
            <w:pPr>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效果</w:t>
            </w: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效益</w:t>
            </w:r>
          </w:p>
        </w:tc>
        <w:tc>
          <w:tcPr>
            <w:tcW w:w="68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保障机关单位正常运转</w:t>
            </w:r>
          </w:p>
        </w:tc>
        <w:tc>
          <w:tcPr>
            <w:tcW w:w="1210"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是否正常运转</w:t>
            </w:r>
          </w:p>
        </w:tc>
        <w:tc>
          <w:tcPr>
            <w:tcW w:w="81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保障机关单位正常运转</w:t>
            </w:r>
          </w:p>
        </w:tc>
        <w:tc>
          <w:tcPr>
            <w:tcW w:w="28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54"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303"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维持单位正常运转</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94" w:type="pct"/>
            <w:vMerge w:val="continue"/>
            <w:tcBorders>
              <w:tl2br w:val="nil"/>
              <w:tr2bl w:val="nil"/>
            </w:tcBorders>
            <w:vAlign w:val="center"/>
          </w:tcPr>
          <w:p>
            <w:pPr>
              <w:rPr>
                <w:rFonts w:hint="eastAsia" w:ascii="仿宋_GB2312" w:hAnsi="仿宋_GB2312" w:eastAsia="仿宋_GB2312" w:cs="仿宋_GB2312"/>
              </w:rPr>
            </w:pPr>
          </w:p>
        </w:tc>
        <w:tc>
          <w:tcPr>
            <w:tcW w:w="445"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684"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210"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是否满意</w:t>
            </w:r>
          </w:p>
        </w:tc>
        <w:tc>
          <w:tcPr>
            <w:tcW w:w="819"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单位人员满意度</w:t>
            </w:r>
          </w:p>
        </w:tc>
        <w:tc>
          <w:tcPr>
            <w:tcW w:w="28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254"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100</w:t>
            </w:r>
          </w:p>
        </w:tc>
        <w:tc>
          <w:tcPr>
            <w:tcW w:w="30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百分之</w:t>
            </w:r>
          </w:p>
        </w:tc>
        <w:tc>
          <w:tcPr>
            <w:tcW w:w="702"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 xml:space="preserve">政府购买农村产权交易资金 </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通过项目的开展完成农村产权流转交易服务体系建设，积极开展集体资产流转交易鉴证，落实“应进必进”原则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站点服务</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业务咨询和办理工作人员数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≥6个</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廊广政办【2017】4号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服务站点与任务数比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廊广改革办【2021】2号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及时拨付资金</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购买服务资金拨付企业</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≤3月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往来票据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人员服务费</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不高于当地劳务派遣费</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≤2500元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交易事务办结率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完成率和交易鉴证数的比率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交易鉴证书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31.8</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t>***廊坊市</w:t>
      </w:r>
      <w:r>
        <w:rPr>
          <w:rFonts w:hint="eastAsia"/>
        </w:rPr>
        <w:t>广阳区*</w:t>
      </w:r>
      <w:r>
        <w:t>**                                                                                                         单位：万元</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8"/>
        <w:gridCol w:w="1041"/>
        <w:gridCol w:w="1041"/>
        <w:gridCol w:w="650"/>
        <w:gridCol w:w="780"/>
        <w:gridCol w:w="780"/>
        <w:gridCol w:w="885"/>
        <w:gridCol w:w="885"/>
        <w:gridCol w:w="885"/>
        <w:gridCol w:w="885"/>
        <w:gridCol w:w="885"/>
        <w:gridCol w:w="885"/>
        <w:gridCol w:w="885"/>
        <w:gridCol w:w="902"/>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8" w:type="pct"/>
            <w:gridSpan w:val="2"/>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政府采购项目来源</w:t>
            </w:r>
          </w:p>
        </w:tc>
        <w:tc>
          <w:tcPr>
            <w:tcW w:w="367"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采购物品名称</w:t>
            </w:r>
          </w:p>
        </w:tc>
        <w:tc>
          <w:tcPr>
            <w:tcW w:w="367"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政府采购目录序号</w:t>
            </w:r>
          </w:p>
        </w:tc>
        <w:tc>
          <w:tcPr>
            <w:tcW w:w="229"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计量  单位</w:t>
            </w:r>
          </w:p>
        </w:tc>
        <w:tc>
          <w:tcPr>
            <w:tcW w:w="275"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数量</w:t>
            </w:r>
          </w:p>
        </w:tc>
        <w:tc>
          <w:tcPr>
            <w:tcW w:w="275"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单价</w:t>
            </w:r>
          </w:p>
        </w:tc>
        <w:tc>
          <w:tcPr>
            <w:tcW w:w="2502" w:type="pct"/>
            <w:gridSpan w:val="8"/>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政府采购金额（当年</w:t>
            </w:r>
            <w:r>
              <w:rPr>
                <w:rFonts w:hint="eastAsia" w:ascii="仿宋_GB2312" w:hAnsi="仿宋_GB2312" w:eastAsia="仿宋_GB2312" w:cs="仿宋_GB2312"/>
                <w:lang w:eastAsia="zh-CN"/>
              </w:rPr>
              <w:t>单位</w:t>
            </w:r>
            <w:r>
              <w:rPr>
                <w:rFonts w:hint="eastAsia" w:ascii="仿宋_GB2312" w:hAnsi="仿宋_GB2312" w:eastAsia="仿宋_GB2312" w:cs="仿宋_GB2312"/>
              </w:rPr>
              <w:t>预算安排资金）</w:t>
            </w:r>
          </w:p>
        </w:tc>
        <w:tc>
          <w:tcPr>
            <w:tcW w:w="312" w:type="pct"/>
            <w:vMerge w:val="restar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项目名称</w:t>
            </w:r>
          </w:p>
        </w:tc>
        <w:tc>
          <w:tcPr>
            <w:tcW w:w="313"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预算    资金</w:t>
            </w:r>
          </w:p>
        </w:tc>
        <w:tc>
          <w:tcPr>
            <w:tcW w:w="367" w:type="pct"/>
            <w:vMerge w:val="continue"/>
          </w:tcPr>
          <w:p>
            <w:pPr>
              <w:rPr>
                <w:rFonts w:hint="eastAsia" w:ascii="仿宋_GB2312" w:hAnsi="仿宋_GB2312" w:eastAsia="仿宋_GB2312" w:cs="仿宋_GB2312"/>
              </w:rPr>
            </w:pPr>
          </w:p>
        </w:tc>
        <w:tc>
          <w:tcPr>
            <w:tcW w:w="367" w:type="pct"/>
            <w:vMerge w:val="continue"/>
          </w:tcPr>
          <w:p>
            <w:pPr>
              <w:rPr>
                <w:rFonts w:hint="eastAsia" w:ascii="仿宋_GB2312" w:hAnsi="仿宋_GB2312" w:eastAsia="仿宋_GB2312" w:cs="仿宋_GB2312"/>
              </w:rPr>
            </w:pPr>
          </w:p>
        </w:tc>
        <w:tc>
          <w:tcPr>
            <w:tcW w:w="229" w:type="pct"/>
            <w:vMerge w:val="continue"/>
          </w:tcPr>
          <w:p>
            <w:pPr>
              <w:rPr>
                <w:rFonts w:hint="eastAsia" w:ascii="仿宋_GB2312" w:hAnsi="仿宋_GB2312" w:eastAsia="仿宋_GB2312" w:cs="仿宋_GB2312"/>
              </w:rPr>
            </w:pPr>
          </w:p>
        </w:tc>
        <w:tc>
          <w:tcPr>
            <w:tcW w:w="275" w:type="pct"/>
            <w:vMerge w:val="continue"/>
          </w:tcPr>
          <w:p>
            <w:pPr>
              <w:rPr>
                <w:rFonts w:hint="eastAsia" w:ascii="仿宋_GB2312" w:hAnsi="仿宋_GB2312" w:eastAsia="仿宋_GB2312" w:cs="仿宋_GB2312"/>
              </w:rPr>
            </w:pPr>
          </w:p>
        </w:tc>
        <w:tc>
          <w:tcPr>
            <w:tcW w:w="275" w:type="pct"/>
            <w:vMerge w:val="continue"/>
          </w:tcPr>
          <w:p>
            <w:pPr>
              <w:rPr>
                <w:rFonts w:hint="eastAsia" w:ascii="仿宋_GB2312" w:hAnsi="仿宋_GB2312" w:eastAsia="仿宋_GB2312" w:cs="仿宋_GB2312"/>
              </w:rPr>
            </w:pP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合计</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一般公共预算拨款</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基金预算拨款</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国有资本经营预算拨款</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财政专户核拨</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单位    资金</w:t>
            </w:r>
          </w:p>
        </w:tc>
        <w:tc>
          <w:tcPr>
            <w:tcW w:w="31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财政拨    款结转</w:t>
            </w:r>
          </w:p>
        </w:tc>
        <w:tc>
          <w:tcPr>
            <w:tcW w:w="313"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非财政    拨款结    转结余</w:t>
            </w:r>
          </w:p>
        </w:tc>
        <w:tc>
          <w:tcPr>
            <w:tcW w:w="312" w:type="pct"/>
            <w:vMerge w:val="continue"/>
          </w:tcPr>
          <w:p>
            <w:pPr>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政府购买农村产权交易服务资金</w:t>
            </w:r>
          </w:p>
        </w:tc>
        <w:tc>
          <w:tcPr>
            <w:tcW w:w="313"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c>
          <w:tcPr>
            <w:tcW w:w="367" w:type="pct"/>
            <w:vAlign w:val="center"/>
          </w:tcPr>
          <w:p>
            <w:pPr>
              <w:pStyle w:val="18"/>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购买服务</w:t>
            </w:r>
          </w:p>
        </w:tc>
        <w:tc>
          <w:tcPr>
            <w:tcW w:w="367" w:type="pct"/>
            <w:vAlign w:val="center"/>
          </w:tcPr>
          <w:p>
            <w:pPr>
              <w:pStyle w:val="18"/>
              <w:rPr>
                <w:rFonts w:hint="eastAsia" w:ascii="仿宋_GB2312" w:hAnsi="仿宋_GB2312" w:eastAsia="仿宋_GB2312" w:cs="仿宋_GB2312"/>
                <w:b w:val="0"/>
                <w:bCs/>
              </w:rPr>
            </w:pPr>
          </w:p>
        </w:tc>
        <w:tc>
          <w:tcPr>
            <w:tcW w:w="229" w:type="pct"/>
            <w:vAlign w:val="center"/>
          </w:tcPr>
          <w:p>
            <w:pPr>
              <w:pStyle w:val="16"/>
              <w:rPr>
                <w:rFonts w:hint="eastAsia" w:ascii="仿宋_GB2312" w:hAnsi="仿宋_GB2312" w:eastAsia="仿宋_GB2312" w:cs="仿宋_GB2312"/>
                <w:b w:val="0"/>
                <w:bCs/>
              </w:rPr>
            </w:pPr>
          </w:p>
        </w:tc>
        <w:tc>
          <w:tcPr>
            <w:tcW w:w="275"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1</w:t>
            </w:r>
          </w:p>
        </w:tc>
        <w:tc>
          <w:tcPr>
            <w:tcW w:w="275"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c>
          <w:tcPr>
            <w:tcW w:w="312"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c>
          <w:tcPr>
            <w:tcW w:w="312"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c>
          <w:tcPr>
            <w:tcW w:w="312"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rPr>
            </w:pPr>
          </w:p>
        </w:tc>
        <w:tc>
          <w:tcPr>
            <w:tcW w:w="313" w:type="pct"/>
            <w:vAlign w:val="center"/>
          </w:tcPr>
          <w:p>
            <w:pPr>
              <w:pStyle w:val="17"/>
              <w:rPr>
                <w:rFonts w:hint="eastAsia" w:ascii="仿宋_GB2312" w:hAnsi="仿宋_GB2312" w:eastAsia="仿宋_GB2312" w:cs="仿宋_GB2312"/>
                <w:b w:val="0"/>
                <w:bCs/>
              </w:rPr>
            </w:pPr>
          </w:p>
        </w:tc>
        <w:tc>
          <w:tcPr>
            <w:tcW w:w="312" w:type="pct"/>
            <w:vAlign w:val="center"/>
          </w:tcPr>
          <w:p>
            <w:pPr>
              <w:pStyle w:val="17"/>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rPr>
                <w:rFonts w:hint="eastAsia" w:ascii="仿宋_GB2312" w:hAnsi="仿宋_GB2312" w:eastAsia="仿宋_GB2312" w:cs="仿宋_GB2312"/>
              </w:rPr>
            </w:pPr>
          </w:p>
        </w:tc>
        <w:tc>
          <w:tcPr>
            <w:tcW w:w="313" w:type="pct"/>
            <w:vAlign w:val="center"/>
          </w:tcPr>
          <w:p>
            <w:pPr>
              <w:pStyle w:val="17"/>
              <w:rPr>
                <w:rFonts w:hint="eastAsia" w:ascii="仿宋_GB2312" w:hAnsi="仿宋_GB2312" w:eastAsia="仿宋_GB2312" w:cs="仿宋_GB2312"/>
              </w:rPr>
            </w:pPr>
          </w:p>
        </w:tc>
        <w:tc>
          <w:tcPr>
            <w:tcW w:w="367" w:type="pct"/>
            <w:vAlign w:val="center"/>
          </w:tcPr>
          <w:p>
            <w:pPr>
              <w:pStyle w:val="18"/>
              <w:rPr>
                <w:rFonts w:hint="eastAsia" w:ascii="仿宋_GB2312" w:hAnsi="仿宋_GB2312" w:eastAsia="仿宋_GB2312" w:cs="仿宋_GB2312"/>
              </w:rPr>
            </w:pPr>
          </w:p>
        </w:tc>
        <w:tc>
          <w:tcPr>
            <w:tcW w:w="367" w:type="pct"/>
            <w:vAlign w:val="center"/>
          </w:tcPr>
          <w:p>
            <w:pPr>
              <w:pStyle w:val="18"/>
              <w:rPr>
                <w:rFonts w:hint="eastAsia" w:ascii="仿宋_GB2312" w:hAnsi="仿宋_GB2312" w:eastAsia="仿宋_GB2312" w:cs="仿宋_GB2312"/>
              </w:rPr>
            </w:pPr>
          </w:p>
        </w:tc>
        <w:tc>
          <w:tcPr>
            <w:tcW w:w="229" w:type="pct"/>
            <w:vAlign w:val="center"/>
          </w:tcPr>
          <w:p>
            <w:pPr>
              <w:pStyle w:val="16"/>
              <w:rPr>
                <w:rFonts w:hint="eastAsia" w:ascii="仿宋_GB2312" w:hAnsi="仿宋_GB2312" w:eastAsia="仿宋_GB2312" w:cs="仿宋_GB2312"/>
              </w:rPr>
            </w:pPr>
          </w:p>
        </w:tc>
        <w:tc>
          <w:tcPr>
            <w:tcW w:w="275" w:type="pct"/>
            <w:vAlign w:val="center"/>
          </w:tcPr>
          <w:p>
            <w:pPr>
              <w:pStyle w:val="17"/>
              <w:rPr>
                <w:rFonts w:hint="eastAsia" w:ascii="仿宋_GB2312" w:hAnsi="仿宋_GB2312" w:eastAsia="仿宋_GB2312" w:cs="仿宋_GB2312"/>
              </w:rPr>
            </w:pPr>
          </w:p>
        </w:tc>
        <w:tc>
          <w:tcPr>
            <w:tcW w:w="275"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c>
          <w:tcPr>
            <w:tcW w:w="313" w:type="pct"/>
            <w:vAlign w:val="center"/>
          </w:tcPr>
          <w:p>
            <w:pPr>
              <w:pStyle w:val="17"/>
              <w:rPr>
                <w:rFonts w:hint="eastAsia" w:ascii="仿宋_GB2312" w:hAnsi="仿宋_GB2312" w:eastAsia="仿宋_GB2312" w:cs="仿宋_GB2312"/>
              </w:rPr>
            </w:pPr>
          </w:p>
        </w:tc>
        <w:tc>
          <w:tcPr>
            <w:tcW w:w="312" w:type="pct"/>
            <w:vAlign w:val="center"/>
          </w:tcPr>
          <w:p>
            <w:pPr>
              <w:pStyle w:val="17"/>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229" w:type="pct"/>
            <w:vAlign w:val="center"/>
          </w:tcPr>
          <w:p>
            <w:pPr>
              <w:pStyle w:val="15"/>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229" w:type="pct"/>
            <w:vAlign w:val="center"/>
          </w:tcPr>
          <w:p>
            <w:pPr>
              <w:pStyle w:val="15"/>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367" w:type="pct"/>
            <w:vAlign w:val="center"/>
          </w:tcPr>
          <w:p>
            <w:pPr>
              <w:pStyle w:val="14"/>
              <w:rPr>
                <w:rFonts w:hint="eastAsia" w:ascii="仿宋_GB2312" w:hAnsi="仿宋_GB2312" w:eastAsia="仿宋_GB2312" w:cs="仿宋_GB2312"/>
              </w:rPr>
            </w:pPr>
          </w:p>
        </w:tc>
        <w:tc>
          <w:tcPr>
            <w:tcW w:w="229" w:type="pct"/>
            <w:vAlign w:val="center"/>
          </w:tcPr>
          <w:p>
            <w:pPr>
              <w:pStyle w:val="15"/>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275"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c>
          <w:tcPr>
            <w:tcW w:w="313" w:type="pct"/>
            <w:vAlign w:val="center"/>
          </w:tcPr>
          <w:p>
            <w:pPr>
              <w:pStyle w:val="13"/>
              <w:rPr>
                <w:rFonts w:hint="eastAsia" w:ascii="仿宋_GB2312" w:hAnsi="仿宋_GB2312" w:eastAsia="仿宋_GB2312" w:cs="仿宋_GB2312"/>
              </w:rPr>
            </w:pPr>
          </w:p>
        </w:tc>
        <w:tc>
          <w:tcPr>
            <w:tcW w:w="312" w:type="pct"/>
            <w:vAlign w:val="center"/>
          </w:tcPr>
          <w:p>
            <w:pPr>
              <w:pStyle w:val="13"/>
              <w:rPr>
                <w:rFonts w:hint="eastAsia" w:ascii="仿宋_GB2312" w:hAnsi="仿宋_GB2312" w:eastAsia="仿宋_GB2312" w:cs="仿宋_GB2312"/>
              </w:rPr>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广阳区供销社</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1.576482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w:t>
            </w:r>
            <w:r>
              <w:rPr>
                <w:rFonts w:hint="eastAsia" w:ascii="Times New Roman" w:hAnsi="Times New Roman" w:eastAsia="仿宋_GB2312" w:cs="Times New Roman"/>
                <w:kern w:val="0"/>
                <w:sz w:val="22"/>
                <w:lang w:val="en-US" w:eastAsia="zh-CN"/>
              </w:rPr>
              <w:t>供销社</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1.576482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打印机、传真机、办公家具</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1.576482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45AAC1-844F-44CE-B542-5817D018E8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09C3B761-83D1-4D31-84E7-FADD0EA1A75C}"/>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440CE86E-4F09-46A8-823F-ADD3E704943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B0681"/>
    <w:rsid w:val="000F6018"/>
    <w:rsid w:val="00142C4E"/>
    <w:rsid w:val="0025632D"/>
    <w:rsid w:val="003059E0"/>
    <w:rsid w:val="0036492F"/>
    <w:rsid w:val="00457567"/>
    <w:rsid w:val="004A54AA"/>
    <w:rsid w:val="00590029"/>
    <w:rsid w:val="007A05B6"/>
    <w:rsid w:val="00944233"/>
    <w:rsid w:val="00A63BCA"/>
    <w:rsid w:val="00B40732"/>
    <w:rsid w:val="00B50FD4"/>
    <w:rsid w:val="00B80935"/>
    <w:rsid w:val="00C2049D"/>
    <w:rsid w:val="00C63F50"/>
    <w:rsid w:val="00D347CC"/>
    <w:rsid w:val="00DC72B4"/>
    <w:rsid w:val="04D65F35"/>
    <w:rsid w:val="0CEC1180"/>
    <w:rsid w:val="2D2B4E34"/>
    <w:rsid w:val="36E30F73"/>
    <w:rsid w:val="450E6D56"/>
    <w:rsid w:val="51D66D2F"/>
    <w:rsid w:val="6B5225D4"/>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770</Words>
  <Characters>4391</Characters>
  <Lines>36</Lines>
  <Paragraphs>10</Paragraphs>
  <TotalTime>4</TotalTime>
  <ScaleCrop>false</ScaleCrop>
  <LinksUpToDate>false</LinksUpToDate>
  <CharactersWithSpaces>5151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2023-08-01T07:20:21Z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B719D1478559493A865C93BD75922B5F</vt:lpwstr>
  </property>
</Properties>
</file>